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</w:pPr>
      <w:r>
        <w:t xml:space="preserve">Приложение</w:t>
      </w:r>
      <w:r/>
    </w:p>
    <w:p>
      <w:pPr>
        <w:jc w:val="right"/>
      </w:pPr>
      <w:r>
        <w:t xml:space="preserve">к Государственному </w:t>
      </w:r>
      <w:r>
        <w:t xml:space="preserve">к</w:t>
      </w:r>
      <w:r>
        <w:t xml:space="preserve">онтракту</w:t>
      </w:r>
      <w:r/>
    </w:p>
    <w:p>
      <w:pPr>
        <w:ind w:hanging="180"/>
        <w:jc w:val="right"/>
      </w:pPr>
      <w:r>
        <w:t xml:space="preserve">от </w:t>
      </w:r>
      <w:r>
        <w:t xml:space="preserve"> _____________ </w:t>
      </w:r>
      <w:r/>
    </w:p>
    <w:p>
      <w:pPr>
        <w:ind w:hanging="180"/>
        <w:jc w:val="right"/>
      </w:pPr>
      <w:r>
        <w:t xml:space="preserve">№ ______</w:t>
      </w:r>
      <w:r>
        <w:t xml:space="preserve">______________</w:t>
      </w:r>
      <w:r>
        <w:t xml:space="preserve">_____</w:t>
      </w:r>
      <w:r/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ТЕХНИЧЕСКОЕ ЗАДАНИЕ</w:t>
      </w:r>
      <w:r>
        <w:rPr>
          <w:b/>
        </w:rPr>
      </w:r>
      <w:r>
        <w:rPr>
          <w:b/>
        </w:rPr>
      </w:r>
    </w:p>
    <w:p>
      <w:pPr>
        <w:ind w:firstLine="426"/>
        <w:jc w:val="both"/>
        <w:rPr>
          <w:rFonts w:eastAsia="Calibri"/>
        </w:rPr>
      </w:pPr>
      <w:r>
        <w:rPr>
          <w:rFonts w:eastAsia="Calibri"/>
        </w:rPr>
        <w:t xml:space="preserve">Работы должны осуществляться в соответствии с требованиями государственных стандартов, действующих на территории Российской Федерации.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  <w:rPr>
          <w:rFonts w:eastAsia="Calibri"/>
        </w:rPr>
      </w:pPr>
      <w:r>
        <w:rPr>
          <w:rFonts w:eastAsia="Calibri"/>
          <w:b/>
        </w:rPr>
        <w:t xml:space="preserve">1. Наименование: </w:t>
      </w:r>
      <w:r>
        <w:rPr>
          <w:rFonts w:eastAsia="Calibri"/>
        </w:rPr>
        <w:t xml:space="preserve">выполнение работ по </w:t>
      </w:r>
      <w:r>
        <w:rPr>
          <w:rFonts w:eastAsia="Calibri"/>
          <w:color w:val="000000"/>
        </w:rPr>
        <w:t xml:space="preserve">техническому обслуживанию автоматики безопасности котлов и котельной, расположенных по адресу: Тульская область, г. Тула, Советский район, ул. Сойфера, д. 20а.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  <w:tabs>
          <w:tab w:val="left" w:pos="1134" w:leader="none"/>
        </w:tabs>
        <w:rPr>
          <w:rFonts w:eastAsia="Calibri"/>
          <w:b/>
        </w:rPr>
      </w:pPr>
      <w:r>
        <w:rPr>
          <w:rFonts w:eastAsia="Calibri"/>
          <w:b/>
        </w:rPr>
        <w:t xml:space="preserve">2. Срок выполнения работ: </w:t>
      </w:r>
      <w:r>
        <w:rPr>
          <w:rFonts w:eastAsia="Calibri"/>
          <w:b/>
        </w:rPr>
      </w:r>
      <w:r>
        <w:rPr>
          <w:rFonts w:eastAsia="Calibri"/>
          <w:b/>
        </w:rPr>
      </w:r>
    </w:p>
    <w:p>
      <w:pPr>
        <w:ind w:firstLine="42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2.1. Н</w:t>
      </w:r>
      <w:r>
        <w:rPr>
          <w:rFonts w:eastAsia="Calibri"/>
          <w:lang w:eastAsia="ar-SA"/>
        </w:rPr>
        <w:t xml:space="preserve">ачало срока выполнения работ: с</w:t>
      </w:r>
      <w:r>
        <w:rPr>
          <w:rFonts w:eastAsia="Calibri"/>
          <w:lang w:eastAsia="ar-SA"/>
        </w:rPr>
        <w:t xml:space="preserve"> </w:t>
      </w:r>
      <w:r>
        <w:rPr>
          <w:rFonts w:eastAsia="Calibri"/>
          <w:lang w:eastAsia="ar-SA"/>
        </w:rPr>
        <w:t xml:space="preserve">01.09.202</w:t>
      </w:r>
      <w:r>
        <w:rPr>
          <w:rFonts w:eastAsia="Calibri"/>
          <w:lang w:eastAsia="ar-SA"/>
        </w:rPr>
        <w:t xml:space="preserve">6.</w:t>
      </w: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ind w:firstLine="426"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   2.2. Срок выполнения работ: </w:t>
      </w:r>
      <w:r>
        <w:rPr>
          <w:rFonts w:eastAsia="Calibri"/>
          <w:lang w:eastAsia="ar-SA"/>
        </w:rPr>
        <w:t xml:space="preserve">с начала срока выполнения работ в соответствии </w:t>
      </w:r>
      <w:r>
        <w:rPr>
          <w:rFonts w:eastAsia="Calibri"/>
          <w:lang w:eastAsia="ar-SA"/>
        </w:rPr>
        <w:br/>
      </w:r>
      <w:r>
        <w:rPr>
          <w:rFonts w:eastAsia="Calibri"/>
          <w:lang w:eastAsia="ar-SA"/>
        </w:rPr>
        <w:t xml:space="preserve">с п. </w:t>
      </w:r>
      <w:r>
        <w:rPr>
          <w:rFonts w:eastAsia="Calibri"/>
          <w:lang w:eastAsia="ar-SA"/>
        </w:rPr>
        <w:t xml:space="preserve">2</w:t>
      </w:r>
      <w:r>
        <w:rPr>
          <w:rFonts w:eastAsia="Calibri"/>
          <w:lang w:eastAsia="ar-SA"/>
        </w:rPr>
        <w:t xml:space="preserve">.</w:t>
      </w:r>
      <w:r>
        <w:rPr>
          <w:rFonts w:eastAsia="Calibri"/>
          <w:lang w:eastAsia="ar-SA"/>
        </w:rPr>
        <w:t xml:space="preserve">1</w:t>
      </w:r>
      <w:r>
        <w:rPr>
          <w:rFonts w:eastAsia="Calibri"/>
          <w:lang w:eastAsia="ar-SA"/>
        </w:rPr>
        <w:t xml:space="preserve">. </w:t>
      </w:r>
      <w:r>
        <w:rPr>
          <w:rFonts w:eastAsia="Calibri"/>
          <w:lang w:eastAsia="ar-SA"/>
        </w:rPr>
        <w:t xml:space="preserve">Технического задания</w:t>
      </w:r>
      <w:r>
        <w:rPr>
          <w:rFonts w:eastAsia="Calibri"/>
          <w:lang w:eastAsia="ar-SA"/>
        </w:rPr>
        <w:t xml:space="preserve"> и по 31.05.202</w:t>
      </w:r>
      <w:r>
        <w:rPr>
          <w:rFonts w:eastAsia="Calibri"/>
          <w:lang w:eastAsia="ar-SA"/>
        </w:rPr>
        <w:t xml:space="preserve">7.</w:t>
      </w:r>
      <w:r>
        <w:rPr>
          <w:rFonts w:eastAsia="Calibri"/>
          <w:lang w:eastAsia="ar-SA"/>
        </w:rPr>
      </w:r>
      <w:r>
        <w:rPr>
          <w:rFonts w:eastAsia="Calibri"/>
          <w:lang w:eastAsia="ar-SA"/>
        </w:rPr>
      </w:r>
    </w:p>
    <w:p>
      <w:pPr>
        <w:ind w:firstLine="426"/>
        <w:jc w:val="both"/>
        <w:rPr>
          <w:rFonts w:eastAsia="Calibri"/>
        </w:rPr>
      </w:pPr>
      <w:r>
        <w:rPr>
          <w:rFonts w:eastAsia="Calibri"/>
          <w:lang w:eastAsia="ar-SA"/>
        </w:rPr>
        <w:t xml:space="preserve">Период обслуживания: </w:t>
      </w:r>
      <w:r>
        <w:rPr>
          <w:rFonts w:eastAsia="Calibri"/>
          <w:lang w:eastAsia="ar-SA"/>
        </w:rPr>
        <w:t xml:space="preserve">с</w:t>
      </w:r>
      <w:r>
        <w:rPr>
          <w:rFonts w:eastAsia="Calibri"/>
          <w:lang w:eastAsia="ar-SA"/>
        </w:rPr>
        <w:t xml:space="preserve">ентябрь 202</w:t>
      </w:r>
      <w:r>
        <w:rPr>
          <w:rFonts w:eastAsia="Calibri"/>
          <w:lang w:eastAsia="ar-SA"/>
        </w:rPr>
        <w:t xml:space="preserve">6 - май 202</w:t>
      </w:r>
      <w:r>
        <w:rPr>
          <w:rFonts w:eastAsia="Calibri"/>
          <w:lang w:eastAsia="ar-SA"/>
        </w:rPr>
        <w:t xml:space="preserve">7.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  <w:tabs>
          <w:tab w:val="left" w:pos="1134" w:leader="none"/>
        </w:tabs>
        <w:rPr>
          <w:rFonts w:eastAsia="Calibri"/>
        </w:rPr>
      </w:pPr>
      <w:r>
        <w:rPr>
          <w:rFonts w:eastAsia="Calibri"/>
          <w:b/>
        </w:rPr>
        <w:t xml:space="preserve">3. Место выполнения работ:</w:t>
      </w:r>
      <w:r>
        <w:rPr>
          <w:rFonts w:eastAsia="Calibri"/>
        </w:rPr>
        <w:t xml:space="preserve"> Тульская область, г. Тула, Советский </w:t>
      </w:r>
      <w:r>
        <w:rPr>
          <w:rFonts w:eastAsia="Calibri"/>
        </w:rPr>
        <w:t xml:space="preserve">район, </w:t>
      </w:r>
      <w:r>
        <w:rPr>
          <w:rFonts w:eastAsia="Calibri"/>
        </w:rPr>
        <w:t xml:space="preserve">ул. Сойфера, </w:t>
      </w:r>
      <w:r>
        <w:rPr>
          <w:rFonts w:eastAsia="Calibri"/>
        </w:rPr>
        <w:br/>
      </w:r>
      <w:r>
        <w:rPr>
          <w:rFonts w:eastAsia="Calibri"/>
        </w:rPr>
        <w:t xml:space="preserve">д. 20а.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  <w:tabs>
          <w:tab w:val="left" w:pos="1134" w:leader="none"/>
        </w:tabs>
        <w:rPr>
          <w:rFonts w:eastAsia="Calibri"/>
        </w:rPr>
      </w:pPr>
      <w:r>
        <w:rPr>
          <w:rFonts w:eastAsia="Calibri"/>
          <w:b/>
        </w:rPr>
        <w:t xml:space="preserve">4</w:t>
      </w:r>
      <w:r>
        <w:rPr>
          <w:rFonts w:eastAsia="Calibri"/>
          <w:b/>
        </w:rPr>
        <w:t xml:space="preserve">. Конфиденциальность:</w:t>
      </w:r>
      <w:r>
        <w:rPr>
          <w:rFonts w:eastAsia="Calibri"/>
        </w:rPr>
        <w:t xml:space="preserve"> Исполнитель несет персональную ответственность за сохранность документов, обязуется не разглашать информацию, полученную в ходе выполнения работ </w:t>
        <w:br/>
        <w:t xml:space="preserve">и не использовать ее для каких-либо целей, кроме связанных с выполнением обязательств. 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  <w:tabs>
          <w:tab w:val="left" w:pos="1134" w:leader="none"/>
        </w:tabs>
        <w:rPr>
          <w:rFonts w:eastAsia="Calibri"/>
        </w:rPr>
      </w:pPr>
      <w:r>
        <w:rPr>
          <w:b/>
        </w:rPr>
        <w:t xml:space="preserve">5</w:t>
      </w:r>
      <w:r>
        <w:rPr>
          <w:b/>
        </w:rPr>
        <w:t xml:space="preserve">. Опасный производственный объект: </w:t>
      </w:r>
      <w:r>
        <w:rPr>
          <w:rFonts w:eastAsia="Calibri"/>
        </w:rPr>
        <w:t xml:space="preserve">Рег. номер в Государственном реестре опасных производственных объектов А11-01475-0001, класс опасности – III (опасный производственный объект средней опасности). Лицензия на осуществление эксплуатации взрывопожароопасных </w:t>
      </w:r>
      <w:r>
        <w:rPr>
          <w:rFonts w:eastAsia="Calibri"/>
        </w:rPr>
        <w:br/>
      </w:r>
      <w:r>
        <w:rPr>
          <w:rFonts w:eastAsia="Calibri"/>
        </w:rPr>
        <w:t xml:space="preserve">и химически опасных производственных объектов I, II и III классов опасности от 31.10.2017 </w:t>
      </w:r>
      <w:r>
        <w:rPr>
          <w:rFonts w:eastAsia="Calibri"/>
        </w:rPr>
        <w:br/>
      </w:r>
      <w:r>
        <w:rPr>
          <w:rFonts w:eastAsia="Calibri"/>
        </w:rPr>
        <w:t xml:space="preserve">№ ВХ–11–007721. 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  <w:tabs>
          <w:tab w:val="left" w:pos="1134" w:leader="none"/>
        </w:tabs>
        <w:rPr>
          <w:b/>
        </w:rPr>
      </w:pPr>
      <w:r>
        <w:rPr>
          <w:b/>
        </w:rPr>
        <w:t xml:space="preserve">6</w:t>
      </w:r>
      <w:r>
        <w:rPr>
          <w:b/>
        </w:rPr>
        <w:t xml:space="preserve">. Исполнитель гарантирует:</w:t>
      </w:r>
      <w:r>
        <w:rPr>
          <w:b/>
        </w:rPr>
      </w:r>
      <w:r>
        <w:rPr>
          <w:b/>
        </w:rPr>
      </w:r>
    </w:p>
    <w:p>
      <w:pPr>
        <w:contextualSpacing/>
        <w:ind w:firstLine="426"/>
        <w:jc w:val="both"/>
        <w:tabs>
          <w:tab w:val="left" w:pos="0" w:leader="none"/>
        </w:tabs>
        <w:rPr>
          <w:rFonts w:eastAsia="Calibri"/>
        </w:rPr>
      </w:pPr>
      <w:r>
        <w:tab/>
      </w:r>
      <w:r>
        <w:rPr>
          <w:rFonts w:eastAsia="Calibri"/>
        </w:rPr>
        <w:t xml:space="preserve">Выполнение работ в полном объеме и в сроки, определенные условиями Контракта; соответствие качества выполненных работ действующим нормам Российской Федерации </w:t>
      </w:r>
      <w:r>
        <w:rPr>
          <w:rFonts w:eastAsia="Calibri"/>
        </w:rPr>
        <w:br/>
      </w:r>
      <w:r>
        <w:rPr>
          <w:rFonts w:eastAsia="Calibri"/>
        </w:rPr>
        <w:t xml:space="preserve">и требованиями Контракта.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  <w:rPr>
          <w:b/>
        </w:rPr>
      </w:pPr>
      <w:r>
        <w:rPr>
          <w:b/>
        </w:rPr>
        <w:t xml:space="preserve">7</w:t>
      </w:r>
      <w:r>
        <w:rPr>
          <w:b/>
        </w:rPr>
        <w:t xml:space="preserve">. Требования к качеству и безопасности выполненных работ: </w:t>
      </w:r>
      <w:r>
        <w:rPr>
          <w:b/>
        </w:rPr>
      </w:r>
      <w:r>
        <w:rPr>
          <w:b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Выполнение работ производится в </w:t>
      </w:r>
      <w:r>
        <w:rPr>
          <w:rFonts w:eastAsia="Calibri"/>
        </w:rPr>
        <w:t xml:space="preserve">соответствии с</w:t>
      </w:r>
      <w:r>
        <w:rPr>
          <w:rFonts w:eastAsia="Calibri"/>
        </w:rPr>
        <w:t xml:space="preserve"> требованиями Федерального закона </w:t>
      </w:r>
      <w:r>
        <w:rPr>
          <w:rFonts w:eastAsia="Calibri"/>
        </w:rPr>
        <w:br/>
      </w:r>
      <w:r>
        <w:rPr>
          <w:rFonts w:eastAsia="Calibri"/>
        </w:rPr>
        <w:t xml:space="preserve">№116-ФЗ от 21.07.1997 «О промышленной безопасности опасных производственных объектов».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  <w:tab w:val="left" w:pos="709" w:leader="none"/>
        </w:tabs>
        <w:rPr>
          <w:rFonts w:eastAsia="Calibri"/>
        </w:rPr>
      </w:pPr>
      <w:r>
        <w:rPr>
          <w:rFonts w:eastAsia="Calibri"/>
        </w:rPr>
        <w:t xml:space="preserve">Выполнение работ проводится аттестованным персоналом.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Производить качественное техническое обслуживание автоматики безопасности </w:t>
      </w:r>
      <w:r>
        <w:rPr>
          <w:rFonts w:eastAsia="Calibri"/>
        </w:rPr>
        <w:br/>
      </w:r>
      <w:r>
        <w:rPr>
          <w:rFonts w:eastAsia="Calibri"/>
        </w:rPr>
        <w:t xml:space="preserve">и регулирования двух водогрейных котлов REX DUAL 200.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Выполнять работы по Контракту с соблюдением действующих нормативных правовых актов, положений и правил безопасности при эксплуатации оборудования КИПиА на опасном производственном объекте.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 w:line="276" w:lineRule="auto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Постоянно вести журнал контрольно-измерительных приборов автоматики безопасности </w:t>
      </w:r>
      <w:r>
        <w:rPr>
          <w:rFonts w:eastAsia="Calibri"/>
        </w:rPr>
        <w:br/>
      </w:r>
      <w:r>
        <w:rPr>
          <w:rFonts w:eastAsia="Calibri"/>
        </w:rPr>
        <w:t xml:space="preserve">и регулирования. 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 w:line="276" w:lineRule="auto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Осуществлять периодический контроль, но не реже 1 раза в месяц, за правильной эксплуатацией оборудования, проверку технического состояния, консультирование персонала </w:t>
      </w:r>
      <w:r>
        <w:rPr>
          <w:rFonts w:eastAsia="Calibri"/>
        </w:rPr>
        <w:br/>
      </w:r>
      <w:r>
        <w:rPr>
          <w:rFonts w:eastAsia="Calibri"/>
        </w:rPr>
        <w:t xml:space="preserve">по вопросам надлежащего технического ухода с тем, чтобы обеспечить правильное </w:t>
      </w:r>
      <w:r>
        <w:rPr>
          <w:rFonts w:eastAsia="Calibri"/>
        </w:rPr>
        <w:br/>
      </w:r>
      <w:r>
        <w:rPr>
          <w:rFonts w:eastAsia="Calibri"/>
        </w:rPr>
        <w:t xml:space="preserve">и эффективное использование оборудования.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Информировать Заказчика о необходимости проведения капитального и внепланового ремонта контрольно-измерительных приборов и автоматики безопасности оборудования котельной.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</w:pPr>
      <w:r>
        <w:rPr>
          <w:b/>
        </w:rPr>
        <w:t xml:space="preserve">8</w:t>
      </w:r>
      <w:r>
        <w:rPr>
          <w:b/>
        </w:rPr>
        <w:t xml:space="preserve">. Перечень работ:</w:t>
      </w:r>
      <w:r>
        <w:t xml:space="preserve"> </w:t>
      </w:r>
      <w:r/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Устранять неисправности автоматики безопасности, возникающие в процессе работы котельного оборудования, не связанные с неправильной эксплуатацией оборудования Заказчиком.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В течение 2 (двух) часов после получения вызова от Заказчика, обеспечить прибытие </w:t>
      </w:r>
      <w:r>
        <w:rPr>
          <w:rFonts w:eastAsia="Calibri"/>
        </w:rPr>
        <w:br/>
      </w:r>
      <w:r>
        <w:rPr>
          <w:rFonts w:eastAsia="Calibri"/>
        </w:rPr>
        <w:t xml:space="preserve">на место нахождения обслуживаемого оборудования специалиста для устранения неисправности автоматики безопасности котельного оборудования.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В течение 24 (двадцати четырёх) часов после получения вызова от Заказчика обеспечить прибытие на место нахождения обслуживаемого оборудования специалиста для настройки или выполнения работ, не связанных с аварийной остановкой работы оборудования;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Исполнитель несет ответственность за качественное и квалифицированное проведение работ, а также за целесообразность используемых материалов и оборудования.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Заказчик имеет право на вызов специалистов Исполнителя для проведения работ в период действия настоящего Контракта.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Заказчик обязуется предоставить Исполнителю информацию и документацию об объекте, </w:t>
      </w:r>
      <w:r>
        <w:rPr>
          <w:rFonts w:eastAsia="Calibri"/>
        </w:rPr>
        <w:br/>
      </w:r>
      <w:r>
        <w:rPr>
          <w:rFonts w:eastAsia="Calibri"/>
        </w:rPr>
        <w:t xml:space="preserve">на котором установлено оборудование и спецификацию данного оборудования.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  <w:tabs>
          <w:tab w:val="left" w:pos="1134" w:leader="none"/>
        </w:tabs>
        <w:rPr>
          <w:b/>
        </w:rPr>
      </w:pPr>
      <w:r>
        <w:rPr>
          <w:b/>
        </w:rPr>
        <w:t xml:space="preserve">9</w:t>
      </w:r>
      <w:r>
        <w:rPr>
          <w:b/>
        </w:rPr>
        <w:t xml:space="preserve">. Техническое обслуживание включает в себя:</w:t>
      </w:r>
      <w:r>
        <w:rPr>
          <w:b/>
        </w:rPr>
      </w:r>
      <w:r>
        <w:rPr>
          <w:b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ежемесячные проверки работоспособности автоматики безопасности двух водогрейных котлов REX DUAL 200, оборудованных газовыми горелками;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ежемесячные проверки, работоспособности общекотельной автоматики безопасности </w:t>
      </w:r>
      <w:r>
        <w:rPr>
          <w:rFonts w:eastAsia="Calibri"/>
        </w:rPr>
        <w:br/>
      </w:r>
      <w:r>
        <w:rPr>
          <w:rFonts w:eastAsia="Calibri"/>
        </w:rPr>
        <w:t xml:space="preserve">и аварийной сигнализации;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проведение испытаний и настройка приборов общекотельной автоматики безопасности </w:t>
      </w:r>
      <w:r>
        <w:rPr>
          <w:rFonts w:eastAsia="Calibri"/>
        </w:rPr>
        <w:br/>
      </w:r>
      <w:r>
        <w:rPr>
          <w:rFonts w:eastAsia="Calibri"/>
        </w:rPr>
        <w:t xml:space="preserve">и аварийной сигнализации (перед отопительным сезоном);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мелкий ремонт приборов автоматики безопасности водогрейных котлов REX DUAL 200;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проведение испытаний и настройка приборов автоматики безопасности водогрейных котлов REX DUAL 200 (перед отопительным сезоном);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обслуживание щитов управления и сигнализации котлов;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снятие/установку контрольно-измерительных приборов и средств автоматизации;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корректировку «0» показаний показывающих приборов (тягонапоромеров);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настройку приборов (датчиков) безопасности и управления на параметры согласно режимным картам, картам настроек автоматики безопасности;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проверка готовности автоматики безопасности, приборов КИП и средств измерения </w:t>
      </w:r>
      <w:r>
        <w:rPr>
          <w:rFonts w:eastAsia="Calibri"/>
        </w:rPr>
        <w:br/>
      </w:r>
      <w:r>
        <w:rPr>
          <w:rFonts w:eastAsia="Calibri"/>
        </w:rPr>
        <w:t xml:space="preserve">к работе;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проверка срабатывания автоматики безопасности и приборов КИП;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проведение испытаний трубопроводов на герметичн</w:t>
      </w:r>
      <w:r>
        <w:rPr>
          <w:rFonts w:eastAsia="Calibri"/>
        </w:rPr>
        <w:t xml:space="preserve">ость;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- более подробный перечень указан в приложении № 1 к Техническому заданию.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</w:pPr>
      <w:r>
        <w:rPr>
          <w:b/>
        </w:rPr>
        <w:t xml:space="preserve">1</w:t>
      </w:r>
      <w:r>
        <w:rPr>
          <w:b/>
        </w:rPr>
        <w:t xml:space="preserve">0</w:t>
      </w:r>
      <w:r>
        <w:rPr>
          <w:b/>
        </w:rPr>
        <w:t xml:space="preserve">. Условия технического обслуживания:</w:t>
      </w:r>
      <w:r/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t xml:space="preserve"> </w:t>
      </w:r>
      <w:r>
        <w:rPr>
          <w:rFonts w:eastAsia="Calibri"/>
        </w:rPr>
        <w:t xml:space="preserve">На техническое обслуживание принимается исправное оборудование Заказчика на момент заключения Контракта.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Плановое техническое обслуживание производится аттестованными специалистами Исполнителя.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При проведении работ, связанных с необходимостью присутствия специалистов Исполнителя, (например, при проведении работ на газовом оборудовании работниками </w:t>
      </w:r>
      <w:r>
        <w:rPr>
          <w:rFonts w:eastAsia="Calibri"/>
        </w:rPr>
        <w:br/>
      </w:r>
      <w:r>
        <w:rPr>
          <w:rFonts w:eastAsia="Calibri"/>
        </w:rPr>
        <w:t xml:space="preserve">АО «ТулаГоргаз»), согласовать время прибытия специалистов Исполнителя заранее.</w:t>
      </w:r>
      <w:r>
        <w:rPr>
          <w:rFonts w:eastAsia="Calibri"/>
        </w:rPr>
      </w:r>
      <w:r>
        <w:rPr>
          <w:rFonts w:eastAsia="Calibri"/>
        </w:rPr>
      </w:r>
    </w:p>
    <w:p>
      <w:pPr>
        <w:contextualSpacing/>
        <w:ind w:firstLine="426"/>
        <w:jc w:val="both"/>
        <w:spacing w:after="200"/>
        <w:tabs>
          <w:tab w:val="left" w:pos="0" w:leader="none"/>
        </w:tabs>
        <w:rPr>
          <w:rFonts w:eastAsia="Calibri"/>
        </w:rPr>
      </w:pPr>
      <w:r>
        <w:rPr>
          <w:rFonts w:eastAsia="Calibri"/>
        </w:rPr>
        <w:t xml:space="preserve">Время подъезда специалистов Исполнителя в случае аварийной остановки (поломки) </w:t>
      </w:r>
      <w:r>
        <w:rPr>
          <w:rFonts w:eastAsia="Calibri"/>
        </w:rPr>
        <w:br/>
      </w:r>
      <w:r>
        <w:rPr>
          <w:rFonts w:eastAsia="Calibri"/>
        </w:rPr>
        <w:t xml:space="preserve">в котельной, устанавливается не позднее 2-х часов, после получения вызова. </w:t>
      </w:r>
      <w:r>
        <w:rPr>
          <w:rFonts w:eastAsia="Calibri"/>
        </w:rPr>
      </w:r>
      <w:r>
        <w:rPr>
          <w:rFonts w:eastAsia="Calibri"/>
        </w:rPr>
      </w:r>
    </w:p>
    <w:p>
      <w:pPr>
        <w:ind w:firstLine="426"/>
        <w:jc w:val="both"/>
        <w:tabs>
          <w:tab w:val="left" w:pos="1134" w:leader="none"/>
        </w:tabs>
        <w:rPr>
          <w:sz w:val="22"/>
          <w:szCs w:val="22"/>
        </w:rPr>
      </w:pPr>
      <w:r>
        <w:rPr>
          <w:rFonts w:eastAsia="Calibri"/>
        </w:rPr>
        <w:t xml:space="preserve">Персонал Заказчика после вызова специалистов Исполнителя, принимает меры для безаварийного вывода оборудования из работы.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9600" w:type="dxa"/>
        <w:jc w:val="center"/>
        <w:tblLayout w:type="fixed"/>
        <w:tblLook w:val="00A0" w:firstRow="1" w:lastRow="0" w:firstColumn="1" w:lastColumn="0" w:noHBand="0" w:noVBand="0"/>
      </w:tblPr>
      <w:tblGrid>
        <w:gridCol w:w="4785"/>
        <w:gridCol w:w="4815"/>
      </w:tblGrid>
      <w:tr>
        <w:tblPrEx/>
        <w:trPr>
          <w:jc w:val="center"/>
        </w:trPr>
        <w:tc>
          <w:tcPr>
            <w:tcW w:w="4785" w:type="dxa"/>
            <w:textDirection w:val="lrTb"/>
            <w:noWrap w:val="false"/>
          </w:tcPr>
          <w:p>
            <w:r/>
            <w:r/>
          </w:p>
        </w:tc>
        <w:tc>
          <w:tcPr>
            <w:tcW w:w="4815" w:type="dxa"/>
            <w:textDirection w:val="lrTb"/>
            <w:noWrap w:val="false"/>
          </w:tcPr>
          <w:p>
            <w:r/>
            <w:r/>
          </w:p>
        </w:tc>
      </w:tr>
    </w:tbl>
    <w:p>
      <w:pPr>
        <w:ind w:firstLine="709"/>
        <w:jc w:val="right"/>
      </w:pPr>
      <w:r/>
      <w:r/>
    </w:p>
    <w:p>
      <w:pPr>
        <w:ind w:firstLine="709"/>
        <w:jc w:val="right"/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right"/>
        <w:rPr>
          <w:highlight w:val="none"/>
        </w:rPr>
      </w:pPr>
      <w:r>
        <w:t xml:space="preserve">Приложение № 1</w:t>
      </w:r>
      <w:r>
        <w:rPr>
          <w:highlight w:val="none"/>
        </w:rPr>
      </w:r>
    </w:p>
    <w:p>
      <w:pPr>
        <w:ind w:firstLine="709"/>
        <w:jc w:val="right"/>
      </w:pPr>
      <w:r>
        <w:t xml:space="preserve">к Техническому заданию </w:t>
      </w:r>
      <w:r/>
    </w:p>
    <w:p>
      <w:pPr>
        <w:jc w:val="center"/>
      </w:pPr>
      <w:r/>
      <w:r/>
    </w:p>
    <w:p>
      <w:pPr>
        <w:jc w:val="center"/>
        <w:rPr>
          <w:b/>
        </w:rPr>
      </w:pPr>
      <w:r>
        <w:rPr>
          <w:b/>
        </w:rPr>
        <w:t xml:space="preserve">ПЕРЕЧЕНЬ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регламентных работ по техническому обслуживанию 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автоматики безопасности котлов и котельной</w:t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1. Обслуживание комплекса оборудования газовой горелки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внешний осмотр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чистка газового фильтра, газовых сопел, стабилизатора пламени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состояния зажигательных электродов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устранение люфтов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работы горелки в режиме холостого хода.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2. Обслуживание газопроводов в пределах котла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герметичности соединений трубопроводов, арматуры, электромагнитного клапана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чистка газового фильтра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стабилизатора давления газа.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3. Обслуживание комплекса системы автоматики регулировки котла и контрольно-измерительных приборов с электронной автоматикой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внешний осмотр, проверка электрических соединений цифрового контроллера, температурных датчиков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наличия программ цифрового контроллера котла и контроллера отопительных контуров и проверка их работоспособности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действия управляющих сигналов цифровых регуляторов на насосы отопительных контуров и смесительные клапана.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4. Обслуживание автоматики безопасности и розжига. Проверка работоспособности автоматики на остановку и пуск котла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 по: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угасанию пламени на горелке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недопустимому повышению или снижению давления газа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недопустимому снижению подачи воздуха для сгорания газа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недопустимому повышению температуры воды в котле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остановке подачи электроэнергии или снижению напряжения на приборах дистанционного управления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неисправности контрольно-измерительных приборов и устройства автоматической сигнализации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неисправности предохранительных и блокирующих устройств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неисправности горелок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неисправности водяных насосов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при загазованности помещения котельной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при поступлении сигнала о возникновении пожара в помещении котельной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  при недопустимом снижении или повышении давления воды в системе отопления.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5. Обслуживание оборудования и средств автоматизации, приборов контроля и регулировки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проверка исправности работы манометров, механичных и электронных термометров, электроконтактных реле температуры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проверка технического состояния насосов и их профилактика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технического состояния смесительных клапанов и их профилактика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технического состояния мембранных баков, а также снижение давления в них (в случае необходимости подкачка)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внешний осмотр, проверка электрических соединений цифрового контроллера, датчиков температуры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наличия программ цифровых контроллера котла и контроллера отопительных контуров и проверка их работоспособности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 проверка работы управляющих сигналов цифровых регуляторов на насосы отопительных контуров </w:t>
      </w:r>
      <w:r>
        <w:rPr>
          <w:rFonts w:eastAsia="Calibri"/>
          <w:lang w:eastAsia="en-US"/>
        </w:rPr>
        <w:t xml:space="preserve">и смесительные</w:t>
      </w:r>
      <w:r>
        <w:rPr>
          <w:rFonts w:eastAsia="Calibri"/>
          <w:lang w:eastAsia="en-US"/>
        </w:rPr>
        <w:t xml:space="preserve"> клапана.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6. </w:t>
      </w:r>
      <w:r>
        <w:rPr>
          <w:b/>
        </w:rPr>
        <w:t xml:space="preserve">Обслуживание системы бака запаса воды и насоса подпитки (1 раз в месяц)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jc w:val="both"/>
        <w:rPr>
          <w:i/>
          <w:iCs/>
        </w:rPr>
      </w:pPr>
      <w:r>
        <w:t xml:space="preserve">- проверка работы устройств автоматической подпитки.</w:t>
      </w:r>
      <w:r>
        <w:rPr>
          <w:i/>
          <w:iCs/>
        </w:rPr>
      </w:r>
      <w:r>
        <w:rPr>
          <w:i/>
          <w:iCs/>
        </w:rPr>
      </w:r>
    </w:p>
    <w:p>
      <w:pPr>
        <w:numPr>
          <w:ilvl w:val="0"/>
          <w:numId w:val="32"/>
        </w:num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Электрооборудование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функционирования магнитных пускателей, устройств защитного отключения, реле контроля фаз, автоматических выключателей, блоков питания пультов диспетчерской сигнализации, реле промежуточных, системы электроосвещения.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numPr>
          <w:ilvl w:val="0"/>
          <w:numId w:val="32"/>
        </w:numPr>
        <w:tabs>
          <w:tab w:val="left" w:pos="360" w:leader="none"/>
        </w:tabs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Автоматика регулировки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- проверка функционирования каскадной, контурной и погодной регулировки.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numPr>
          <w:ilvl w:val="0"/>
          <w:numId w:val="32"/>
        </w:num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Автоматика безопасности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параметров срабатывания общей автоматики безопасности.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10. Газовое оборудование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герметичности, плавности хода и плотности закрывания запорной арматуры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исправности и правильности показаний манометров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герметичности и плотности закрывания клапана-отсекателя.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11. Тепломеханическое оборудование (</w:t>
      </w:r>
      <w:r>
        <w:rPr>
          <w:rFonts w:eastAsia="Calibri"/>
          <w:b/>
          <w:lang w:eastAsia="en-US"/>
        </w:rPr>
        <w:t xml:space="preserve">1 раз в месяц</w:t>
      </w:r>
      <w:r>
        <w:rPr>
          <w:rFonts w:eastAsia="Calibri"/>
          <w:b/>
          <w:lang w:eastAsia="en-US"/>
        </w:rPr>
        <w:t xml:space="preserve">)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отсутствия протекания воды в трубопроводах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осмотр состояния циркуляционных насосов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функционирования подпиточной станции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отсутствия протеканий компенсаторов объема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исправности и правильности показаний манометров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срабатывания автоматических воздухоотводчиков.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12. </w:t>
      </w:r>
      <w:r>
        <w:rPr>
          <w:rFonts w:eastAsia="Calibri"/>
          <w:b/>
          <w:lang w:eastAsia="en-US"/>
        </w:rPr>
        <w:t xml:space="preserve">Перед началом</w:t>
      </w:r>
      <w:r>
        <w:rPr>
          <w:rFonts w:eastAsia="Calibri"/>
          <w:b/>
          <w:lang w:eastAsia="en-US"/>
        </w:rPr>
        <w:t xml:space="preserve"> отопительного сезона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установка</w:t>
      </w:r>
      <w:r>
        <w:rPr>
          <w:rFonts w:eastAsia="Calibri"/>
          <w:lang w:eastAsia="en-US"/>
        </w:rPr>
        <w:t xml:space="preserve"> контрольно-измерительных приборов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 xml:space="preserve">проведение испытаний и настройка приборов общекотельной автоматики безопасности и аварийной сигнализации;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 xml:space="preserve">проведение испытаний и настройка приборов автоматики безопасности водогрейных котлов </w:t>
      </w:r>
      <w:r>
        <w:rPr>
          <w:rFonts w:eastAsia="Calibri"/>
          <w:lang w:eastAsia="en-US"/>
        </w:rPr>
        <w:br/>
      </w:r>
      <w:r>
        <w:rPr>
          <w:rFonts w:eastAsia="Calibri"/>
          <w:lang w:eastAsia="en-US"/>
        </w:rPr>
        <w:t xml:space="preserve">REX DUAL 200</w:t>
      </w:r>
      <w:r>
        <w:rPr>
          <w:rFonts w:eastAsia="Calibri"/>
          <w:lang w:eastAsia="en-US"/>
        </w:rPr>
        <w:t xml:space="preserve">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 xml:space="preserve">проверка готовности автоматики безопасности, приборов КИП и средств измерения к работе;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проверка срабатывания автоматики безопасности и приборов КИП;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проведение испытаний трубопроводов на герметичность</w:t>
      </w:r>
      <w:r>
        <w:rPr>
          <w:rFonts w:eastAsia="Calibri"/>
          <w:lang w:eastAsia="en-US"/>
        </w:rPr>
        <w:t xml:space="preserve">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1</w:t>
      </w:r>
      <w:r>
        <w:rPr>
          <w:rFonts w:eastAsia="Calibri"/>
          <w:b/>
          <w:lang w:eastAsia="en-US"/>
        </w:rPr>
        <w:t xml:space="preserve">3</w:t>
      </w:r>
      <w:r>
        <w:rPr>
          <w:rFonts w:eastAsia="Calibri"/>
          <w:b/>
          <w:lang w:eastAsia="en-US"/>
        </w:rPr>
        <w:t xml:space="preserve">. После окончания отопительного сезона</w:t>
      </w:r>
      <w:r>
        <w:rPr>
          <w:rFonts w:eastAsia="Calibri"/>
          <w:b/>
          <w:lang w:eastAsia="en-US"/>
        </w:rPr>
      </w:r>
      <w:r>
        <w:rPr>
          <w:rFonts w:eastAsia="Calibri"/>
          <w:b/>
          <w:lang w:eastAsia="en-US"/>
        </w:rPr>
      </w:r>
    </w:p>
    <w:p>
      <w:pPr>
        <w:ind w:left="-142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 xml:space="preserve">с</w:t>
      </w:r>
      <w:r>
        <w:rPr>
          <w:rFonts w:eastAsia="Calibri"/>
          <w:lang w:eastAsia="en-US"/>
        </w:rPr>
        <w:t xml:space="preserve">нятие </w:t>
      </w:r>
      <w:r>
        <w:rPr>
          <w:rFonts w:eastAsia="Calibri"/>
          <w:lang w:eastAsia="en-US"/>
        </w:rPr>
        <w:t xml:space="preserve">контрольно-измерительных приборов</w:t>
      </w:r>
      <w:r>
        <w:rPr>
          <w:rFonts w:eastAsia="Calibri"/>
          <w:lang w:eastAsia="en-US"/>
        </w:rPr>
        <w:t xml:space="preserve">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выполнить работы по выводу котельной из работы после завершения отопительного сезона.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ind w:left="-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диагностика оборудования котельной, с выдачей рекомендаций по проведению ремонтных работ в межотопительный период в соответствии с действующим законодательством.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r>
        <w:t xml:space="preserve"> </w:t>
      </w:r>
      <w:r/>
    </w:p>
    <w:p>
      <w:pPr>
        <w:widowControl w:val="off"/>
      </w:pPr>
      <w:r/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567" w:right="707" w:bottom="567" w:left="1134" w:header="708" w:footer="708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alibri">
    <w:panose1 w:val="020F0502020204030204"/>
  </w:font>
  <w:font w:name="Tahoma">
    <w:panose1 w:val="020B0604030504040204"/>
  </w:font>
  <w:font w:name="Courier New">
    <w:panose1 w:val="020704090202050204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209912880"/>
      <w:docPartObj>
        <w:docPartGallery w:val="Page Numbers (Top of Page)"/>
        <w:docPartUnique w:val="true"/>
      </w:docPartObj>
      <w:rPr/>
    </w:sdtPr>
    <w:sdtContent>
      <w:p>
        <w:pPr>
          <w:pStyle w:val="96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96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218" w:hanging="360"/>
        <w:tabs>
          <w:tab w:val="num" w:pos="218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938" w:hanging="360"/>
        <w:tabs>
          <w:tab w:val="num" w:pos="938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658" w:hanging="180"/>
        <w:tabs>
          <w:tab w:val="num" w:pos="1658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378" w:hanging="360"/>
        <w:tabs>
          <w:tab w:val="num" w:pos="2378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098" w:hanging="360"/>
        <w:tabs>
          <w:tab w:val="num" w:pos="3098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818" w:hanging="180"/>
        <w:tabs>
          <w:tab w:val="num" w:pos="3818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538" w:hanging="360"/>
        <w:tabs>
          <w:tab w:val="num" w:pos="4538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258" w:hanging="360"/>
        <w:tabs>
          <w:tab w:val="num" w:pos="5258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5978" w:hanging="180"/>
        <w:tabs>
          <w:tab w:val="num" w:pos="5978" w:leader="none"/>
        </w:tabs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00" w:hanging="18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  <w:color w:val="000000"/>
      </w:rPr>
    </w:lvl>
    <w:lvl w:ilvl="1">
      <w:start w:val="1"/>
      <w:numFmt w:val="decimal"/>
      <w:isLgl w:val="false"/>
      <w:suff w:val="tab"/>
      <w:lvlText w:val="%1.%2"/>
      <w:lvlJc w:val="left"/>
      <w:pPr>
        <w:ind w:left="928" w:hanging="360"/>
        <w:tabs>
          <w:tab w:val="num" w:pos="928" w:leader="none"/>
        </w:tabs>
      </w:pPr>
      <w:rPr>
        <w:rFonts w:hint="default" w:cs="Times New Roman"/>
        <w:color w:val="000000"/>
      </w:rPr>
    </w:lvl>
    <w:lvl w:ilvl="2">
      <w:start w:val="1"/>
      <w:numFmt w:val="decimal"/>
      <w:isLgl w:val="false"/>
      <w:suff w:val="tab"/>
      <w:lvlText w:val="%1.%2.%3"/>
      <w:lvlJc w:val="left"/>
      <w:pPr>
        <w:ind w:left="1572" w:hanging="720"/>
        <w:tabs>
          <w:tab w:val="num" w:pos="1572" w:leader="none"/>
        </w:tabs>
      </w:pPr>
      <w:rPr>
        <w:rFonts w:hint="default" w:cs="Times New Roman"/>
        <w:color w:val="00000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358" w:hanging="1080"/>
        <w:tabs>
          <w:tab w:val="num" w:pos="2358" w:leader="none"/>
        </w:tabs>
      </w:pPr>
      <w:rPr>
        <w:rFonts w:hint="default" w:cs="Times New Roman"/>
        <w:color w:val="000000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784" w:hanging="1080"/>
        <w:tabs>
          <w:tab w:val="num" w:pos="2784" w:leader="none"/>
        </w:tabs>
      </w:pPr>
      <w:rPr>
        <w:rFonts w:hint="default" w:cs="Times New Roman"/>
        <w:color w:val="000000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3570" w:hanging="1440"/>
        <w:tabs>
          <w:tab w:val="num" w:pos="3570" w:leader="none"/>
        </w:tabs>
      </w:pPr>
      <w:rPr>
        <w:rFonts w:hint="default" w:cs="Times New Roman"/>
        <w:color w:val="000000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996" w:hanging="1440"/>
        <w:tabs>
          <w:tab w:val="num" w:pos="3996" w:leader="none"/>
        </w:tabs>
      </w:pPr>
      <w:rPr>
        <w:rFonts w:hint="default" w:cs="Times New Roman"/>
        <w:color w:val="000000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4782" w:hanging="1800"/>
        <w:tabs>
          <w:tab w:val="num" w:pos="4782" w:leader="none"/>
        </w:tabs>
      </w:pPr>
      <w:rPr>
        <w:rFonts w:hint="default" w:cs="Times New Roman"/>
        <w:color w:val="000000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568" w:hanging="2160"/>
        <w:tabs>
          <w:tab w:val="num" w:pos="5568" w:leader="none"/>
        </w:tabs>
      </w:pPr>
      <w:rPr>
        <w:rFonts w:hint="default" w:cs="Times New Roman"/>
        <w:color w:val="00000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­"/>
      <w:lvlJc w:val="left"/>
      <w:pPr>
        <w:ind w:left="1060" w:hanging="360"/>
      </w:pPr>
      <w:rPr>
        <w:rFonts w:hint="default" w:ascii="Courier New" w:hAnsi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855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7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9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5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3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5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5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95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0"/>
  </w:num>
  <w:num w:numId="27">
    <w:abstractNumId w:val="11"/>
  </w:num>
  <w:num w:numId="28">
    <w:abstractNumId w:val="7"/>
  </w:num>
  <w:num w:numId="29">
    <w:abstractNumId w:val="12"/>
  </w:num>
  <w:num w:numId="30">
    <w:abstractNumId w:val="8"/>
  </w:num>
  <w:num w:numId="31">
    <w:abstractNumId w:val="6"/>
  </w:num>
  <w:num w:numId="32">
    <w:abstractNumId w:val="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5">
    <w:name w:val="Heading 1 Char"/>
    <w:basedOn w:val="897"/>
    <w:link w:val="888"/>
    <w:uiPriority w:val="9"/>
    <w:rPr>
      <w:rFonts w:ascii="Arial" w:hAnsi="Arial" w:eastAsia="Arial" w:cs="Arial"/>
      <w:sz w:val="40"/>
      <w:szCs w:val="40"/>
    </w:rPr>
  </w:style>
  <w:style w:type="character" w:styleId="736">
    <w:name w:val="Heading 2 Char"/>
    <w:basedOn w:val="897"/>
    <w:link w:val="889"/>
    <w:uiPriority w:val="9"/>
    <w:rPr>
      <w:rFonts w:ascii="Arial" w:hAnsi="Arial" w:eastAsia="Arial" w:cs="Arial"/>
      <w:sz w:val="34"/>
    </w:rPr>
  </w:style>
  <w:style w:type="character" w:styleId="737">
    <w:name w:val="Heading 3 Char"/>
    <w:basedOn w:val="897"/>
    <w:link w:val="890"/>
    <w:uiPriority w:val="9"/>
    <w:rPr>
      <w:rFonts w:ascii="Arial" w:hAnsi="Arial" w:eastAsia="Arial" w:cs="Arial"/>
      <w:sz w:val="30"/>
      <w:szCs w:val="30"/>
    </w:rPr>
  </w:style>
  <w:style w:type="character" w:styleId="738">
    <w:name w:val="Heading 4 Char"/>
    <w:basedOn w:val="897"/>
    <w:link w:val="891"/>
    <w:uiPriority w:val="9"/>
    <w:rPr>
      <w:rFonts w:ascii="Arial" w:hAnsi="Arial" w:eastAsia="Arial" w:cs="Arial"/>
      <w:b/>
      <w:bCs/>
      <w:sz w:val="26"/>
      <w:szCs w:val="26"/>
    </w:rPr>
  </w:style>
  <w:style w:type="character" w:styleId="739">
    <w:name w:val="Heading 5 Char"/>
    <w:basedOn w:val="897"/>
    <w:link w:val="892"/>
    <w:uiPriority w:val="9"/>
    <w:rPr>
      <w:rFonts w:ascii="Arial" w:hAnsi="Arial" w:eastAsia="Arial" w:cs="Arial"/>
      <w:b/>
      <w:bCs/>
      <w:sz w:val="24"/>
      <w:szCs w:val="24"/>
    </w:rPr>
  </w:style>
  <w:style w:type="character" w:styleId="740">
    <w:name w:val="Heading 6 Char"/>
    <w:basedOn w:val="897"/>
    <w:link w:val="893"/>
    <w:uiPriority w:val="9"/>
    <w:rPr>
      <w:rFonts w:ascii="Arial" w:hAnsi="Arial" w:eastAsia="Arial" w:cs="Arial"/>
      <w:b/>
      <w:bCs/>
      <w:sz w:val="22"/>
      <w:szCs w:val="22"/>
    </w:rPr>
  </w:style>
  <w:style w:type="character" w:styleId="741">
    <w:name w:val="Heading 7 Char"/>
    <w:basedOn w:val="897"/>
    <w:link w:val="8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8 Char"/>
    <w:basedOn w:val="897"/>
    <w:link w:val="895"/>
    <w:uiPriority w:val="9"/>
    <w:rPr>
      <w:rFonts w:ascii="Arial" w:hAnsi="Arial" w:eastAsia="Arial" w:cs="Arial"/>
      <w:i/>
      <w:iCs/>
      <w:sz w:val="22"/>
      <w:szCs w:val="22"/>
    </w:rPr>
  </w:style>
  <w:style w:type="character" w:styleId="743">
    <w:name w:val="Heading 9 Char"/>
    <w:basedOn w:val="897"/>
    <w:link w:val="896"/>
    <w:uiPriority w:val="9"/>
    <w:rPr>
      <w:rFonts w:ascii="Arial" w:hAnsi="Arial" w:eastAsia="Arial" w:cs="Arial"/>
      <w:i/>
      <w:iCs/>
      <w:sz w:val="21"/>
      <w:szCs w:val="21"/>
    </w:rPr>
  </w:style>
  <w:style w:type="character" w:styleId="744">
    <w:name w:val="Title Char"/>
    <w:basedOn w:val="897"/>
    <w:link w:val="948"/>
    <w:uiPriority w:val="10"/>
    <w:rPr>
      <w:sz w:val="48"/>
      <w:szCs w:val="48"/>
    </w:rPr>
  </w:style>
  <w:style w:type="character" w:styleId="745">
    <w:name w:val="Subtitle Char"/>
    <w:basedOn w:val="897"/>
    <w:link w:val="950"/>
    <w:uiPriority w:val="11"/>
    <w:rPr>
      <w:sz w:val="24"/>
      <w:szCs w:val="24"/>
    </w:rPr>
  </w:style>
  <w:style w:type="character" w:styleId="746">
    <w:name w:val="Quote Char"/>
    <w:link w:val="954"/>
    <w:uiPriority w:val="29"/>
    <w:rPr>
      <w:i/>
    </w:rPr>
  </w:style>
  <w:style w:type="character" w:styleId="747">
    <w:name w:val="Intense Quote Char"/>
    <w:link w:val="956"/>
    <w:uiPriority w:val="30"/>
    <w:rPr>
      <w:i/>
    </w:rPr>
  </w:style>
  <w:style w:type="character" w:styleId="748">
    <w:name w:val="Header Char"/>
    <w:basedOn w:val="897"/>
    <w:link w:val="964"/>
    <w:uiPriority w:val="99"/>
  </w:style>
  <w:style w:type="character" w:styleId="749">
    <w:name w:val="Footer Char"/>
    <w:basedOn w:val="897"/>
    <w:link w:val="966"/>
    <w:uiPriority w:val="99"/>
  </w:style>
  <w:style w:type="character" w:styleId="750">
    <w:name w:val="Caption Char"/>
    <w:basedOn w:val="947"/>
    <w:link w:val="966"/>
    <w:uiPriority w:val="99"/>
  </w:style>
  <w:style w:type="table" w:styleId="751">
    <w:name w:val="Table Grid Light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0">
    <w:name w:val="List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1">
    <w:name w:val="List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2">
    <w:name w:val="List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3">
    <w:name w:val="List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4">
    <w:name w:val="List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5">
    <w:name w:val="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 &amp; 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4">
    <w:name w:val="Bordered &amp; 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5">
    <w:name w:val="Bordered &amp; 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6">
    <w:name w:val="Bordered &amp; 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7">
    <w:name w:val="Bordered &amp; 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8">
    <w:name w:val="Bordered &amp; 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9">
    <w:name w:val="Bordered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6">
    <w:name w:val="Endnote Text Char"/>
    <w:link w:val="936"/>
    <w:uiPriority w:val="99"/>
    <w:rPr>
      <w:sz w:val="20"/>
    </w:rPr>
  </w:style>
  <w:style w:type="paragraph" w:styleId="877">
    <w:name w:val="toc 1"/>
    <w:basedOn w:val="887"/>
    <w:next w:val="887"/>
    <w:uiPriority w:val="39"/>
    <w:unhideWhenUsed/>
    <w:pPr>
      <w:ind w:left="0" w:right="0" w:firstLine="0"/>
      <w:spacing w:after="57"/>
    </w:pPr>
  </w:style>
  <w:style w:type="paragraph" w:styleId="878">
    <w:name w:val="toc 2"/>
    <w:basedOn w:val="887"/>
    <w:next w:val="887"/>
    <w:uiPriority w:val="39"/>
    <w:unhideWhenUsed/>
    <w:pPr>
      <w:ind w:left="283" w:right="0" w:firstLine="0"/>
      <w:spacing w:after="57"/>
    </w:pPr>
  </w:style>
  <w:style w:type="paragraph" w:styleId="879">
    <w:name w:val="toc 3"/>
    <w:basedOn w:val="887"/>
    <w:next w:val="887"/>
    <w:uiPriority w:val="39"/>
    <w:unhideWhenUsed/>
    <w:pPr>
      <w:ind w:left="567" w:right="0" w:firstLine="0"/>
      <w:spacing w:after="57"/>
    </w:pPr>
  </w:style>
  <w:style w:type="paragraph" w:styleId="880">
    <w:name w:val="toc 4"/>
    <w:basedOn w:val="887"/>
    <w:next w:val="887"/>
    <w:uiPriority w:val="39"/>
    <w:unhideWhenUsed/>
    <w:pPr>
      <w:ind w:left="850" w:right="0" w:firstLine="0"/>
      <w:spacing w:after="57"/>
    </w:pPr>
  </w:style>
  <w:style w:type="paragraph" w:styleId="881">
    <w:name w:val="toc 5"/>
    <w:basedOn w:val="887"/>
    <w:next w:val="887"/>
    <w:uiPriority w:val="39"/>
    <w:unhideWhenUsed/>
    <w:pPr>
      <w:ind w:left="1134" w:right="0" w:firstLine="0"/>
      <w:spacing w:after="57"/>
    </w:pPr>
  </w:style>
  <w:style w:type="paragraph" w:styleId="882">
    <w:name w:val="toc 6"/>
    <w:basedOn w:val="887"/>
    <w:next w:val="887"/>
    <w:uiPriority w:val="39"/>
    <w:unhideWhenUsed/>
    <w:pPr>
      <w:ind w:left="1417" w:right="0" w:firstLine="0"/>
      <w:spacing w:after="57"/>
    </w:pPr>
  </w:style>
  <w:style w:type="paragraph" w:styleId="883">
    <w:name w:val="toc 7"/>
    <w:basedOn w:val="887"/>
    <w:next w:val="887"/>
    <w:uiPriority w:val="39"/>
    <w:unhideWhenUsed/>
    <w:pPr>
      <w:ind w:left="1701" w:right="0" w:firstLine="0"/>
      <w:spacing w:after="57"/>
    </w:pPr>
  </w:style>
  <w:style w:type="paragraph" w:styleId="884">
    <w:name w:val="toc 8"/>
    <w:basedOn w:val="887"/>
    <w:next w:val="887"/>
    <w:uiPriority w:val="39"/>
    <w:unhideWhenUsed/>
    <w:pPr>
      <w:ind w:left="1984" w:right="0" w:firstLine="0"/>
      <w:spacing w:after="57"/>
    </w:pPr>
  </w:style>
  <w:style w:type="paragraph" w:styleId="885">
    <w:name w:val="toc 9"/>
    <w:basedOn w:val="887"/>
    <w:next w:val="887"/>
    <w:uiPriority w:val="39"/>
    <w:unhideWhenUsed/>
    <w:pPr>
      <w:ind w:left="2268" w:right="0" w:firstLine="0"/>
      <w:spacing w:after="57"/>
    </w:pPr>
  </w:style>
  <w:style w:type="paragraph" w:styleId="886">
    <w:name w:val="table of figures"/>
    <w:basedOn w:val="887"/>
    <w:next w:val="887"/>
    <w:uiPriority w:val="99"/>
    <w:unhideWhenUsed/>
    <w:pPr>
      <w:spacing w:after="0" w:afterAutospacing="0"/>
    </w:pPr>
  </w:style>
  <w:style w:type="paragraph" w:styleId="887" w:default="1">
    <w:name w:val="Normal"/>
    <w:qFormat/>
    <w:rPr>
      <w:sz w:val="24"/>
      <w:szCs w:val="24"/>
    </w:rPr>
  </w:style>
  <w:style w:type="paragraph" w:styleId="888">
    <w:name w:val="Heading 1"/>
    <w:basedOn w:val="887"/>
    <w:link w:val="900"/>
    <w:uiPriority w:val="99"/>
    <w:qFormat/>
    <w:pPr>
      <w:jc w:val="center"/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889">
    <w:name w:val="Heading 2"/>
    <w:basedOn w:val="887"/>
    <w:link w:val="901"/>
    <w:uiPriority w:val="9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90">
    <w:name w:val="Heading 3"/>
    <w:basedOn w:val="887"/>
    <w:link w:val="902"/>
    <w:uiPriority w:val="9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891">
    <w:name w:val="Heading 4"/>
    <w:basedOn w:val="887"/>
    <w:link w:val="903"/>
    <w:uiPriority w:val="99"/>
    <w:qFormat/>
    <w:pPr>
      <w:outlineLvl w:val="3"/>
    </w:pPr>
    <w:rPr>
      <w:b/>
      <w:bCs/>
    </w:rPr>
  </w:style>
  <w:style w:type="paragraph" w:styleId="892">
    <w:name w:val="Heading 5"/>
    <w:basedOn w:val="887"/>
    <w:next w:val="887"/>
    <w:link w:val="904"/>
    <w:uiPriority w:val="99"/>
    <w:qFormat/>
    <w:pPr>
      <w:jc w:val="both"/>
      <w:keepLines/>
      <w:keepNext/>
      <w:spacing w:before="200"/>
      <w:outlineLvl w:val="4"/>
    </w:pPr>
    <w:rPr>
      <w:rFonts w:ascii="Cambria" w:hAnsi="Cambria"/>
      <w:color w:val="243f60"/>
    </w:rPr>
  </w:style>
  <w:style w:type="paragraph" w:styleId="893">
    <w:name w:val="Heading 6"/>
    <w:basedOn w:val="887"/>
    <w:next w:val="887"/>
    <w:link w:val="905"/>
    <w:uiPriority w:val="99"/>
    <w:qFormat/>
    <w:pPr>
      <w:jc w:val="both"/>
      <w:keepLines/>
      <w:keepNext/>
      <w:spacing w:before="200"/>
      <w:outlineLvl w:val="5"/>
    </w:pPr>
    <w:rPr>
      <w:rFonts w:ascii="Cambria" w:hAnsi="Cambria"/>
      <w:i/>
      <w:iCs/>
      <w:color w:val="243f60"/>
    </w:rPr>
  </w:style>
  <w:style w:type="paragraph" w:styleId="894">
    <w:name w:val="Heading 7"/>
    <w:basedOn w:val="887"/>
    <w:next w:val="887"/>
    <w:link w:val="906"/>
    <w:uiPriority w:val="99"/>
    <w:qFormat/>
    <w:pPr>
      <w:jc w:val="both"/>
      <w:keepLines/>
      <w:keepNext/>
      <w:spacing w:before="200"/>
      <w:outlineLvl w:val="6"/>
    </w:pPr>
    <w:rPr>
      <w:rFonts w:ascii="Cambria" w:hAnsi="Cambria"/>
      <w:i/>
      <w:iCs/>
      <w:color w:val="404040"/>
    </w:rPr>
  </w:style>
  <w:style w:type="paragraph" w:styleId="895">
    <w:name w:val="Heading 8"/>
    <w:basedOn w:val="887"/>
    <w:next w:val="887"/>
    <w:link w:val="907"/>
    <w:uiPriority w:val="99"/>
    <w:qFormat/>
    <w:pPr>
      <w:jc w:val="both"/>
      <w:keepLines/>
      <w:keepNext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896">
    <w:name w:val="Heading 9"/>
    <w:basedOn w:val="887"/>
    <w:next w:val="887"/>
    <w:link w:val="908"/>
    <w:uiPriority w:val="99"/>
    <w:qFormat/>
    <w:pPr>
      <w:jc w:val="both"/>
      <w:keepLines/>
      <w:keepNext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897" w:default="1">
    <w:name w:val="Default Paragraph Font"/>
    <w:uiPriority w:val="1"/>
    <w:semiHidden/>
    <w:unhideWhenUsed/>
  </w:style>
  <w:style w:type="table" w:styleId="8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9" w:default="1">
    <w:name w:val="No List"/>
    <w:uiPriority w:val="99"/>
    <w:semiHidden/>
    <w:unhideWhenUsed/>
  </w:style>
  <w:style w:type="character" w:styleId="900" w:customStyle="1">
    <w:name w:val="Заголовок 1 Знак"/>
    <w:link w:val="888"/>
    <w:uiPriority w:val="99"/>
    <w:rPr>
      <w:b/>
      <w:sz w:val="48"/>
    </w:rPr>
  </w:style>
  <w:style w:type="character" w:styleId="901" w:customStyle="1">
    <w:name w:val="Заголовок 2 Знак"/>
    <w:link w:val="889"/>
    <w:uiPriority w:val="99"/>
    <w:rPr>
      <w:b/>
      <w:sz w:val="36"/>
    </w:rPr>
  </w:style>
  <w:style w:type="character" w:styleId="902" w:customStyle="1">
    <w:name w:val="Заголовок 3 Знак"/>
    <w:link w:val="890"/>
    <w:uiPriority w:val="99"/>
    <w:rPr>
      <w:b/>
      <w:sz w:val="27"/>
    </w:rPr>
  </w:style>
  <w:style w:type="character" w:styleId="903" w:customStyle="1">
    <w:name w:val="Заголовок 4 Знак"/>
    <w:link w:val="891"/>
    <w:uiPriority w:val="99"/>
    <w:rPr>
      <w:b/>
      <w:sz w:val="24"/>
    </w:rPr>
  </w:style>
  <w:style w:type="character" w:styleId="904" w:customStyle="1">
    <w:name w:val="Заголовок 5 Знак"/>
    <w:link w:val="892"/>
    <w:uiPriority w:val="99"/>
    <w:semiHidden/>
    <w:rPr>
      <w:rFonts w:ascii="Cambria" w:hAnsi="Cambria"/>
      <w:color w:val="243f60"/>
      <w:sz w:val="24"/>
    </w:rPr>
  </w:style>
  <w:style w:type="character" w:styleId="905" w:customStyle="1">
    <w:name w:val="Заголовок 6 Знак"/>
    <w:link w:val="893"/>
    <w:uiPriority w:val="99"/>
    <w:semiHidden/>
    <w:rPr>
      <w:rFonts w:ascii="Cambria" w:hAnsi="Cambria"/>
      <w:i/>
      <w:color w:val="243f60"/>
      <w:sz w:val="24"/>
    </w:rPr>
  </w:style>
  <w:style w:type="character" w:styleId="906" w:customStyle="1">
    <w:name w:val="Заголовок 7 Знак"/>
    <w:link w:val="894"/>
    <w:uiPriority w:val="99"/>
    <w:semiHidden/>
    <w:rPr>
      <w:rFonts w:ascii="Cambria" w:hAnsi="Cambria"/>
      <w:i/>
      <w:color w:val="404040"/>
      <w:sz w:val="24"/>
    </w:rPr>
  </w:style>
  <w:style w:type="character" w:styleId="907" w:customStyle="1">
    <w:name w:val="Заголовок 8 Знак"/>
    <w:link w:val="895"/>
    <w:uiPriority w:val="99"/>
    <w:semiHidden/>
    <w:rPr>
      <w:rFonts w:ascii="Cambria" w:hAnsi="Cambria"/>
      <w:color w:val="4f81bd"/>
    </w:rPr>
  </w:style>
  <w:style w:type="character" w:styleId="908" w:customStyle="1">
    <w:name w:val="Заголовок 9 Знак"/>
    <w:link w:val="896"/>
    <w:uiPriority w:val="99"/>
    <w:semiHidden/>
    <w:rPr>
      <w:rFonts w:ascii="Cambria" w:hAnsi="Cambria"/>
      <w:i/>
      <w:color w:val="404040"/>
    </w:rPr>
  </w:style>
  <w:style w:type="paragraph" w:styleId="909">
    <w:name w:val="Normal (Web)"/>
    <w:basedOn w:val="887"/>
    <w:link w:val="1003"/>
    <w:uiPriority w:val="99"/>
    <w:pPr>
      <w:ind w:firstLine="709"/>
      <w:jc w:val="both"/>
      <w:spacing w:before="100" w:beforeAutospacing="1" w:after="100" w:afterAutospacing="1"/>
    </w:pPr>
    <w:rPr>
      <w:szCs w:val="20"/>
    </w:rPr>
  </w:style>
  <w:style w:type="paragraph" w:styleId="910" w:customStyle="1">
    <w:name w:val="right"/>
    <w:basedOn w:val="887"/>
    <w:uiPriority w:val="99"/>
    <w:pPr>
      <w:ind w:firstLine="709"/>
      <w:jc w:val="right"/>
      <w:spacing w:before="100" w:beforeAutospacing="1" w:after="100" w:afterAutospacing="1"/>
    </w:pPr>
  </w:style>
  <w:style w:type="paragraph" w:styleId="911" w:customStyle="1">
    <w:name w:val="center"/>
    <w:basedOn w:val="887"/>
    <w:uiPriority w:val="99"/>
    <w:pPr>
      <w:ind w:firstLine="709"/>
      <w:jc w:val="center"/>
      <w:spacing w:before="100" w:beforeAutospacing="1" w:after="100" w:afterAutospacing="1"/>
    </w:pPr>
  </w:style>
  <w:style w:type="paragraph" w:styleId="912" w:customStyle="1">
    <w:name w:val="insertion"/>
    <w:basedOn w:val="887"/>
    <w:uiPriority w:val="99"/>
    <w:pPr>
      <w:ind w:firstLine="709"/>
      <w:jc w:val="both"/>
      <w:spacing w:before="100" w:beforeAutospacing="1" w:after="100" w:afterAutospacing="1"/>
    </w:pPr>
    <w:rPr>
      <w:color w:val="006600"/>
    </w:rPr>
  </w:style>
  <w:style w:type="paragraph" w:styleId="913" w:customStyle="1">
    <w:name w:val="deletion"/>
    <w:basedOn w:val="887"/>
    <w:uiPriority w:val="99"/>
    <w:pPr>
      <w:ind w:firstLine="709"/>
      <w:jc w:val="both"/>
      <w:spacing w:before="100" w:beforeAutospacing="1" w:after="100" w:afterAutospacing="1"/>
    </w:pPr>
    <w:rPr>
      <w:color w:val="ff0000"/>
    </w:rPr>
  </w:style>
  <w:style w:type="character" w:styleId="914">
    <w:name w:val="Hyperlink"/>
    <w:uiPriority w:val="99"/>
    <w:rPr>
      <w:rFonts w:cs="Times New Roman"/>
      <w:color w:val="0000ff"/>
      <w:u w:val="single"/>
    </w:rPr>
  </w:style>
  <w:style w:type="character" w:styleId="915">
    <w:name w:val="FollowedHyperlink"/>
    <w:uiPriority w:val="99"/>
    <w:rPr>
      <w:rFonts w:cs="Times New Roman"/>
      <w:color w:val="0000ff"/>
      <w:u w:val="single"/>
    </w:rPr>
  </w:style>
  <w:style w:type="character" w:styleId="916">
    <w:name w:val="Strong"/>
    <w:uiPriority w:val="99"/>
    <w:qFormat/>
    <w:rPr>
      <w:rFonts w:cs="Times New Roman"/>
      <w:b/>
    </w:rPr>
  </w:style>
  <w:style w:type="character" w:styleId="917">
    <w:name w:val="Emphasis"/>
    <w:uiPriority w:val="99"/>
    <w:qFormat/>
    <w:rPr>
      <w:rFonts w:cs="Times New Roman"/>
      <w:i/>
    </w:rPr>
  </w:style>
  <w:style w:type="paragraph" w:styleId="918">
    <w:name w:val="List Bullet"/>
    <w:basedOn w:val="887"/>
    <w:uiPriority w:val="99"/>
    <w:pPr>
      <w:ind w:left="360" w:hanging="360"/>
      <w:tabs>
        <w:tab w:val="num" w:pos="360" w:leader="none"/>
      </w:tabs>
    </w:pPr>
  </w:style>
  <w:style w:type="paragraph" w:styleId="919">
    <w:name w:val="List Bullet 2"/>
    <w:basedOn w:val="887"/>
    <w:uiPriority w:val="99"/>
    <w:pPr>
      <w:ind w:left="644" w:hanging="360"/>
      <w:tabs>
        <w:tab w:val="num" w:pos="644" w:leader="none"/>
      </w:tabs>
    </w:pPr>
  </w:style>
  <w:style w:type="paragraph" w:styleId="920">
    <w:name w:val="List Bullet 3"/>
    <w:basedOn w:val="887"/>
    <w:uiPriority w:val="99"/>
    <w:pPr>
      <w:ind w:left="927" w:hanging="360"/>
      <w:tabs>
        <w:tab w:val="num" w:pos="927" w:leader="none"/>
      </w:tabs>
    </w:pPr>
  </w:style>
  <w:style w:type="paragraph" w:styleId="921">
    <w:name w:val="List Bullet 4"/>
    <w:basedOn w:val="887"/>
    <w:uiPriority w:val="99"/>
    <w:pPr>
      <w:ind w:left="1209" w:hanging="360"/>
      <w:tabs>
        <w:tab w:val="num" w:pos="1209" w:leader="none"/>
      </w:tabs>
    </w:pPr>
  </w:style>
  <w:style w:type="paragraph" w:styleId="922">
    <w:name w:val="List Bullet 5"/>
    <w:basedOn w:val="887"/>
    <w:uiPriority w:val="99"/>
    <w:pPr>
      <w:ind w:left="1492" w:hanging="360"/>
      <w:tabs>
        <w:tab w:val="num" w:pos="1492" w:leader="none"/>
      </w:tabs>
    </w:pPr>
  </w:style>
  <w:style w:type="paragraph" w:styleId="923">
    <w:name w:val="HTML Preformatted"/>
    <w:basedOn w:val="887"/>
    <w:link w:val="924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character" w:styleId="924" w:customStyle="1">
    <w:name w:val="Стандартный HTML Знак"/>
    <w:link w:val="923"/>
    <w:uiPriority w:val="99"/>
    <w:rPr>
      <w:rFonts w:ascii="Courier New" w:hAnsi="Courier New"/>
    </w:rPr>
  </w:style>
  <w:style w:type="character" w:styleId="925" w:customStyle="1">
    <w:name w:val="error"/>
    <w:uiPriority w:val="99"/>
  </w:style>
  <w:style w:type="paragraph" w:styleId="926">
    <w:name w:val="footnote text"/>
    <w:basedOn w:val="887"/>
    <w:link w:val="928"/>
    <w:uiPriority w:val="99"/>
    <w:rPr>
      <w:sz w:val="20"/>
      <w:szCs w:val="20"/>
    </w:rPr>
  </w:style>
  <w:style w:type="character" w:styleId="927" w:customStyle="1">
    <w:name w:val="Footnote Text Char"/>
    <w:uiPriority w:val="99"/>
    <w:semiHidden/>
    <w:rPr>
      <w:sz w:val="20"/>
      <w:szCs w:val="20"/>
    </w:rPr>
  </w:style>
  <w:style w:type="character" w:styleId="928" w:customStyle="1">
    <w:name w:val="Текст сноски Знак"/>
    <w:link w:val="926"/>
    <w:uiPriority w:val="99"/>
  </w:style>
  <w:style w:type="character" w:styleId="929">
    <w:name w:val="footnote reference"/>
    <w:uiPriority w:val="99"/>
    <w:rPr>
      <w:rFonts w:cs="Times New Roman"/>
      <w:vertAlign w:val="superscript"/>
    </w:rPr>
  </w:style>
  <w:style w:type="paragraph" w:styleId="930">
    <w:name w:val="Balloon Text"/>
    <w:basedOn w:val="887"/>
    <w:link w:val="931"/>
    <w:uiPriority w:val="99"/>
    <w:rPr>
      <w:rFonts w:ascii="Tahoma" w:hAnsi="Tahoma"/>
      <w:sz w:val="16"/>
      <w:szCs w:val="16"/>
    </w:rPr>
  </w:style>
  <w:style w:type="character" w:styleId="931" w:customStyle="1">
    <w:name w:val="Текст выноски Знак"/>
    <w:link w:val="930"/>
    <w:uiPriority w:val="99"/>
    <w:rPr>
      <w:rFonts w:ascii="Tahoma" w:hAnsi="Tahoma"/>
      <w:sz w:val="16"/>
    </w:rPr>
  </w:style>
  <w:style w:type="table" w:styleId="932">
    <w:name w:val="Table Grid"/>
    <w:basedOn w:val="898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33">
    <w:name w:val="annotation reference"/>
    <w:uiPriority w:val="99"/>
    <w:rPr>
      <w:rFonts w:cs="Times New Roman"/>
      <w:sz w:val="16"/>
    </w:rPr>
  </w:style>
  <w:style w:type="paragraph" w:styleId="934">
    <w:name w:val="annotation text"/>
    <w:basedOn w:val="887"/>
    <w:link w:val="935"/>
    <w:uiPriority w:val="99"/>
    <w:pPr>
      <w:spacing w:after="200"/>
    </w:pPr>
    <w:rPr>
      <w:rFonts w:ascii="Calibri" w:hAnsi="Calibri"/>
      <w:sz w:val="20"/>
      <w:szCs w:val="20"/>
      <w:lang w:eastAsia="en-US"/>
    </w:rPr>
  </w:style>
  <w:style w:type="character" w:styleId="935" w:customStyle="1">
    <w:name w:val="Текст примечания Знак"/>
    <w:link w:val="934"/>
    <w:uiPriority w:val="99"/>
    <w:rPr>
      <w:rFonts w:ascii="Calibri" w:hAnsi="Calibri"/>
      <w:lang w:eastAsia="en-US"/>
    </w:rPr>
  </w:style>
  <w:style w:type="paragraph" w:styleId="936">
    <w:name w:val="endnote text"/>
    <w:basedOn w:val="887"/>
    <w:link w:val="937"/>
    <w:uiPriority w:val="99"/>
    <w:rPr>
      <w:sz w:val="20"/>
      <w:szCs w:val="20"/>
    </w:rPr>
  </w:style>
  <w:style w:type="character" w:styleId="937" w:customStyle="1">
    <w:name w:val="Текст концевой сноски Знак"/>
    <w:basedOn w:val="897"/>
    <w:link w:val="936"/>
    <w:uiPriority w:val="99"/>
  </w:style>
  <w:style w:type="character" w:styleId="938">
    <w:name w:val="endnote reference"/>
    <w:uiPriority w:val="99"/>
    <w:rPr>
      <w:rFonts w:cs="Times New Roman"/>
      <w:vertAlign w:val="superscript"/>
    </w:rPr>
  </w:style>
  <w:style w:type="table" w:styleId="939">
    <w:name w:val="Table Web 1"/>
    <w:basedOn w:val="898"/>
    <w:uiPriority w:val="99"/>
    <w:tblPr>
      <w:tblCellSpacing w:w="2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rPr>
      <w:tblCellSpacing w:w="20" w:type="dxa"/>
    </w:trPr>
    <w:tblStylePr w:type="firstRow">
      <w:rPr>
        <w:rFonts w:cs="Times New Roman"/>
        <w:color w:val="auto"/>
      </w:rPr>
    </w:tblStylePr>
  </w:style>
  <w:style w:type="paragraph" w:styleId="940" w:customStyle="1">
    <w:name w:val="ПК Заголовок"/>
    <w:basedOn w:val="909"/>
    <w:uiPriority w:val="99"/>
    <w:pPr>
      <w:ind w:firstLine="0"/>
      <w:jc w:val="center"/>
      <w:spacing w:before="0" w:beforeAutospacing="0" w:after="0" w:afterAutospacing="0"/>
    </w:pPr>
    <w:rPr>
      <w:b/>
      <w:bCs/>
      <w:sz w:val="28"/>
      <w:szCs w:val="28"/>
    </w:rPr>
  </w:style>
  <w:style w:type="paragraph" w:styleId="941" w:customStyle="1">
    <w:name w:val="Стиль Первая строка:  13 см Эд"/>
    <w:basedOn w:val="887"/>
    <w:uiPriority w:val="99"/>
    <w:pPr>
      <w:ind w:firstLine="737"/>
    </w:pPr>
    <w:rPr>
      <w:szCs w:val="20"/>
    </w:rPr>
  </w:style>
  <w:style w:type="character" w:styleId="942" w:customStyle="1">
    <w:name w:val="apple-converted-space"/>
    <w:uiPriority w:val="99"/>
  </w:style>
  <w:style w:type="character" w:styleId="943" w:customStyle="1">
    <w:name w:val="insertion1"/>
    <w:uiPriority w:val="99"/>
    <w:rPr>
      <w:color w:val="006600"/>
    </w:rPr>
  </w:style>
  <w:style w:type="paragraph" w:styleId="944" w:customStyle="1">
    <w:name w:val="centerbold"/>
    <w:basedOn w:val="887"/>
    <w:uiPriority w:val="99"/>
    <w:pPr>
      <w:ind w:firstLine="709"/>
      <w:jc w:val="center"/>
    </w:pPr>
    <w:rPr>
      <w:b/>
      <w:bCs/>
    </w:rPr>
  </w:style>
  <w:style w:type="paragraph" w:styleId="945" w:customStyle="1">
    <w:name w:val="computable"/>
    <w:basedOn w:val="887"/>
    <w:uiPriority w:val="99"/>
    <w:pPr>
      <w:ind w:firstLine="709"/>
      <w:jc w:val="both"/>
      <w:shd w:val="clear" w:color="auto" w:fill="c0c0c0"/>
    </w:pPr>
  </w:style>
  <w:style w:type="paragraph" w:styleId="946" w:customStyle="1">
    <w:name w:val="required"/>
    <w:basedOn w:val="887"/>
    <w:uiPriority w:val="99"/>
    <w:pPr>
      <w:ind w:firstLine="709"/>
      <w:jc w:val="both"/>
      <w:shd w:val="clear" w:color="auto" w:fill="ffff80"/>
    </w:pPr>
  </w:style>
  <w:style w:type="paragraph" w:styleId="947">
    <w:name w:val="Caption"/>
    <w:basedOn w:val="887"/>
    <w:next w:val="887"/>
    <w:uiPriority w:val="99"/>
    <w:qFormat/>
    <w:pPr>
      <w:jc w:val="both"/>
      <w:spacing w:before="120" w:after="120"/>
    </w:pPr>
    <w:rPr>
      <w:b/>
      <w:bCs/>
      <w:color w:val="4f81bd"/>
      <w:sz w:val="18"/>
      <w:szCs w:val="18"/>
    </w:rPr>
  </w:style>
  <w:style w:type="paragraph" w:styleId="948">
    <w:name w:val="Title"/>
    <w:basedOn w:val="887"/>
    <w:next w:val="887"/>
    <w:link w:val="949"/>
    <w:uiPriority w:val="99"/>
    <w:qFormat/>
    <w:pPr>
      <w:contextualSpacing/>
      <w:jc w:val="both"/>
      <w:spacing w:before="120" w:after="300"/>
      <w:pBdr>
        <w:bottom w:val="single" w:color="4F81BD" w:sz="8" w:space="4"/>
      </w:pBdr>
    </w:pPr>
    <w:rPr>
      <w:rFonts w:ascii="Cambria" w:hAnsi="Cambria"/>
      <w:color w:val="17365d"/>
      <w:spacing w:val="5"/>
      <w:sz w:val="52"/>
      <w:szCs w:val="52"/>
    </w:rPr>
  </w:style>
  <w:style w:type="character" w:styleId="949" w:customStyle="1">
    <w:name w:val="Заголовок Знак"/>
    <w:link w:val="948"/>
    <w:uiPriority w:val="99"/>
    <w:rPr>
      <w:rFonts w:ascii="Cambria" w:hAnsi="Cambria"/>
      <w:color w:val="17365d"/>
      <w:spacing w:val="5"/>
      <w:sz w:val="52"/>
    </w:rPr>
  </w:style>
  <w:style w:type="paragraph" w:styleId="950">
    <w:name w:val="Subtitle"/>
    <w:basedOn w:val="887"/>
    <w:next w:val="887"/>
    <w:link w:val="951"/>
    <w:uiPriority w:val="99"/>
    <w:qFormat/>
    <w:pPr>
      <w:numPr>
        <w:ilvl w:val="1"/>
      </w:numPr>
      <w:jc w:val="both"/>
      <w:spacing w:before="120" w:after="120"/>
    </w:pPr>
    <w:rPr>
      <w:rFonts w:ascii="Cambria" w:hAnsi="Cambria"/>
      <w:i/>
      <w:iCs/>
      <w:color w:val="4f81bd"/>
      <w:spacing w:val="15"/>
    </w:rPr>
  </w:style>
  <w:style w:type="character" w:styleId="951" w:customStyle="1">
    <w:name w:val="Подзаголовок Знак"/>
    <w:link w:val="950"/>
    <w:uiPriority w:val="99"/>
    <w:rPr>
      <w:rFonts w:ascii="Cambria" w:hAnsi="Cambria"/>
      <w:i/>
      <w:color w:val="4f81bd"/>
      <w:spacing w:val="15"/>
      <w:sz w:val="24"/>
    </w:rPr>
  </w:style>
  <w:style w:type="paragraph" w:styleId="952">
    <w:name w:val="No Spacing"/>
    <w:uiPriority w:val="99"/>
    <w:qFormat/>
    <w:pPr>
      <w:jc w:val="both"/>
    </w:pPr>
    <w:rPr>
      <w:sz w:val="24"/>
      <w:szCs w:val="22"/>
      <w:lang w:val="en-US" w:eastAsia="en-US"/>
    </w:rPr>
  </w:style>
  <w:style w:type="paragraph" w:styleId="953">
    <w:name w:val="List Paragraph"/>
    <w:basedOn w:val="887"/>
    <w:uiPriority w:val="99"/>
    <w:qFormat/>
    <w:pPr>
      <w:contextualSpacing/>
      <w:ind w:left="720"/>
      <w:jc w:val="both"/>
      <w:spacing w:before="120" w:after="120"/>
    </w:pPr>
  </w:style>
  <w:style w:type="paragraph" w:styleId="954">
    <w:name w:val="Quote"/>
    <w:basedOn w:val="887"/>
    <w:next w:val="887"/>
    <w:link w:val="955"/>
    <w:uiPriority w:val="99"/>
    <w:qFormat/>
    <w:pPr>
      <w:jc w:val="both"/>
      <w:spacing w:before="120" w:after="120"/>
    </w:pPr>
    <w:rPr>
      <w:i/>
      <w:iCs/>
      <w:color w:val="000000"/>
    </w:rPr>
  </w:style>
  <w:style w:type="character" w:styleId="955" w:customStyle="1">
    <w:name w:val="Цитата 2 Знак"/>
    <w:link w:val="954"/>
    <w:uiPriority w:val="99"/>
    <w:rPr>
      <w:i/>
      <w:color w:val="000000"/>
      <w:sz w:val="24"/>
    </w:rPr>
  </w:style>
  <w:style w:type="paragraph" w:styleId="956">
    <w:name w:val="Intense Quote"/>
    <w:basedOn w:val="887"/>
    <w:next w:val="887"/>
    <w:link w:val="957"/>
    <w:uiPriority w:val="99"/>
    <w:qFormat/>
    <w:pPr>
      <w:ind w:left="936" w:right="936"/>
      <w:jc w:val="both"/>
      <w:spacing w:before="200" w:after="280"/>
      <w:pBdr>
        <w:bottom w:val="single" w:color="4F81BD" w:sz="4" w:space="4"/>
      </w:pBdr>
    </w:pPr>
    <w:rPr>
      <w:b/>
      <w:bCs/>
      <w:i/>
      <w:iCs/>
      <w:color w:val="4f81bd"/>
    </w:rPr>
  </w:style>
  <w:style w:type="character" w:styleId="957" w:customStyle="1">
    <w:name w:val="Выделенная цитата Знак"/>
    <w:link w:val="956"/>
    <w:uiPriority w:val="99"/>
    <w:rPr>
      <w:b/>
      <w:i/>
      <w:color w:val="4f81bd"/>
      <w:sz w:val="24"/>
    </w:rPr>
  </w:style>
  <w:style w:type="character" w:styleId="958">
    <w:name w:val="Subtle Emphasis"/>
    <w:uiPriority w:val="99"/>
    <w:qFormat/>
    <w:rPr>
      <w:i/>
      <w:color w:val="808080"/>
    </w:rPr>
  </w:style>
  <w:style w:type="character" w:styleId="959">
    <w:name w:val="Intense Emphasis"/>
    <w:uiPriority w:val="99"/>
    <w:qFormat/>
    <w:rPr>
      <w:b/>
      <w:i/>
      <w:color w:val="4f81bd"/>
    </w:rPr>
  </w:style>
  <w:style w:type="character" w:styleId="960">
    <w:name w:val="Subtle Reference"/>
    <w:uiPriority w:val="99"/>
    <w:qFormat/>
    <w:rPr>
      <w:smallCaps/>
      <w:color w:val="c0504d"/>
      <w:u w:val="single"/>
    </w:rPr>
  </w:style>
  <w:style w:type="character" w:styleId="961">
    <w:name w:val="Intense Reference"/>
    <w:uiPriority w:val="99"/>
    <w:qFormat/>
    <w:rPr>
      <w:b/>
      <w:smallCaps/>
      <w:color w:val="c0504d"/>
      <w:spacing w:val="5"/>
      <w:u w:val="single"/>
    </w:rPr>
  </w:style>
  <w:style w:type="character" w:styleId="962">
    <w:name w:val="Book Title"/>
    <w:uiPriority w:val="99"/>
    <w:qFormat/>
    <w:rPr>
      <w:b/>
      <w:smallCaps/>
      <w:spacing w:val="5"/>
    </w:rPr>
  </w:style>
  <w:style w:type="paragraph" w:styleId="963">
    <w:name w:val="TOC Heading"/>
    <w:basedOn w:val="888"/>
    <w:next w:val="887"/>
    <w:uiPriority w:val="99"/>
    <w:qFormat/>
    <w:pPr>
      <w:keepLines/>
      <w:keepNext/>
      <w:spacing w:before="480" w:beforeAutospacing="0" w:after="0" w:afterAutospacing="0"/>
      <w:outlineLvl w:val="9"/>
    </w:pPr>
    <w:rPr>
      <w:color w:val="000000"/>
      <w:sz w:val="28"/>
      <w:szCs w:val="28"/>
      <w:lang w:val="en-US" w:eastAsia="en-US"/>
    </w:rPr>
  </w:style>
  <w:style w:type="paragraph" w:styleId="964">
    <w:name w:val="Header"/>
    <w:basedOn w:val="887"/>
    <w:link w:val="965"/>
    <w:uiPriority w:val="99"/>
    <w:pPr>
      <w:jc w:val="both"/>
      <w:tabs>
        <w:tab w:val="center" w:pos="4677" w:leader="none"/>
        <w:tab w:val="right" w:pos="9355" w:leader="none"/>
      </w:tabs>
    </w:pPr>
  </w:style>
  <w:style w:type="character" w:styleId="965" w:customStyle="1">
    <w:name w:val="Верхний колонтитул Знак"/>
    <w:link w:val="964"/>
    <w:uiPriority w:val="99"/>
    <w:rPr>
      <w:sz w:val="24"/>
    </w:rPr>
  </w:style>
  <w:style w:type="paragraph" w:styleId="966">
    <w:name w:val="Footer"/>
    <w:basedOn w:val="887"/>
    <w:link w:val="967"/>
    <w:uiPriority w:val="99"/>
    <w:pPr>
      <w:jc w:val="both"/>
      <w:tabs>
        <w:tab w:val="center" w:pos="4677" w:leader="none"/>
        <w:tab w:val="right" w:pos="9355" w:leader="none"/>
      </w:tabs>
    </w:pPr>
  </w:style>
  <w:style w:type="character" w:styleId="967" w:customStyle="1">
    <w:name w:val="Нижний колонтитул Знак"/>
    <w:link w:val="966"/>
    <w:uiPriority w:val="99"/>
    <w:rPr>
      <w:sz w:val="24"/>
    </w:rPr>
  </w:style>
  <w:style w:type="character" w:styleId="968" w:customStyle="1">
    <w:name w:val="Интернет-ссылка"/>
    <w:uiPriority w:val="99"/>
    <w:rPr>
      <w:color w:val="0000ff"/>
      <w:u w:val="single"/>
    </w:rPr>
  </w:style>
  <w:style w:type="character" w:styleId="969" w:customStyle="1">
    <w:name w:val="Привязка сноски"/>
    <w:uiPriority w:val="99"/>
    <w:rPr>
      <w:vertAlign w:val="superscript"/>
    </w:rPr>
  </w:style>
  <w:style w:type="paragraph" w:styleId="970" w:customStyle="1">
    <w:name w:val="ConsPlusNormal"/>
    <w:link w:val="971"/>
    <w:uiPriority w:val="99"/>
    <w:pPr>
      <w:ind w:firstLine="720"/>
      <w:widowControl w:val="off"/>
    </w:pPr>
    <w:rPr>
      <w:rFonts w:ascii="Arial" w:hAnsi="Arial"/>
      <w:sz w:val="22"/>
    </w:rPr>
  </w:style>
  <w:style w:type="character" w:styleId="971" w:customStyle="1">
    <w:name w:val="ConsPlusNormal Знак"/>
    <w:link w:val="970"/>
    <w:uiPriority w:val="99"/>
    <w:rPr>
      <w:rFonts w:ascii="Arial" w:hAnsi="Arial"/>
      <w:sz w:val="22"/>
      <w:lang w:val="ru-RU" w:eastAsia="ru-RU"/>
    </w:rPr>
  </w:style>
  <w:style w:type="character" w:styleId="972" w:customStyle="1">
    <w:name w:val="Знак Знак4"/>
    <w:uiPriority w:val="99"/>
    <w:rPr>
      <w:rFonts w:ascii="Courier New" w:hAnsi="Courier New"/>
    </w:rPr>
  </w:style>
  <w:style w:type="paragraph" w:styleId="973">
    <w:name w:val="Body Text Indent 2"/>
    <w:basedOn w:val="887"/>
    <w:link w:val="975"/>
    <w:uiPriority w:val="99"/>
    <w:pPr>
      <w:ind w:left="283"/>
      <w:spacing w:after="120" w:line="480" w:lineRule="auto"/>
    </w:pPr>
    <w:rPr>
      <w:sz w:val="20"/>
      <w:szCs w:val="20"/>
    </w:rPr>
  </w:style>
  <w:style w:type="character" w:styleId="974" w:customStyle="1">
    <w:name w:val="Body Text Indent 2 Char"/>
    <w:uiPriority w:val="99"/>
    <w:semiHidden/>
    <w:rPr>
      <w:sz w:val="24"/>
    </w:rPr>
  </w:style>
  <w:style w:type="character" w:styleId="975" w:customStyle="1">
    <w:name w:val="Основной текст с отступом 2 Знак"/>
    <w:link w:val="973"/>
    <w:uiPriority w:val="99"/>
    <w:rPr>
      <w:lang w:eastAsia="ru-RU"/>
    </w:rPr>
  </w:style>
  <w:style w:type="character" w:styleId="976" w:customStyle="1">
    <w:name w:val="Знак Знак3"/>
    <w:uiPriority w:val="99"/>
  </w:style>
  <w:style w:type="character" w:styleId="977" w:customStyle="1">
    <w:name w:val="Знак Знак10"/>
    <w:uiPriority w:val="99"/>
    <w:rPr>
      <w:lang w:eastAsia="ru-RU"/>
    </w:rPr>
  </w:style>
  <w:style w:type="paragraph" w:styleId="978" w:customStyle="1">
    <w:name w:val="Абзац списка1"/>
    <w:basedOn w:val="887"/>
    <w:uiPriority w:val="99"/>
    <w:pPr>
      <w:contextualSpacing/>
      <w:ind w:left="720"/>
    </w:pPr>
  </w:style>
  <w:style w:type="paragraph" w:styleId="979">
    <w:name w:val="Plain Text"/>
    <w:basedOn w:val="887"/>
    <w:link w:val="1001"/>
    <w:uiPriority w:val="99"/>
    <w:pPr>
      <w:jc w:val="both"/>
    </w:pPr>
    <w:rPr>
      <w:rFonts w:ascii="Courier New" w:hAnsi="Courier New"/>
      <w:sz w:val="20"/>
      <w:szCs w:val="20"/>
    </w:rPr>
  </w:style>
  <w:style w:type="character" w:styleId="980" w:customStyle="1">
    <w:name w:val="Plain Text Char"/>
    <w:uiPriority w:val="99"/>
    <w:semiHidden/>
    <w:rPr>
      <w:rFonts w:ascii="Courier New" w:hAnsi="Courier New" w:cs="Courier New"/>
      <w:sz w:val="20"/>
      <w:szCs w:val="20"/>
    </w:rPr>
  </w:style>
  <w:style w:type="character" w:styleId="981" w:customStyle="1">
    <w:name w:val="Plain Text Char21"/>
    <w:uiPriority w:val="99"/>
    <w:semiHidden/>
    <w:rPr>
      <w:rFonts w:ascii="Courier New" w:hAnsi="Courier New"/>
      <w:sz w:val="20"/>
    </w:rPr>
  </w:style>
  <w:style w:type="character" w:styleId="982" w:customStyle="1">
    <w:name w:val="Plain Text Char20"/>
    <w:uiPriority w:val="99"/>
    <w:semiHidden/>
    <w:rPr>
      <w:rFonts w:ascii="Courier New" w:hAnsi="Courier New"/>
      <w:sz w:val="20"/>
    </w:rPr>
  </w:style>
  <w:style w:type="character" w:styleId="983" w:customStyle="1">
    <w:name w:val="Plain Text Char19"/>
    <w:uiPriority w:val="99"/>
    <w:semiHidden/>
    <w:rPr>
      <w:rFonts w:ascii="Courier New" w:hAnsi="Courier New"/>
      <w:sz w:val="20"/>
    </w:rPr>
  </w:style>
  <w:style w:type="character" w:styleId="984" w:customStyle="1">
    <w:name w:val="Plain Text Char18"/>
    <w:uiPriority w:val="99"/>
    <w:semiHidden/>
    <w:rPr>
      <w:rFonts w:ascii="Courier New" w:hAnsi="Courier New"/>
      <w:sz w:val="20"/>
    </w:rPr>
  </w:style>
  <w:style w:type="character" w:styleId="985" w:customStyle="1">
    <w:name w:val="Plain Text Char17"/>
    <w:uiPriority w:val="99"/>
    <w:semiHidden/>
    <w:rPr>
      <w:rFonts w:ascii="Courier New" w:hAnsi="Courier New"/>
      <w:sz w:val="20"/>
    </w:rPr>
  </w:style>
  <w:style w:type="character" w:styleId="986" w:customStyle="1">
    <w:name w:val="Plain Text Char16"/>
    <w:uiPriority w:val="99"/>
    <w:semiHidden/>
    <w:rPr>
      <w:rFonts w:ascii="Courier New" w:hAnsi="Courier New"/>
      <w:sz w:val="20"/>
    </w:rPr>
  </w:style>
  <w:style w:type="character" w:styleId="987" w:customStyle="1">
    <w:name w:val="Plain Text Char15"/>
    <w:uiPriority w:val="99"/>
    <w:semiHidden/>
    <w:rPr>
      <w:rFonts w:ascii="Courier New" w:hAnsi="Courier New"/>
      <w:sz w:val="20"/>
    </w:rPr>
  </w:style>
  <w:style w:type="character" w:styleId="988" w:customStyle="1">
    <w:name w:val="Plain Text Char14"/>
    <w:uiPriority w:val="99"/>
    <w:semiHidden/>
    <w:rPr>
      <w:rFonts w:ascii="Courier New" w:hAnsi="Courier New"/>
      <w:sz w:val="20"/>
    </w:rPr>
  </w:style>
  <w:style w:type="character" w:styleId="989" w:customStyle="1">
    <w:name w:val="Plain Text Char13"/>
    <w:uiPriority w:val="99"/>
    <w:semiHidden/>
    <w:rPr>
      <w:rFonts w:ascii="Courier New" w:hAnsi="Courier New"/>
      <w:sz w:val="20"/>
    </w:rPr>
  </w:style>
  <w:style w:type="character" w:styleId="990" w:customStyle="1">
    <w:name w:val="Plain Text Char12"/>
    <w:uiPriority w:val="99"/>
    <w:semiHidden/>
    <w:rPr>
      <w:rFonts w:ascii="Courier New" w:hAnsi="Courier New"/>
      <w:sz w:val="20"/>
    </w:rPr>
  </w:style>
  <w:style w:type="character" w:styleId="991" w:customStyle="1">
    <w:name w:val="Plain Text Char11"/>
    <w:uiPriority w:val="99"/>
    <w:semiHidden/>
    <w:rPr>
      <w:rFonts w:ascii="Courier New" w:hAnsi="Courier New"/>
      <w:sz w:val="20"/>
    </w:rPr>
  </w:style>
  <w:style w:type="character" w:styleId="992" w:customStyle="1">
    <w:name w:val="Plain Text Char10"/>
    <w:uiPriority w:val="99"/>
    <w:semiHidden/>
    <w:rPr>
      <w:rFonts w:ascii="Courier New" w:hAnsi="Courier New"/>
      <w:sz w:val="20"/>
    </w:rPr>
  </w:style>
  <w:style w:type="character" w:styleId="993" w:customStyle="1">
    <w:name w:val="Plain Text Char9"/>
    <w:uiPriority w:val="99"/>
    <w:semiHidden/>
    <w:rPr>
      <w:rFonts w:ascii="Courier New" w:hAnsi="Courier New"/>
      <w:sz w:val="20"/>
    </w:rPr>
  </w:style>
  <w:style w:type="character" w:styleId="994" w:customStyle="1">
    <w:name w:val="Plain Text Char8"/>
    <w:uiPriority w:val="99"/>
    <w:semiHidden/>
    <w:rPr>
      <w:rFonts w:ascii="Courier New" w:hAnsi="Courier New"/>
      <w:sz w:val="20"/>
    </w:rPr>
  </w:style>
  <w:style w:type="character" w:styleId="995" w:customStyle="1">
    <w:name w:val="Plain Text Char7"/>
    <w:uiPriority w:val="99"/>
    <w:semiHidden/>
    <w:rPr>
      <w:rFonts w:ascii="Courier New" w:hAnsi="Courier New"/>
      <w:sz w:val="20"/>
    </w:rPr>
  </w:style>
  <w:style w:type="character" w:styleId="996" w:customStyle="1">
    <w:name w:val="Plain Text Char6"/>
    <w:uiPriority w:val="99"/>
    <w:semiHidden/>
    <w:rPr>
      <w:rFonts w:ascii="Courier New" w:hAnsi="Courier New"/>
      <w:sz w:val="20"/>
    </w:rPr>
  </w:style>
  <w:style w:type="character" w:styleId="997" w:customStyle="1">
    <w:name w:val="Plain Text Char5"/>
    <w:uiPriority w:val="99"/>
    <w:semiHidden/>
    <w:rPr>
      <w:rFonts w:ascii="Courier New" w:hAnsi="Courier New"/>
      <w:sz w:val="20"/>
    </w:rPr>
  </w:style>
  <w:style w:type="character" w:styleId="998" w:customStyle="1">
    <w:name w:val="Plain Text Char4"/>
    <w:uiPriority w:val="99"/>
    <w:semiHidden/>
    <w:rPr>
      <w:rFonts w:ascii="Courier New" w:hAnsi="Courier New"/>
      <w:sz w:val="20"/>
    </w:rPr>
  </w:style>
  <w:style w:type="character" w:styleId="999" w:customStyle="1">
    <w:name w:val="Plain Text Char3"/>
    <w:uiPriority w:val="99"/>
    <w:semiHidden/>
    <w:rPr>
      <w:rFonts w:ascii="Courier New" w:hAnsi="Courier New"/>
      <w:sz w:val="20"/>
    </w:rPr>
  </w:style>
  <w:style w:type="character" w:styleId="1000" w:customStyle="1">
    <w:name w:val="Plain Text Char2"/>
    <w:uiPriority w:val="99"/>
    <w:semiHidden/>
    <w:rPr>
      <w:rFonts w:ascii="Courier New" w:hAnsi="Courier New"/>
      <w:sz w:val="20"/>
    </w:rPr>
  </w:style>
  <w:style w:type="character" w:styleId="1001" w:customStyle="1">
    <w:name w:val="Текст Знак3"/>
    <w:link w:val="979"/>
    <w:uiPriority w:val="99"/>
    <w:rPr>
      <w:rFonts w:ascii="Courier New" w:hAnsi="Courier New"/>
      <w:lang w:val="ru-RU" w:eastAsia="ru-RU"/>
    </w:rPr>
  </w:style>
  <w:style w:type="paragraph" w:styleId="1002" w:customStyle="1">
    <w:name w:val="Text"/>
    <w:basedOn w:val="887"/>
    <w:uiPriority w:val="99"/>
    <w:pPr>
      <w:spacing w:after="240"/>
    </w:pPr>
    <w:rPr>
      <w:szCs w:val="20"/>
      <w:lang w:val="en-US" w:eastAsia="en-US"/>
    </w:rPr>
  </w:style>
  <w:style w:type="character" w:styleId="1003" w:customStyle="1">
    <w:name w:val="Обычный (веб) Знак"/>
    <w:link w:val="909"/>
    <w:uiPriority w:val="99"/>
    <w:rPr>
      <w:sz w:val="24"/>
      <w:lang w:val="ru-RU" w:eastAsia="ru-RU"/>
    </w:rPr>
  </w:style>
  <w:style w:type="paragraph" w:styleId="1004" w:customStyle="1">
    <w:name w:val="Пункт"/>
    <w:basedOn w:val="887"/>
    <w:uiPriority w:val="99"/>
    <w:pPr>
      <w:ind w:left="1404" w:hanging="504"/>
      <w:jc w:val="both"/>
      <w:tabs>
        <w:tab w:val="left" w:pos="1980" w:leader="none"/>
      </w:tabs>
    </w:pPr>
    <w:rPr>
      <w:lang w:eastAsia="zh-CN"/>
    </w:rPr>
  </w:style>
  <w:style w:type="character" w:styleId="1005" w:customStyle="1">
    <w:name w:val="Знак8 Знак Знак Знак"/>
    <w:uiPriority w:val="99"/>
  </w:style>
  <w:style w:type="character" w:styleId="1006" w:customStyle="1">
    <w:name w:val="Обычный (веб) Знак Знак Знак Знак Знак"/>
    <w:uiPriority w:val="99"/>
    <w:rPr>
      <w:sz w:val="24"/>
    </w:rPr>
  </w:style>
  <w:style w:type="paragraph" w:styleId="1007" w:customStyle="1">
    <w:name w:val="Абзац списка2"/>
    <w:basedOn w:val="887"/>
    <w:uiPriority w:val="99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1008">
    <w:name w:val="page number"/>
    <w:uiPriority w:val="99"/>
    <w:rPr>
      <w:rFonts w:cs="Times New Roman"/>
    </w:rPr>
  </w:style>
  <w:style w:type="character" w:styleId="1009" w:customStyle="1">
    <w:name w:val="Знак Знак31"/>
    <w:uiPriority w:val="99"/>
    <w:rPr>
      <w:sz w:val="24"/>
    </w:rPr>
  </w:style>
  <w:style w:type="character" w:styleId="1010" w:customStyle="1">
    <w:name w:val="blk"/>
    <w:uiPriority w:val="99"/>
  </w:style>
  <w:style w:type="paragraph" w:styleId="1011" w:customStyle="1">
    <w:name w:val="pj"/>
    <w:basedOn w:val="887"/>
    <w:uiPriority w:val="99"/>
    <w:pPr>
      <w:spacing w:before="100" w:beforeAutospacing="1" w:after="100" w:afterAutospacing="1"/>
    </w:pPr>
  </w:style>
  <w:style w:type="paragraph" w:styleId="1012" w:customStyle="1">
    <w:name w:val="Style29"/>
    <w:basedOn w:val="887"/>
    <w:uiPriority w:val="99"/>
    <w:pPr>
      <w:ind w:firstLine="624"/>
      <w:jc w:val="both"/>
      <w:spacing w:line="275" w:lineRule="exact"/>
      <w:widowControl w:val="off"/>
    </w:pPr>
  </w:style>
  <w:style w:type="character" w:styleId="1013" w:customStyle="1">
    <w:name w:val="Font Style52"/>
    <w:uiPriority w:val="99"/>
    <w:rPr>
      <w:rFonts w:ascii="Times New Roman" w:hAnsi="Times New Roman"/>
      <w:sz w:val="22"/>
    </w:rPr>
  </w:style>
  <w:style w:type="character" w:styleId="1014" w:customStyle="1">
    <w:name w:val="Знак8 Знак Знак Знак1"/>
    <w:uiPriority w:val="99"/>
    <w:rPr>
      <w:lang w:val="ru-RU" w:eastAsia="ru-RU"/>
    </w:rPr>
  </w:style>
  <w:style w:type="paragraph" w:styleId="1015" w:customStyle="1">
    <w:name w:val="Îáû÷íûé"/>
    <w:uiPriority w:val="99"/>
  </w:style>
  <w:style w:type="character" w:styleId="1016" w:customStyle="1">
    <w:name w:val="Знак Знак17"/>
    <w:uiPriority w:val="99"/>
  </w:style>
  <w:style w:type="paragraph" w:styleId="1017" w:customStyle="1">
    <w:name w:val="Таблицы (моноширинный)"/>
    <w:basedOn w:val="887"/>
    <w:next w:val="887"/>
    <w:uiPriority w:val="99"/>
    <w:pPr>
      <w:jc w:val="both"/>
      <w:widowControl w:val="off"/>
    </w:pPr>
    <w:rPr>
      <w:rFonts w:ascii="Courier New" w:hAnsi="Courier New"/>
      <w:sz w:val="20"/>
      <w:szCs w:val="20"/>
    </w:rPr>
  </w:style>
  <w:style w:type="paragraph" w:styleId="1018">
    <w:name w:val="Body Text Indent 3"/>
    <w:basedOn w:val="887"/>
    <w:link w:val="1020"/>
    <w:uiPriority w:val="99"/>
    <w:pPr>
      <w:ind w:left="283"/>
      <w:spacing w:after="120"/>
    </w:pPr>
    <w:rPr>
      <w:sz w:val="16"/>
      <w:szCs w:val="20"/>
    </w:rPr>
  </w:style>
  <w:style w:type="character" w:styleId="1019" w:customStyle="1">
    <w:name w:val="Body Text Indent 3 Char"/>
    <w:uiPriority w:val="99"/>
    <w:semiHidden/>
    <w:rPr>
      <w:sz w:val="16"/>
    </w:rPr>
  </w:style>
  <w:style w:type="character" w:styleId="1020" w:customStyle="1">
    <w:name w:val="Основной текст с отступом 3 Знак"/>
    <w:link w:val="1018"/>
    <w:uiPriority w:val="99"/>
    <w:rPr>
      <w:sz w:val="16"/>
    </w:rPr>
  </w:style>
  <w:style w:type="paragraph" w:styleId="1021" w:customStyle="1">
    <w:name w:val="ConsNonformat"/>
    <w:uiPriority w:val="99"/>
    <w:pPr>
      <w:widowControl w:val="off"/>
    </w:pPr>
    <w:rPr>
      <w:rFonts w:ascii="Courier New" w:hAnsi="Courier New" w:cs="Courier New"/>
    </w:rPr>
  </w:style>
  <w:style w:type="paragraph" w:styleId="1022" w:customStyle="1">
    <w:name w:val="Абзац списка3"/>
    <w:basedOn w:val="887"/>
    <w:link w:val="1025"/>
    <w:uiPriority w:val="99"/>
    <w:pPr>
      <w:contextualSpacing/>
      <w:ind w:left="720"/>
      <w:spacing w:after="200" w:line="276" w:lineRule="auto"/>
    </w:pPr>
    <w:rPr>
      <w:rFonts w:ascii="Calibri" w:hAnsi="Calibri"/>
      <w:sz w:val="22"/>
      <w:szCs w:val="20"/>
      <w:lang w:eastAsia="en-US"/>
    </w:rPr>
  </w:style>
  <w:style w:type="paragraph" w:styleId="1023" w:customStyle="1">
    <w:name w:val="ConsNormal"/>
    <w:link w:val="1024"/>
    <w:uiPriority w:val="99"/>
    <w:pPr>
      <w:ind w:right="19772" w:firstLine="720"/>
      <w:spacing w:after="200" w:line="276" w:lineRule="auto"/>
      <w:widowControl w:val="off"/>
    </w:pPr>
    <w:rPr>
      <w:rFonts w:ascii="Arial" w:hAnsi="Arial"/>
      <w:sz w:val="22"/>
    </w:rPr>
  </w:style>
  <w:style w:type="character" w:styleId="1024" w:customStyle="1">
    <w:name w:val="ConsNormal Знак"/>
    <w:link w:val="1023"/>
    <w:uiPriority w:val="99"/>
    <w:rPr>
      <w:rFonts w:ascii="Arial" w:hAnsi="Arial"/>
      <w:sz w:val="22"/>
      <w:lang w:val="ru-RU" w:eastAsia="ru-RU"/>
    </w:rPr>
  </w:style>
  <w:style w:type="character" w:styleId="1025" w:customStyle="1">
    <w:name w:val="Абзац списка Знак"/>
    <w:link w:val="1022"/>
    <w:uiPriority w:val="99"/>
    <w:rPr>
      <w:rFonts w:ascii="Calibri" w:hAnsi="Calibri"/>
      <w:sz w:val="22"/>
      <w:lang w:val="ru-RU" w:eastAsia="en-US"/>
    </w:rPr>
  </w:style>
  <w:style w:type="paragraph" w:styleId="1026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1027" w:customStyle="1">
    <w:name w:val="ConsCell"/>
    <w:link w:val="1028"/>
    <w:uiPriority w:val="99"/>
    <w:pPr>
      <w:widowControl w:val="off"/>
    </w:pPr>
    <w:rPr>
      <w:rFonts w:ascii="Arial" w:hAnsi="Arial"/>
      <w:sz w:val="22"/>
    </w:rPr>
  </w:style>
  <w:style w:type="character" w:styleId="1028" w:customStyle="1">
    <w:name w:val="ConsCell Знак"/>
    <w:link w:val="1027"/>
    <w:uiPriority w:val="99"/>
    <w:rPr>
      <w:rFonts w:ascii="Arial" w:hAnsi="Arial"/>
      <w:sz w:val="22"/>
      <w:lang w:val="ru-RU" w:eastAsia="ru-RU"/>
    </w:rPr>
  </w:style>
  <w:style w:type="paragraph" w:styleId="1029">
    <w:name w:val="Body Text"/>
    <w:basedOn w:val="887"/>
    <w:link w:val="1030"/>
    <w:uiPriority w:val="99"/>
    <w:pPr>
      <w:spacing w:after="120"/>
    </w:pPr>
  </w:style>
  <w:style w:type="character" w:styleId="1030" w:customStyle="1">
    <w:name w:val="Основной текст Знак"/>
    <w:link w:val="1029"/>
    <w:uiPriority w:val="99"/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44683-56FE-4E10-AF93-F62F423FA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Kraftway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Носов Дмитрий Евгеньевич</dc:creator>
  <cp:revision>11</cp:revision>
  <dcterms:created xsi:type="dcterms:W3CDTF">2023-02-13T05:25:00Z</dcterms:created>
  <dcterms:modified xsi:type="dcterms:W3CDTF">2026-08-17T15:07:16Z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