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FF" w:rsidRDefault="00FE1C92" w:rsidP="00F47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Определение цены контракта</w:t>
      </w:r>
      <w:r w:rsidR="00980F7A" w:rsidRPr="00980F7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br/>
      </w:r>
      <w:bookmarkEnd w:id="0"/>
      <w:r w:rsidR="00851A89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на оказание услуг по  лабораторным</w:t>
      </w:r>
      <w:r w:rsidRPr="00FE1C9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испытания</w:t>
      </w:r>
      <w:r w:rsidR="00851A89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м</w:t>
      </w:r>
      <w:r w:rsidRPr="00FE1C92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бронежилетов открытого ношения класса защитной структуры Бр3 на соответствие требованиям заказчика по показателям защитных свойств</w:t>
      </w:r>
      <w:r w:rsidR="005609C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</w:t>
      </w:r>
      <w:r w:rsidR="005609CA" w:rsidRPr="005609C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(</w:t>
      </w:r>
      <w:proofErr w:type="spellStart"/>
      <w:r w:rsidR="005609CA" w:rsidRPr="005609C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пулестойкость</w:t>
      </w:r>
      <w:proofErr w:type="spellEnd"/>
      <w:r w:rsidR="005609CA" w:rsidRPr="005609C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, имитатор осколков) при высоких, низких температурах, воздействии атмосферных осадков, площади защиты, массы</w:t>
      </w:r>
      <w:r w:rsidR="00AD54A8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изделия</w:t>
      </w:r>
      <w:r w:rsidR="005609CA" w:rsidRPr="005609CA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.</w:t>
      </w:r>
    </w:p>
    <w:p w:rsidR="00FE1C92" w:rsidRPr="00980F7A" w:rsidRDefault="00FE1C92" w:rsidP="00F47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36F" w:rsidRPr="00980F7A" w:rsidRDefault="00B2736F" w:rsidP="00B2736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F7A">
        <w:rPr>
          <w:rFonts w:ascii="Times New Roman" w:hAnsi="Times New Roman" w:cs="Times New Roman"/>
          <w:sz w:val="26"/>
          <w:szCs w:val="26"/>
        </w:rPr>
        <w:t xml:space="preserve">Определение цены контракта произведено Заказчиком в соответствии со ст. 22 Федерального закона от 05.04.2013 </w:t>
      </w:r>
      <w:r w:rsidRPr="00980F7A">
        <w:rPr>
          <w:rFonts w:ascii="Times New Roman" w:hAnsi="Times New Roman" w:cs="Times New Roman"/>
          <w:sz w:val="26"/>
          <w:szCs w:val="26"/>
        </w:rPr>
        <w:br/>
        <w:t xml:space="preserve">№ 44-ФЗ «О контрактной системе в сфере закупок товаров, работ, услуг для обеспечения государственных </w:t>
      </w:r>
      <w:r w:rsidRPr="00980F7A">
        <w:rPr>
          <w:rFonts w:ascii="Times New Roman" w:hAnsi="Times New Roman" w:cs="Times New Roman"/>
          <w:sz w:val="26"/>
          <w:szCs w:val="26"/>
        </w:rPr>
        <w:br/>
        <w:t>и муниципальных нужд».</w:t>
      </w:r>
    </w:p>
    <w:p w:rsidR="00B2736F" w:rsidRPr="00980F7A" w:rsidRDefault="00B2736F" w:rsidP="00B2736F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0F7A">
        <w:rPr>
          <w:rFonts w:ascii="Times New Roman" w:hAnsi="Times New Roman" w:cs="Times New Roman"/>
          <w:sz w:val="26"/>
          <w:szCs w:val="26"/>
        </w:rPr>
        <w:t>Для проведения исследования рынка закупаемой услуги Заказчиком</w:t>
      </w:r>
      <w:r w:rsidR="00042DC8" w:rsidRPr="00980F7A">
        <w:rPr>
          <w:rFonts w:ascii="Times New Roman" w:hAnsi="Times New Roman" w:cs="Times New Roman"/>
          <w:sz w:val="26"/>
          <w:szCs w:val="26"/>
        </w:rPr>
        <w:t xml:space="preserve"> был направлен запрос о предоставлении ценовой информации поставщикам,</w:t>
      </w:r>
      <w:r w:rsidRPr="00980F7A">
        <w:rPr>
          <w:rFonts w:ascii="Times New Roman" w:hAnsi="Times New Roman" w:cs="Times New Roman"/>
          <w:sz w:val="26"/>
          <w:szCs w:val="26"/>
        </w:rPr>
        <w:t xml:space="preserve"> размещен запрос цен в ЕИС, осуществлен поиск ценовой и</w:t>
      </w:r>
      <w:r w:rsidR="00042DC8" w:rsidRPr="00980F7A">
        <w:rPr>
          <w:rFonts w:ascii="Times New Roman" w:hAnsi="Times New Roman" w:cs="Times New Roman"/>
          <w:sz w:val="26"/>
          <w:szCs w:val="26"/>
        </w:rPr>
        <w:t>нформации в реестре контрактов, заключенных заказчиками, и в общедоступной сети «Интернет»</w:t>
      </w:r>
      <w:r w:rsidRPr="00980F7A">
        <w:rPr>
          <w:rFonts w:ascii="Times New Roman" w:hAnsi="Times New Roman" w:cs="Times New Roman"/>
          <w:sz w:val="26"/>
          <w:szCs w:val="26"/>
        </w:rPr>
        <w:t>.</w:t>
      </w:r>
    </w:p>
    <w:p w:rsidR="00B2736F" w:rsidRPr="00B2736F" w:rsidRDefault="00B2736F" w:rsidP="00B273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F7A">
        <w:rPr>
          <w:rFonts w:ascii="Times New Roman" w:hAnsi="Times New Roman" w:cs="Times New Roman"/>
          <w:sz w:val="26"/>
          <w:szCs w:val="26"/>
        </w:rPr>
        <w:t>Результат проведенного анализа рынка:</w:t>
      </w:r>
    </w:p>
    <w:tbl>
      <w:tblPr>
        <w:tblStyle w:val="24"/>
        <w:tblW w:w="15378" w:type="dxa"/>
        <w:tblLayout w:type="fixed"/>
        <w:tblLook w:val="04A0" w:firstRow="1" w:lastRow="0" w:firstColumn="1" w:lastColumn="0" w:noHBand="0" w:noVBand="1"/>
      </w:tblPr>
      <w:tblGrid>
        <w:gridCol w:w="553"/>
        <w:gridCol w:w="6076"/>
        <w:gridCol w:w="2551"/>
        <w:gridCol w:w="1418"/>
        <w:gridCol w:w="1559"/>
        <w:gridCol w:w="2981"/>
        <w:gridCol w:w="240"/>
      </w:tblGrid>
      <w:tr w:rsidR="002E0940" w:rsidRPr="005174F1" w:rsidTr="00FE1C92">
        <w:trPr>
          <w:gridAfter w:val="1"/>
          <w:wAfter w:w="240" w:type="dxa"/>
          <w:trHeight w:val="841"/>
        </w:trPr>
        <w:tc>
          <w:tcPr>
            <w:tcW w:w="553" w:type="dxa"/>
            <w:vMerge w:val="restart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 xml:space="preserve">№ </w:t>
            </w:r>
            <w:proofErr w:type="gramStart"/>
            <w:r w:rsidRPr="005174F1">
              <w:rPr>
                <w:sz w:val="24"/>
                <w:szCs w:val="24"/>
              </w:rPr>
              <w:t>п</w:t>
            </w:r>
            <w:proofErr w:type="gramEnd"/>
            <w:r w:rsidRPr="005174F1">
              <w:rPr>
                <w:sz w:val="24"/>
                <w:szCs w:val="24"/>
              </w:rPr>
              <w:t>/п</w:t>
            </w:r>
          </w:p>
        </w:tc>
        <w:tc>
          <w:tcPr>
            <w:tcW w:w="6076" w:type="dxa"/>
            <w:vMerge w:val="restart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 w:val="restart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2E0940">
              <w:rPr>
                <w:sz w:val="24"/>
                <w:szCs w:val="24"/>
              </w:rPr>
              <w:t>Цена за единицу услуги</w:t>
            </w:r>
            <w:r>
              <w:rPr>
                <w:sz w:val="24"/>
                <w:szCs w:val="24"/>
              </w:rPr>
              <w:t>, руб.</w:t>
            </w:r>
          </w:p>
        </w:tc>
        <w:tc>
          <w:tcPr>
            <w:tcW w:w="1559" w:type="dxa"/>
            <w:vMerge w:val="restart"/>
            <w:vAlign w:val="center"/>
          </w:tcPr>
          <w:p w:rsidR="002E0940" w:rsidRDefault="002E0940" w:rsidP="00364581">
            <w:pPr>
              <w:jc w:val="center"/>
              <w:rPr>
                <w:sz w:val="24"/>
                <w:szCs w:val="24"/>
              </w:rPr>
            </w:pPr>
            <w:r w:rsidRPr="002E0940">
              <w:rPr>
                <w:sz w:val="24"/>
                <w:szCs w:val="24"/>
              </w:rPr>
              <w:t>Кол-во</w:t>
            </w:r>
          </w:p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2E0940">
              <w:rPr>
                <w:sz w:val="24"/>
                <w:szCs w:val="24"/>
              </w:rPr>
              <w:t>(</w:t>
            </w:r>
            <w:proofErr w:type="spellStart"/>
            <w:r w:rsidRPr="002E0940">
              <w:rPr>
                <w:sz w:val="24"/>
                <w:szCs w:val="24"/>
              </w:rPr>
              <w:t>усл</w:t>
            </w:r>
            <w:proofErr w:type="spellEnd"/>
            <w:r w:rsidRPr="002E0940">
              <w:rPr>
                <w:sz w:val="24"/>
                <w:szCs w:val="24"/>
              </w:rPr>
              <w:t>. ед.)</w:t>
            </w:r>
          </w:p>
        </w:tc>
        <w:tc>
          <w:tcPr>
            <w:tcW w:w="2981" w:type="dxa"/>
            <w:vMerge w:val="restart"/>
            <w:vAlign w:val="center"/>
          </w:tcPr>
          <w:p w:rsidR="002E0940" w:rsidRPr="005174F1" w:rsidRDefault="00FE1C92" w:rsidP="0036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E0940">
              <w:rPr>
                <w:sz w:val="24"/>
                <w:szCs w:val="24"/>
              </w:rPr>
              <w:t>тоимость услуги</w:t>
            </w:r>
            <w:r>
              <w:rPr>
                <w:sz w:val="24"/>
                <w:szCs w:val="24"/>
              </w:rPr>
              <w:t xml:space="preserve"> </w:t>
            </w:r>
            <w:r w:rsidR="0004186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 учетом возможности Заказчика</w:t>
            </w:r>
            <w:r w:rsidR="002E0940">
              <w:rPr>
                <w:sz w:val="24"/>
                <w:szCs w:val="24"/>
              </w:rPr>
              <w:t>, руб.</w:t>
            </w:r>
          </w:p>
        </w:tc>
      </w:tr>
      <w:tr w:rsidR="002E0940" w:rsidRPr="005174F1" w:rsidTr="00FE1C92">
        <w:trPr>
          <w:trHeight w:val="410"/>
        </w:trPr>
        <w:tc>
          <w:tcPr>
            <w:tcW w:w="553" w:type="dxa"/>
            <w:vMerge/>
          </w:tcPr>
          <w:p w:rsidR="002E0940" w:rsidRPr="005174F1" w:rsidRDefault="002E094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6" w:type="dxa"/>
            <w:vMerge/>
          </w:tcPr>
          <w:p w:rsidR="002E0940" w:rsidRPr="005174F1" w:rsidRDefault="002E094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E0940" w:rsidRPr="005174F1" w:rsidRDefault="002E094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0940" w:rsidRPr="005174F1" w:rsidRDefault="002E0940" w:rsidP="005174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940" w:rsidRPr="005174F1" w:rsidRDefault="002E0940" w:rsidP="00517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2E0940" w:rsidRPr="005174F1" w:rsidRDefault="002E0940" w:rsidP="005174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nil"/>
              <w:bottom w:val="nil"/>
              <w:right w:val="nil"/>
            </w:tcBorders>
          </w:tcPr>
          <w:p w:rsidR="002E0940" w:rsidRPr="005174F1" w:rsidRDefault="002E0940" w:rsidP="005174F1">
            <w:pPr>
              <w:jc w:val="center"/>
              <w:rPr>
                <w:sz w:val="24"/>
                <w:szCs w:val="24"/>
              </w:rPr>
            </w:pPr>
          </w:p>
        </w:tc>
      </w:tr>
      <w:tr w:rsidR="002E0940" w:rsidRPr="005174F1" w:rsidTr="00FE1C92">
        <w:trPr>
          <w:trHeight w:val="373"/>
        </w:trPr>
        <w:tc>
          <w:tcPr>
            <w:tcW w:w="553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1</w:t>
            </w:r>
          </w:p>
        </w:tc>
        <w:tc>
          <w:tcPr>
            <w:tcW w:w="6076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1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6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nil"/>
            </w:tcBorders>
          </w:tcPr>
          <w:p w:rsidR="002E0940" w:rsidRPr="005174F1" w:rsidRDefault="002E0940" w:rsidP="005174F1">
            <w:pPr>
              <w:jc w:val="center"/>
              <w:rPr>
                <w:sz w:val="24"/>
                <w:szCs w:val="24"/>
              </w:rPr>
            </w:pPr>
          </w:p>
        </w:tc>
      </w:tr>
      <w:tr w:rsidR="002E0940" w:rsidRPr="005174F1" w:rsidTr="00FE1C92">
        <w:trPr>
          <w:trHeight w:val="500"/>
        </w:trPr>
        <w:tc>
          <w:tcPr>
            <w:tcW w:w="553" w:type="dxa"/>
            <w:vAlign w:val="center"/>
          </w:tcPr>
          <w:p w:rsidR="002E0940" w:rsidRPr="005174F1" w:rsidRDefault="002E0940" w:rsidP="00364581">
            <w:pPr>
              <w:jc w:val="center"/>
              <w:rPr>
                <w:sz w:val="24"/>
                <w:szCs w:val="24"/>
              </w:rPr>
            </w:pPr>
            <w:r w:rsidRPr="005174F1">
              <w:rPr>
                <w:sz w:val="24"/>
                <w:szCs w:val="24"/>
              </w:rPr>
              <w:t>1</w:t>
            </w:r>
          </w:p>
        </w:tc>
        <w:tc>
          <w:tcPr>
            <w:tcW w:w="6076" w:type="dxa"/>
            <w:vAlign w:val="center"/>
          </w:tcPr>
          <w:p w:rsidR="002E0940" w:rsidRPr="00914058" w:rsidRDefault="00FE1C92" w:rsidP="00FE1C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FE1C92">
              <w:rPr>
                <w:sz w:val="24"/>
                <w:szCs w:val="24"/>
              </w:rPr>
              <w:t xml:space="preserve">абораторные испытания бронежилетов открытого ношения класса защитной структуры Бр3 </w:t>
            </w:r>
            <w:r w:rsidR="003E7E8B">
              <w:rPr>
                <w:sz w:val="24"/>
                <w:szCs w:val="24"/>
              </w:rPr>
              <w:br/>
            </w:r>
            <w:r w:rsidRPr="00FE1C92">
              <w:rPr>
                <w:sz w:val="24"/>
                <w:szCs w:val="24"/>
              </w:rPr>
              <w:t>на соответствие требованиям заказчика по показателям защитных свойств</w:t>
            </w:r>
            <w:r w:rsidR="005609CA">
              <w:rPr>
                <w:sz w:val="24"/>
                <w:szCs w:val="24"/>
              </w:rPr>
              <w:t xml:space="preserve"> </w:t>
            </w:r>
            <w:r w:rsidR="005609CA" w:rsidRPr="005609CA">
              <w:rPr>
                <w:sz w:val="24"/>
                <w:szCs w:val="24"/>
              </w:rPr>
              <w:t>(</w:t>
            </w:r>
            <w:proofErr w:type="spellStart"/>
            <w:r w:rsidR="005609CA" w:rsidRPr="005609CA">
              <w:rPr>
                <w:sz w:val="24"/>
                <w:szCs w:val="24"/>
              </w:rPr>
              <w:t>пулестойкость</w:t>
            </w:r>
            <w:proofErr w:type="spellEnd"/>
            <w:r w:rsidR="005609CA" w:rsidRPr="005609CA">
              <w:rPr>
                <w:sz w:val="24"/>
                <w:szCs w:val="24"/>
              </w:rPr>
              <w:t>, имитатор осколков) при высоких, низких температурах, воздействии атмосферных осадков, площади защиты, массы</w:t>
            </w:r>
            <w:r w:rsidR="00FD4417">
              <w:rPr>
                <w:sz w:val="24"/>
                <w:szCs w:val="24"/>
              </w:rPr>
              <w:t xml:space="preserve"> изделия</w:t>
            </w:r>
            <w:r w:rsidR="005609CA" w:rsidRPr="005609C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2E0940" w:rsidRDefault="00D37E58" w:rsidP="00FE1C9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="002E0940">
              <w:rPr>
                <w:color w:val="000000"/>
                <w:sz w:val="24"/>
                <w:szCs w:val="24"/>
              </w:rPr>
              <w:t>х</w:t>
            </w:r>
            <w:proofErr w:type="spellEnd"/>
            <w:r w:rsidR="002E094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2E0940">
              <w:rPr>
                <w:color w:val="000000"/>
                <w:sz w:val="24"/>
                <w:szCs w:val="24"/>
              </w:rPr>
              <w:t xml:space="preserve">ФТС России               от </w:t>
            </w:r>
            <w:r w:rsidR="00FE1C92">
              <w:rPr>
                <w:color w:val="000000"/>
                <w:sz w:val="24"/>
                <w:szCs w:val="24"/>
              </w:rPr>
              <w:t>15.06.2026</w:t>
            </w:r>
            <w:r w:rsidR="002E0940">
              <w:rPr>
                <w:color w:val="000000"/>
                <w:sz w:val="24"/>
                <w:szCs w:val="24"/>
              </w:rPr>
              <w:t xml:space="preserve">                  № </w:t>
            </w:r>
            <w:r w:rsidR="00FE1C92">
              <w:rPr>
                <w:color w:val="000000"/>
                <w:sz w:val="24"/>
                <w:szCs w:val="24"/>
              </w:rPr>
              <w:t>74725</w:t>
            </w:r>
          </w:p>
        </w:tc>
        <w:tc>
          <w:tcPr>
            <w:tcW w:w="1418" w:type="dxa"/>
            <w:vAlign w:val="center"/>
          </w:tcPr>
          <w:p w:rsidR="002E0940" w:rsidRPr="00914058" w:rsidRDefault="00FE1C92" w:rsidP="003645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230 251,66</w:t>
            </w:r>
          </w:p>
        </w:tc>
        <w:tc>
          <w:tcPr>
            <w:tcW w:w="1559" w:type="dxa"/>
            <w:vAlign w:val="center"/>
          </w:tcPr>
          <w:p w:rsidR="00D37E58" w:rsidRDefault="00D37E58" w:rsidP="0036458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E0940" w:rsidRPr="00914058" w:rsidRDefault="002E0940" w:rsidP="003645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2E0940" w:rsidRPr="00914058" w:rsidRDefault="002E0940" w:rsidP="0036458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2E0940" w:rsidRPr="00914058" w:rsidRDefault="00FE1C92" w:rsidP="003645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219 959,60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2E0940" w:rsidRPr="005174F1" w:rsidRDefault="002E0940" w:rsidP="005174F1">
            <w:pPr>
              <w:jc w:val="center"/>
              <w:rPr>
                <w:sz w:val="24"/>
                <w:szCs w:val="24"/>
              </w:rPr>
            </w:pPr>
          </w:p>
        </w:tc>
      </w:tr>
      <w:tr w:rsidR="00042DC8" w:rsidRPr="005174F1" w:rsidTr="00FE1C92">
        <w:trPr>
          <w:trHeight w:val="500"/>
        </w:trPr>
        <w:tc>
          <w:tcPr>
            <w:tcW w:w="12157" w:type="dxa"/>
            <w:gridSpan w:val="5"/>
            <w:vAlign w:val="center"/>
          </w:tcPr>
          <w:p w:rsidR="00042DC8" w:rsidRPr="00914058" w:rsidRDefault="00042DC8" w:rsidP="00364581">
            <w:pPr>
              <w:rPr>
                <w:b/>
                <w:sz w:val="24"/>
                <w:szCs w:val="24"/>
              </w:rPr>
            </w:pPr>
            <w:r w:rsidRPr="0091405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981" w:type="dxa"/>
            <w:vAlign w:val="center"/>
          </w:tcPr>
          <w:p w:rsidR="00042DC8" w:rsidRPr="002E0940" w:rsidRDefault="00FE1C92" w:rsidP="00B2736F">
            <w:pPr>
              <w:jc w:val="center"/>
              <w:rPr>
                <w:b/>
                <w:sz w:val="24"/>
                <w:szCs w:val="24"/>
              </w:rPr>
            </w:pPr>
            <w:r w:rsidRPr="00FE1C92">
              <w:rPr>
                <w:b/>
                <w:color w:val="000000"/>
                <w:sz w:val="24"/>
                <w:szCs w:val="24"/>
              </w:rPr>
              <w:t>219 959,60</w:t>
            </w:r>
          </w:p>
        </w:tc>
        <w:tc>
          <w:tcPr>
            <w:tcW w:w="24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42DC8" w:rsidRPr="005174F1" w:rsidRDefault="00042DC8" w:rsidP="005174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0F7A" w:rsidRDefault="00980F7A" w:rsidP="002E0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74F1" w:rsidRPr="00980F7A" w:rsidRDefault="00B2736F" w:rsidP="00FE1C9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80F7A">
        <w:rPr>
          <w:rFonts w:ascii="Times New Roman" w:hAnsi="Times New Roman" w:cs="Times New Roman"/>
          <w:sz w:val="26"/>
          <w:szCs w:val="26"/>
        </w:rPr>
        <w:t>Цена контракта</w:t>
      </w:r>
      <w:r w:rsidR="00FE1C92" w:rsidRPr="00FE1C92">
        <w:t xml:space="preserve"> </w:t>
      </w:r>
      <w:r w:rsidR="005E550E">
        <w:rPr>
          <w:rFonts w:ascii="Times New Roman" w:hAnsi="Times New Roman" w:cs="Times New Roman"/>
          <w:sz w:val="26"/>
          <w:szCs w:val="26"/>
        </w:rPr>
        <w:t>на оказание услуг по</w:t>
      </w:r>
      <w:r w:rsidR="00FD3D2E">
        <w:rPr>
          <w:rFonts w:ascii="Times New Roman" w:hAnsi="Times New Roman" w:cs="Times New Roman"/>
          <w:sz w:val="26"/>
          <w:szCs w:val="26"/>
        </w:rPr>
        <w:t xml:space="preserve"> лабораторным</w:t>
      </w:r>
      <w:r w:rsidR="00FE1C92" w:rsidRPr="00FE1C92">
        <w:rPr>
          <w:rFonts w:ascii="Times New Roman" w:hAnsi="Times New Roman" w:cs="Times New Roman"/>
          <w:sz w:val="26"/>
          <w:szCs w:val="26"/>
        </w:rPr>
        <w:t xml:space="preserve"> испытания</w:t>
      </w:r>
      <w:r w:rsidR="00FD3D2E">
        <w:rPr>
          <w:rFonts w:ascii="Times New Roman" w:hAnsi="Times New Roman" w:cs="Times New Roman"/>
          <w:sz w:val="26"/>
          <w:szCs w:val="26"/>
        </w:rPr>
        <w:t>м</w:t>
      </w:r>
      <w:r w:rsidR="00FE1C92" w:rsidRPr="00FE1C92">
        <w:rPr>
          <w:rFonts w:ascii="Times New Roman" w:hAnsi="Times New Roman" w:cs="Times New Roman"/>
          <w:sz w:val="26"/>
          <w:szCs w:val="26"/>
        </w:rPr>
        <w:t xml:space="preserve"> бронежилетов открытого ношения класса защитной структуры Бр3 на соответствие требованиям заказчика </w:t>
      </w:r>
      <w:r w:rsidR="00FE1C92">
        <w:rPr>
          <w:rFonts w:ascii="Times New Roman" w:hAnsi="Times New Roman" w:cs="Times New Roman"/>
          <w:sz w:val="26"/>
          <w:szCs w:val="26"/>
        </w:rPr>
        <w:t xml:space="preserve">по </w:t>
      </w:r>
      <w:bookmarkStart w:id="1" w:name="_GoBack"/>
      <w:bookmarkEnd w:id="1"/>
      <w:r w:rsidR="00FE1C92">
        <w:rPr>
          <w:rFonts w:ascii="Times New Roman" w:hAnsi="Times New Roman" w:cs="Times New Roman"/>
          <w:sz w:val="26"/>
          <w:szCs w:val="26"/>
        </w:rPr>
        <w:t xml:space="preserve">показателям защитных свойств </w:t>
      </w:r>
      <w:r w:rsidR="005609CA" w:rsidRPr="005609CA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609CA" w:rsidRPr="005609CA">
        <w:rPr>
          <w:rFonts w:ascii="Times New Roman" w:hAnsi="Times New Roman" w:cs="Times New Roman"/>
          <w:sz w:val="26"/>
          <w:szCs w:val="26"/>
        </w:rPr>
        <w:t>пулестойкость</w:t>
      </w:r>
      <w:proofErr w:type="spellEnd"/>
      <w:r w:rsidR="005609CA" w:rsidRPr="005609CA">
        <w:rPr>
          <w:rFonts w:ascii="Times New Roman" w:hAnsi="Times New Roman" w:cs="Times New Roman"/>
          <w:sz w:val="26"/>
          <w:szCs w:val="26"/>
        </w:rPr>
        <w:t xml:space="preserve">, имитатор осколков) </w:t>
      </w:r>
      <w:r w:rsidR="005A7EB4">
        <w:rPr>
          <w:rFonts w:ascii="Times New Roman" w:hAnsi="Times New Roman" w:cs="Times New Roman"/>
          <w:sz w:val="26"/>
          <w:szCs w:val="26"/>
        </w:rPr>
        <w:br/>
      </w:r>
      <w:r w:rsidR="005609CA" w:rsidRPr="005609CA">
        <w:rPr>
          <w:rFonts w:ascii="Times New Roman" w:hAnsi="Times New Roman" w:cs="Times New Roman"/>
          <w:sz w:val="26"/>
          <w:szCs w:val="26"/>
        </w:rPr>
        <w:t>при высоких, низких температурах, воздействии атмосферных</w:t>
      </w:r>
      <w:r w:rsidR="005609CA">
        <w:rPr>
          <w:rFonts w:ascii="Times New Roman" w:hAnsi="Times New Roman" w:cs="Times New Roman"/>
          <w:sz w:val="26"/>
          <w:szCs w:val="26"/>
        </w:rPr>
        <w:t xml:space="preserve"> осадков, площади защиты, массы</w:t>
      </w:r>
      <w:r w:rsidR="00FD4417">
        <w:rPr>
          <w:rFonts w:ascii="Times New Roman" w:hAnsi="Times New Roman" w:cs="Times New Roman"/>
          <w:sz w:val="26"/>
          <w:szCs w:val="26"/>
        </w:rPr>
        <w:t xml:space="preserve"> изделия</w:t>
      </w:r>
      <w:r w:rsidR="005609CA">
        <w:rPr>
          <w:rFonts w:ascii="Times New Roman" w:hAnsi="Times New Roman" w:cs="Times New Roman"/>
          <w:sz w:val="26"/>
          <w:szCs w:val="26"/>
        </w:rPr>
        <w:t xml:space="preserve"> </w:t>
      </w:r>
      <w:r w:rsidRPr="00980F7A">
        <w:rPr>
          <w:rFonts w:ascii="Times New Roman" w:hAnsi="Times New Roman" w:cs="Times New Roman"/>
          <w:sz w:val="26"/>
          <w:szCs w:val="26"/>
        </w:rPr>
        <w:t>составляет</w:t>
      </w:r>
      <w:r w:rsidR="003B1677" w:rsidRPr="00980F7A">
        <w:rPr>
          <w:rFonts w:ascii="Times New Roman" w:hAnsi="Times New Roman" w:cs="Times New Roman"/>
          <w:sz w:val="26"/>
          <w:szCs w:val="26"/>
        </w:rPr>
        <w:t xml:space="preserve"> </w:t>
      </w:r>
      <w:r w:rsidR="00FE1C92" w:rsidRPr="00FE1C92">
        <w:rPr>
          <w:rFonts w:ascii="Times New Roman" w:hAnsi="Times New Roman" w:cs="Times New Roman"/>
          <w:b/>
          <w:sz w:val="26"/>
          <w:szCs w:val="26"/>
        </w:rPr>
        <w:t>219 959,60</w:t>
      </w:r>
      <w:r w:rsidR="00FE1C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7EB4">
        <w:rPr>
          <w:rFonts w:ascii="Times New Roman" w:hAnsi="Times New Roman" w:cs="Times New Roman"/>
          <w:sz w:val="26"/>
          <w:szCs w:val="26"/>
        </w:rPr>
        <w:t xml:space="preserve">руб. </w:t>
      </w:r>
      <w:r w:rsidRPr="00980F7A">
        <w:rPr>
          <w:rFonts w:ascii="Times New Roman" w:hAnsi="Times New Roman" w:cs="Times New Roman"/>
          <w:sz w:val="26"/>
          <w:szCs w:val="26"/>
        </w:rPr>
        <w:t>(</w:t>
      </w:r>
      <w:r w:rsidR="00FE1C92">
        <w:rPr>
          <w:rFonts w:ascii="Times New Roman" w:hAnsi="Times New Roman" w:cs="Times New Roman"/>
          <w:sz w:val="26"/>
          <w:szCs w:val="26"/>
        </w:rPr>
        <w:t>Двести девятнадцать тысяч</w:t>
      </w:r>
      <w:r w:rsidR="009F5A72" w:rsidRPr="00980F7A">
        <w:rPr>
          <w:rFonts w:ascii="Times New Roman" w:hAnsi="Times New Roman" w:cs="Times New Roman"/>
          <w:sz w:val="26"/>
          <w:szCs w:val="26"/>
        </w:rPr>
        <w:t xml:space="preserve"> </w:t>
      </w:r>
      <w:r w:rsidR="00FE1C92">
        <w:rPr>
          <w:rFonts w:ascii="Times New Roman" w:hAnsi="Times New Roman" w:cs="Times New Roman"/>
          <w:sz w:val="26"/>
          <w:szCs w:val="26"/>
        </w:rPr>
        <w:t>девятьсот пятьдесят девять</w:t>
      </w:r>
      <w:r w:rsidRPr="00980F7A">
        <w:rPr>
          <w:rFonts w:ascii="Times New Roman" w:hAnsi="Times New Roman" w:cs="Times New Roman"/>
          <w:sz w:val="26"/>
          <w:szCs w:val="26"/>
        </w:rPr>
        <w:t xml:space="preserve"> руб.</w:t>
      </w:r>
      <w:r w:rsidR="0095164C">
        <w:rPr>
          <w:rFonts w:ascii="Times New Roman" w:hAnsi="Times New Roman" w:cs="Times New Roman"/>
          <w:sz w:val="26"/>
          <w:szCs w:val="26"/>
        </w:rPr>
        <w:t xml:space="preserve"> </w:t>
      </w:r>
      <w:r w:rsidR="00FE1C92">
        <w:rPr>
          <w:rFonts w:ascii="Times New Roman" w:hAnsi="Times New Roman" w:cs="Times New Roman"/>
          <w:sz w:val="26"/>
          <w:szCs w:val="26"/>
        </w:rPr>
        <w:t>6</w:t>
      </w:r>
      <w:r w:rsidR="009F5A72" w:rsidRPr="00980F7A">
        <w:rPr>
          <w:rFonts w:ascii="Times New Roman" w:hAnsi="Times New Roman" w:cs="Times New Roman"/>
          <w:sz w:val="26"/>
          <w:szCs w:val="26"/>
        </w:rPr>
        <w:t>0</w:t>
      </w:r>
      <w:r w:rsidRPr="00980F7A">
        <w:rPr>
          <w:rFonts w:ascii="Times New Roman" w:hAnsi="Times New Roman" w:cs="Times New Roman"/>
          <w:sz w:val="26"/>
          <w:szCs w:val="26"/>
        </w:rPr>
        <w:t xml:space="preserve"> коп.) с учетом всех необходимых затрат.</w:t>
      </w:r>
      <w:proofErr w:type="gramEnd"/>
    </w:p>
    <w:p w:rsidR="009F5A72" w:rsidRPr="00980F7A" w:rsidRDefault="009F5A72" w:rsidP="002E09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9F5A72" w:rsidRPr="00980F7A" w:rsidSect="00085FA9">
      <w:headerReference w:type="even" r:id="rId7"/>
      <w:headerReference w:type="default" r:id="rId8"/>
      <w:footerReference w:type="even" r:id="rId9"/>
      <w:footerReference w:type="first" r:id="rId10"/>
      <w:pgSz w:w="16838" w:h="11906" w:orient="landscape"/>
      <w:pgMar w:top="737" w:right="709" w:bottom="426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39" w:rsidRDefault="00A61239">
      <w:pPr>
        <w:spacing w:after="0" w:line="240" w:lineRule="auto"/>
      </w:pPr>
      <w:r>
        <w:separator/>
      </w:r>
    </w:p>
  </w:endnote>
  <w:endnote w:type="continuationSeparator" w:id="0">
    <w:p w:rsidR="00A61239" w:rsidRDefault="00A6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40" w:rsidRDefault="002E0940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2E0940" w:rsidRDefault="002E0940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40" w:rsidRDefault="002E0940">
    <w:pPr>
      <w:pStyle w:val="af4"/>
    </w:pPr>
  </w:p>
  <w:p w:rsidR="002E0940" w:rsidRDefault="002E0940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39" w:rsidRDefault="00A61239">
      <w:pPr>
        <w:spacing w:after="0" w:line="240" w:lineRule="auto"/>
      </w:pPr>
      <w:r>
        <w:separator/>
      </w:r>
    </w:p>
  </w:footnote>
  <w:footnote w:type="continuationSeparator" w:id="0">
    <w:p w:rsidR="00A61239" w:rsidRDefault="00A6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40" w:rsidRDefault="002E0940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2E0940" w:rsidRDefault="002E094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40" w:rsidRDefault="002E0940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48"/>
    <w:rsid w:val="00024895"/>
    <w:rsid w:val="00027048"/>
    <w:rsid w:val="0004186E"/>
    <w:rsid w:val="00042DC8"/>
    <w:rsid w:val="00085FA9"/>
    <w:rsid w:val="00135C05"/>
    <w:rsid w:val="00166FCA"/>
    <w:rsid w:val="0017641D"/>
    <w:rsid w:val="001C14C8"/>
    <w:rsid w:val="001C2990"/>
    <w:rsid w:val="001F494D"/>
    <w:rsid w:val="00237C95"/>
    <w:rsid w:val="00252A40"/>
    <w:rsid w:val="002620D7"/>
    <w:rsid w:val="0027679C"/>
    <w:rsid w:val="002E0940"/>
    <w:rsid w:val="00361A03"/>
    <w:rsid w:val="00364581"/>
    <w:rsid w:val="00395E3A"/>
    <w:rsid w:val="003B1677"/>
    <w:rsid w:val="003C753E"/>
    <w:rsid w:val="003D6DC2"/>
    <w:rsid w:val="003E7E8B"/>
    <w:rsid w:val="004068F6"/>
    <w:rsid w:val="00485E0E"/>
    <w:rsid w:val="004C36AF"/>
    <w:rsid w:val="004D3A2C"/>
    <w:rsid w:val="005007ED"/>
    <w:rsid w:val="005174F1"/>
    <w:rsid w:val="005609CA"/>
    <w:rsid w:val="00591707"/>
    <w:rsid w:val="005A7EB4"/>
    <w:rsid w:val="005C13A4"/>
    <w:rsid w:val="005E550E"/>
    <w:rsid w:val="0060083D"/>
    <w:rsid w:val="00692587"/>
    <w:rsid w:val="006A483A"/>
    <w:rsid w:val="006C3F35"/>
    <w:rsid w:val="006C5A7E"/>
    <w:rsid w:val="006F796A"/>
    <w:rsid w:val="00702EB3"/>
    <w:rsid w:val="00851A89"/>
    <w:rsid w:val="00886420"/>
    <w:rsid w:val="00914058"/>
    <w:rsid w:val="0095164C"/>
    <w:rsid w:val="00980F7A"/>
    <w:rsid w:val="009C521E"/>
    <w:rsid w:val="009D4B40"/>
    <w:rsid w:val="009F5A72"/>
    <w:rsid w:val="00A12CA3"/>
    <w:rsid w:val="00A61239"/>
    <w:rsid w:val="00A749C4"/>
    <w:rsid w:val="00A87F57"/>
    <w:rsid w:val="00A943FF"/>
    <w:rsid w:val="00AA78A7"/>
    <w:rsid w:val="00AC4691"/>
    <w:rsid w:val="00AD54A8"/>
    <w:rsid w:val="00AF0368"/>
    <w:rsid w:val="00B00E79"/>
    <w:rsid w:val="00B02413"/>
    <w:rsid w:val="00B2736F"/>
    <w:rsid w:val="00B709D7"/>
    <w:rsid w:val="00BB2F1C"/>
    <w:rsid w:val="00BD124C"/>
    <w:rsid w:val="00BD3A3A"/>
    <w:rsid w:val="00C373E5"/>
    <w:rsid w:val="00C708C7"/>
    <w:rsid w:val="00CB14EF"/>
    <w:rsid w:val="00CC069D"/>
    <w:rsid w:val="00CD1FE1"/>
    <w:rsid w:val="00D006CC"/>
    <w:rsid w:val="00D160E0"/>
    <w:rsid w:val="00D37E58"/>
    <w:rsid w:val="00D65892"/>
    <w:rsid w:val="00D65D25"/>
    <w:rsid w:val="00D75CEC"/>
    <w:rsid w:val="00DE7208"/>
    <w:rsid w:val="00E02306"/>
    <w:rsid w:val="00E105A2"/>
    <w:rsid w:val="00E35D36"/>
    <w:rsid w:val="00ED0190"/>
    <w:rsid w:val="00F1279F"/>
    <w:rsid w:val="00F47626"/>
    <w:rsid w:val="00F828AB"/>
    <w:rsid w:val="00FD3D2E"/>
    <w:rsid w:val="00FD4417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styleId="af3">
    <w:name w:val="page number"/>
    <w:basedOn w:val="a0"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96">
    <w:name w:val="5796"/>
    <w:basedOn w:val="a0"/>
  </w:style>
  <w:style w:type="character" w:customStyle="1" w:styleId="docy">
    <w:name w:val="docy"/>
    <w:basedOn w:val="a0"/>
  </w:style>
  <w:style w:type="paragraph" w:styleId="32">
    <w:name w:val="Body Text 3"/>
    <w:basedOn w:val="a"/>
    <w:link w:val="33"/>
    <w:rsid w:val="00C3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C373E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rsid w:val="0059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rsid w:val="00517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A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styleId="af3">
    <w:name w:val="page number"/>
    <w:basedOn w:val="a0"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96">
    <w:name w:val="5796"/>
    <w:basedOn w:val="a0"/>
  </w:style>
  <w:style w:type="character" w:customStyle="1" w:styleId="docy">
    <w:name w:val="docy"/>
    <w:basedOn w:val="a0"/>
  </w:style>
  <w:style w:type="paragraph" w:styleId="32">
    <w:name w:val="Body Text 3"/>
    <w:basedOn w:val="a"/>
    <w:link w:val="33"/>
    <w:rsid w:val="00C3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C373E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b"/>
    <w:rsid w:val="005917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b"/>
    <w:rsid w:val="00517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AA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A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Людмила Викторовна</dc:creator>
  <cp:lastModifiedBy>Лёвина Оксана Петровна</cp:lastModifiedBy>
  <cp:revision>26</cp:revision>
  <cp:lastPrinted>2026-06-16T11:12:00Z</cp:lastPrinted>
  <dcterms:created xsi:type="dcterms:W3CDTF">2025-04-03T10:24:00Z</dcterms:created>
  <dcterms:modified xsi:type="dcterms:W3CDTF">2026-06-16T11:13:00Z</dcterms:modified>
</cp:coreProperties>
</file>