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7C04" w14:textId="6055BB4A" w:rsidR="00653963" w:rsidRPr="00653963" w:rsidRDefault="00653963" w:rsidP="00653963">
      <w:pPr>
        <w:ind w:firstLine="567"/>
        <w:jc w:val="right"/>
        <w:rPr>
          <w:sz w:val="22"/>
          <w:szCs w:val="22"/>
        </w:rPr>
      </w:pPr>
      <w:r w:rsidRPr="0065396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  <w:r w:rsidRPr="00653963">
        <w:rPr>
          <w:sz w:val="22"/>
          <w:szCs w:val="22"/>
        </w:rPr>
        <w:t xml:space="preserve"> к объявлению о закупочной сессии на официальном сайте ЕАТ «Березка»</w:t>
      </w:r>
    </w:p>
    <w:p w14:paraId="03CB8D9C" w14:textId="77777777" w:rsidR="00653963" w:rsidRPr="00653963" w:rsidRDefault="00653963" w:rsidP="00653963">
      <w:pPr>
        <w:ind w:firstLine="567"/>
        <w:jc w:val="right"/>
        <w:rPr>
          <w:sz w:val="22"/>
          <w:szCs w:val="22"/>
        </w:rPr>
      </w:pPr>
    </w:p>
    <w:p w14:paraId="33043938" w14:textId="77777777" w:rsidR="00653963" w:rsidRDefault="00653963" w:rsidP="00653963">
      <w:pPr>
        <w:suppressAutoHyphens/>
        <w:autoSpaceDN w:val="0"/>
        <w:ind w:firstLine="601"/>
        <w:jc w:val="right"/>
        <w:rPr>
          <w:sz w:val="24"/>
        </w:rPr>
      </w:pPr>
      <w:r w:rsidRPr="00653963">
        <w:rPr>
          <w:sz w:val="24"/>
        </w:rPr>
        <w:t>УТВЕРЖДАЮ</w:t>
      </w:r>
    </w:p>
    <w:p w14:paraId="30AD2ADC" w14:textId="69BD14C4" w:rsidR="008E7AAA" w:rsidRPr="00653963" w:rsidRDefault="008E7AAA" w:rsidP="00653963">
      <w:pPr>
        <w:suppressAutoHyphens/>
        <w:autoSpaceDN w:val="0"/>
        <w:ind w:firstLine="601"/>
        <w:jc w:val="right"/>
        <w:rPr>
          <w:sz w:val="24"/>
        </w:rPr>
      </w:pPr>
      <w:r>
        <w:rPr>
          <w:sz w:val="24"/>
        </w:rPr>
        <w:t>Главный врач</w:t>
      </w:r>
    </w:p>
    <w:p w14:paraId="6B4CFE50" w14:textId="77777777" w:rsidR="008E7AAA" w:rsidRPr="008E7AAA" w:rsidRDefault="008E7AAA" w:rsidP="008E7AAA">
      <w:pPr>
        <w:ind w:firstLine="567"/>
        <w:jc w:val="right"/>
        <w:rPr>
          <w:sz w:val="22"/>
          <w:szCs w:val="22"/>
        </w:rPr>
      </w:pPr>
      <w:r w:rsidRPr="008E7AAA">
        <w:rPr>
          <w:sz w:val="22"/>
          <w:szCs w:val="22"/>
        </w:rPr>
        <w:t>ФБУЗ «Центр гигиены и эпидемиологии в Мурманской области»</w:t>
      </w:r>
    </w:p>
    <w:p w14:paraId="228F1769" w14:textId="03C5376E" w:rsidR="00653963" w:rsidRPr="00653963" w:rsidRDefault="008E7AAA" w:rsidP="008E7AAA">
      <w:pPr>
        <w:suppressAutoHyphens/>
        <w:autoSpaceDN w:val="0"/>
        <w:ind w:firstLine="601"/>
        <w:jc w:val="right"/>
        <w:rPr>
          <w:sz w:val="24"/>
        </w:rPr>
      </w:pPr>
      <w:r w:rsidRPr="008E7AAA">
        <w:rPr>
          <w:sz w:val="22"/>
          <w:szCs w:val="22"/>
        </w:rPr>
        <w:t>_______________Д.А. Филиппов</w:t>
      </w:r>
    </w:p>
    <w:p w14:paraId="44D42D87" w14:textId="7ABC19BB" w:rsidR="00653963" w:rsidRPr="00653963" w:rsidRDefault="00653963" w:rsidP="00653963">
      <w:pPr>
        <w:autoSpaceDN w:val="0"/>
        <w:adjustRightInd w:val="0"/>
        <w:ind w:firstLine="601"/>
        <w:jc w:val="right"/>
        <w:rPr>
          <w:sz w:val="24"/>
        </w:rPr>
      </w:pPr>
      <w:r w:rsidRPr="00653963">
        <w:rPr>
          <w:sz w:val="24"/>
        </w:rPr>
        <w:t>«</w:t>
      </w:r>
      <w:r w:rsidR="008E7AAA">
        <w:rPr>
          <w:sz w:val="24"/>
        </w:rPr>
        <w:t>22</w:t>
      </w:r>
      <w:r w:rsidRPr="00653963">
        <w:rPr>
          <w:sz w:val="24"/>
        </w:rPr>
        <w:t xml:space="preserve">» </w:t>
      </w:r>
      <w:r w:rsidR="002441E4">
        <w:rPr>
          <w:sz w:val="24"/>
        </w:rPr>
        <w:t>июня</w:t>
      </w:r>
      <w:r w:rsidRPr="00653963">
        <w:rPr>
          <w:sz w:val="24"/>
        </w:rPr>
        <w:t xml:space="preserve"> 2026 года</w:t>
      </w:r>
    </w:p>
    <w:p w14:paraId="229681CB" w14:textId="77777777" w:rsidR="00653963" w:rsidRDefault="00653963" w:rsidP="009E5808">
      <w:pPr>
        <w:jc w:val="center"/>
        <w:rPr>
          <w:b/>
          <w:bCs/>
          <w:sz w:val="24"/>
        </w:rPr>
      </w:pPr>
    </w:p>
    <w:p w14:paraId="3D98FE97" w14:textId="1AE371EE" w:rsidR="009E5808" w:rsidRDefault="009E5808" w:rsidP="009E580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Описание объекта закупки</w:t>
      </w:r>
    </w:p>
    <w:p w14:paraId="012F3FFC" w14:textId="624FCC8F" w:rsidR="00131710" w:rsidRDefault="009E5808" w:rsidP="002441E4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16F0">
        <w:rPr>
          <w:rFonts w:ascii="Times New Roman" w:hAnsi="Times New Roman" w:cs="Times New Roman"/>
          <w:bCs/>
          <w:sz w:val="24"/>
          <w:szCs w:val="24"/>
        </w:rPr>
        <w:t xml:space="preserve">Требования </w:t>
      </w:r>
      <w:r w:rsidRPr="007416F0">
        <w:rPr>
          <w:rFonts w:ascii="Times New Roman" w:hAnsi="Times New Roman" w:cs="Times New Roman"/>
          <w:sz w:val="24"/>
          <w:szCs w:val="24"/>
        </w:rPr>
        <w:t xml:space="preserve">к </w:t>
      </w:r>
      <w:r w:rsidRPr="007416F0">
        <w:rPr>
          <w:rFonts w:ascii="Times New Roman" w:hAnsi="Times New Roman" w:cs="Times New Roman"/>
          <w:bCs/>
          <w:sz w:val="24"/>
          <w:szCs w:val="24"/>
        </w:rPr>
        <w:t>техническим, функциональным характеристикам и эксплуатационным характеристикам (потребительским свойствам) товара, к размерам товара</w:t>
      </w:r>
    </w:p>
    <w:p w14:paraId="5F48E191" w14:textId="77777777" w:rsidR="002441E4" w:rsidRPr="002441E4" w:rsidRDefault="002441E4" w:rsidP="002441E4">
      <w:pPr>
        <w:pStyle w:val="a3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850"/>
        <w:gridCol w:w="2552"/>
        <w:gridCol w:w="3550"/>
        <w:gridCol w:w="3815"/>
      </w:tblGrid>
      <w:tr w:rsidR="00C13223" w:rsidRPr="002441E4" w14:paraId="08E89367" w14:textId="77777777" w:rsidTr="00931E86">
        <w:trPr>
          <w:trHeight w:val="113"/>
          <w:jc w:val="center"/>
        </w:trPr>
        <w:tc>
          <w:tcPr>
            <w:tcW w:w="851" w:type="dxa"/>
            <w:vMerge w:val="restart"/>
            <w:vAlign w:val="center"/>
          </w:tcPr>
          <w:p w14:paraId="65CD9A12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B9C8FB0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Наименование ТРУ</w:t>
            </w:r>
          </w:p>
        </w:tc>
        <w:tc>
          <w:tcPr>
            <w:tcW w:w="709" w:type="dxa"/>
            <w:vMerge w:val="restart"/>
            <w:vAlign w:val="center"/>
          </w:tcPr>
          <w:p w14:paraId="60412309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Merge w:val="restart"/>
            <w:vAlign w:val="center"/>
          </w:tcPr>
          <w:p w14:paraId="3DE9F0C7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102" w:type="dxa"/>
            <w:gridSpan w:val="2"/>
            <w:vAlign w:val="center"/>
            <w:hideMark/>
          </w:tcPr>
          <w:p w14:paraId="52C6DA55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Значение показателя</w:t>
            </w:r>
          </w:p>
          <w:p w14:paraId="31B2D921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Заполняется в соответствии с КТРУ (при наличии)</w:t>
            </w:r>
          </w:p>
        </w:tc>
        <w:tc>
          <w:tcPr>
            <w:tcW w:w="3815" w:type="dxa"/>
            <w:tcBorders>
              <w:top w:val="single" w:sz="4" w:space="0" w:color="auto"/>
              <w:bottom w:val="nil"/>
            </w:tcBorders>
            <w:vAlign w:val="center"/>
          </w:tcPr>
          <w:p w14:paraId="35409032" w14:textId="730B119B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 xml:space="preserve">Используемые документы в соответствии с законодательством РФ о </w:t>
            </w:r>
          </w:p>
        </w:tc>
      </w:tr>
      <w:tr w:rsidR="00C13223" w:rsidRPr="002441E4" w14:paraId="58A35A06" w14:textId="77777777" w:rsidTr="00931E86">
        <w:trPr>
          <w:trHeight w:val="20"/>
          <w:jc w:val="center"/>
        </w:trPr>
        <w:tc>
          <w:tcPr>
            <w:tcW w:w="851" w:type="dxa"/>
            <w:vMerge/>
          </w:tcPr>
          <w:p w14:paraId="5D6B8399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0A472BB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FD223DC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B6840A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BF239F" w14:textId="3BC64F53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Наименование характеристики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14:paraId="71FEA214" w14:textId="006E910C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Вид характеристики</w:t>
            </w:r>
          </w:p>
        </w:tc>
        <w:tc>
          <w:tcPr>
            <w:tcW w:w="3550" w:type="dxa"/>
            <w:vAlign w:val="center"/>
          </w:tcPr>
          <w:p w14:paraId="509CCBE8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Значение характеристики</w:t>
            </w:r>
          </w:p>
          <w:p w14:paraId="2A4759D3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(максимальные и (или) минимальные значения таких показателей либо показатели, значения которых не могут изменяться) установленные заказчиком</w:t>
            </w:r>
          </w:p>
        </w:tc>
        <w:tc>
          <w:tcPr>
            <w:tcW w:w="3815" w:type="dxa"/>
            <w:tcBorders>
              <w:top w:val="nil"/>
            </w:tcBorders>
            <w:vAlign w:val="center"/>
          </w:tcPr>
          <w:p w14:paraId="0E4DC5A1" w14:textId="02DA7038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техническом регулировании, законодательством РФ о стандартизации, либо обоснование необходимости использования других показателей, требований, условных обозначений и терминологии</w:t>
            </w:r>
          </w:p>
        </w:tc>
      </w:tr>
      <w:tr w:rsidR="00C13223" w:rsidRPr="002441E4" w14:paraId="27E47D27" w14:textId="77777777" w:rsidTr="00931E86">
        <w:trPr>
          <w:trHeight w:val="20"/>
          <w:jc w:val="center"/>
        </w:trPr>
        <w:tc>
          <w:tcPr>
            <w:tcW w:w="851" w:type="dxa"/>
            <w:vMerge w:val="restart"/>
          </w:tcPr>
          <w:p w14:paraId="0DC17C4A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41E4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14:paraId="52C9C9C5" w14:textId="77777777" w:rsidR="00C13223" w:rsidRPr="002441E4" w:rsidRDefault="00C13223" w:rsidP="002441E4">
            <w:pPr>
              <w:suppressAutoHyphens/>
              <w:rPr>
                <w:sz w:val="20"/>
                <w:szCs w:val="20"/>
                <w:lang w:eastAsia="ar-SA"/>
              </w:rPr>
            </w:pPr>
            <w:r w:rsidRPr="002441E4">
              <w:rPr>
                <w:rFonts w:eastAsia="Calibri"/>
                <w:sz w:val="20"/>
                <w:szCs w:val="20"/>
              </w:rPr>
              <w:t>Люксметр</w:t>
            </w:r>
          </w:p>
        </w:tc>
        <w:tc>
          <w:tcPr>
            <w:tcW w:w="709" w:type="dxa"/>
            <w:vMerge w:val="restart"/>
          </w:tcPr>
          <w:p w14:paraId="224E6ED3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14:paraId="35FE497A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штука</w:t>
            </w:r>
          </w:p>
        </w:tc>
        <w:tc>
          <w:tcPr>
            <w:tcW w:w="2552" w:type="dxa"/>
          </w:tcPr>
          <w:p w14:paraId="7755A954" w14:textId="08B69B30" w:rsidR="00C13223" w:rsidRPr="002441E4" w:rsidRDefault="00C13223" w:rsidP="002441E4">
            <w:pPr>
              <w:tabs>
                <w:tab w:val="left" w:pos="459"/>
              </w:tabs>
              <w:spacing w:line="259" w:lineRule="auto"/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Назначение</w:t>
            </w:r>
          </w:p>
        </w:tc>
        <w:tc>
          <w:tcPr>
            <w:tcW w:w="3550" w:type="dxa"/>
          </w:tcPr>
          <w:p w14:paraId="2C4DFDD1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комбинированный прибор для измерения яркости, освещенности, коэффициента пульсации</w:t>
            </w:r>
          </w:p>
        </w:tc>
        <w:tc>
          <w:tcPr>
            <w:tcW w:w="3815" w:type="dxa"/>
          </w:tcPr>
          <w:p w14:paraId="470F0FF8" w14:textId="23ED866D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Обусловлено потребностью заказчика</w:t>
            </w:r>
          </w:p>
        </w:tc>
      </w:tr>
      <w:tr w:rsidR="00C13223" w:rsidRPr="002441E4" w14:paraId="01A2CD70" w14:textId="77777777" w:rsidTr="00931E86">
        <w:trPr>
          <w:trHeight w:val="195"/>
          <w:jc w:val="center"/>
        </w:trPr>
        <w:tc>
          <w:tcPr>
            <w:tcW w:w="851" w:type="dxa"/>
            <w:vMerge/>
          </w:tcPr>
          <w:p w14:paraId="03A215C4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29B673" w14:textId="77777777" w:rsidR="00C13223" w:rsidRPr="002441E4" w:rsidRDefault="00C13223" w:rsidP="0024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494718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396486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1D22560" w14:textId="77777777" w:rsidR="00C13223" w:rsidRPr="002441E4" w:rsidRDefault="00C13223" w:rsidP="002441E4">
            <w:pPr>
              <w:tabs>
                <w:tab w:val="left" w:pos="459"/>
              </w:tabs>
              <w:spacing w:line="259" w:lineRule="auto"/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Диапазон измерения яркости</w:t>
            </w:r>
          </w:p>
        </w:tc>
        <w:tc>
          <w:tcPr>
            <w:tcW w:w="3550" w:type="dxa"/>
          </w:tcPr>
          <w:p w14:paraId="45F08C4C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от 1 до 200 000 кд/м2</w:t>
            </w:r>
          </w:p>
        </w:tc>
        <w:tc>
          <w:tcPr>
            <w:tcW w:w="3815" w:type="dxa"/>
          </w:tcPr>
          <w:p w14:paraId="38431C55" w14:textId="4FE25FA0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в соответствии с п. 4.39 Постановления Правительства РФ от 16 ноября 2020 г. N 1847</w:t>
            </w:r>
          </w:p>
        </w:tc>
      </w:tr>
      <w:tr w:rsidR="00C13223" w:rsidRPr="002441E4" w14:paraId="27F9241F" w14:textId="77777777" w:rsidTr="00931E86">
        <w:trPr>
          <w:trHeight w:val="180"/>
          <w:jc w:val="center"/>
        </w:trPr>
        <w:tc>
          <w:tcPr>
            <w:tcW w:w="851" w:type="dxa"/>
            <w:vMerge/>
          </w:tcPr>
          <w:p w14:paraId="5DAFEC05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FE6DB5" w14:textId="77777777" w:rsidR="00C13223" w:rsidRPr="002441E4" w:rsidRDefault="00C13223" w:rsidP="0024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C3A1A6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1D68E6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24E0251" w14:textId="566B9075" w:rsidR="00C13223" w:rsidRPr="002441E4" w:rsidRDefault="00C13223" w:rsidP="002441E4">
            <w:pPr>
              <w:tabs>
                <w:tab w:val="left" w:pos="459"/>
              </w:tabs>
              <w:spacing w:line="259" w:lineRule="auto"/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Пределы допускаемой погрешности измерения яркости</w:t>
            </w:r>
          </w:p>
        </w:tc>
        <w:tc>
          <w:tcPr>
            <w:tcW w:w="3550" w:type="dxa"/>
          </w:tcPr>
          <w:p w14:paraId="15BBB133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≤ ±10 %</w:t>
            </w:r>
          </w:p>
        </w:tc>
        <w:tc>
          <w:tcPr>
            <w:tcW w:w="3815" w:type="dxa"/>
          </w:tcPr>
          <w:p w14:paraId="5C89A7D9" w14:textId="2909104D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в соответствии с п. 4.39 Постановления Правительства РФ от 16 ноября 2020 г. N 1847;</w:t>
            </w:r>
          </w:p>
        </w:tc>
      </w:tr>
      <w:tr w:rsidR="00C13223" w:rsidRPr="002441E4" w14:paraId="7AB7D83A" w14:textId="77777777" w:rsidTr="00931E86">
        <w:trPr>
          <w:trHeight w:val="255"/>
          <w:jc w:val="center"/>
        </w:trPr>
        <w:tc>
          <w:tcPr>
            <w:tcW w:w="851" w:type="dxa"/>
            <w:vMerge/>
          </w:tcPr>
          <w:p w14:paraId="1BEB8F82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6ED2453" w14:textId="77777777" w:rsidR="00C13223" w:rsidRPr="002441E4" w:rsidRDefault="00C13223" w:rsidP="0024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976389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D26160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5EE7B36" w14:textId="31279428" w:rsidR="00C13223" w:rsidRPr="002441E4" w:rsidRDefault="00C13223" w:rsidP="002441E4">
            <w:pPr>
              <w:tabs>
                <w:tab w:val="left" w:pos="459"/>
              </w:tabs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Диапазон измерения освещенности</w:t>
            </w:r>
          </w:p>
        </w:tc>
        <w:tc>
          <w:tcPr>
            <w:tcW w:w="3550" w:type="dxa"/>
          </w:tcPr>
          <w:p w14:paraId="38F9B091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 xml:space="preserve">от 1 до 20 000 </w:t>
            </w:r>
            <w:proofErr w:type="spellStart"/>
            <w:r w:rsidRPr="002441E4">
              <w:rPr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3815" w:type="dxa"/>
          </w:tcPr>
          <w:p w14:paraId="5DF77E5F" w14:textId="67436B4A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в соответствии с п. 4.38 Постановления Правительства РФ от 16 ноября 2020 г. N 1847</w:t>
            </w:r>
          </w:p>
        </w:tc>
      </w:tr>
      <w:tr w:rsidR="00C13223" w:rsidRPr="002441E4" w14:paraId="0B0A2144" w14:textId="77777777" w:rsidTr="00931E86">
        <w:trPr>
          <w:trHeight w:val="255"/>
          <w:jc w:val="center"/>
        </w:trPr>
        <w:tc>
          <w:tcPr>
            <w:tcW w:w="851" w:type="dxa"/>
            <w:vMerge/>
          </w:tcPr>
          <w:p w14:paraId="79EF217A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5E441A0" w14:textId="77777777" w:rsidR="00C13223" w:rsidRPr="002441E4" w:rsidRDefault="00C13223" w:rsidP="0024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B67E28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126EA3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22B6692" w14:textId="7791AEBE" w:rsidR="00C13223" w:rsidRPr="002441E4" w:rsidRDefault="00C13223" w:rsidP="002441E4">
            <w:pPr>
              <w:tabs>
                <w:tab w:val="left" w:pos="459"/>
              </w:tabs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Пределы допускаемой погрешности измерения освещенности</w:t>
            </w:r>
          </w:p>
        </w:tc>
        <w:tc>
          <w:tcPr>
            <w:tcW w:w="3550" w:type="dxa"/>
          </w:tcPr>
          <w:p w14:paraId="560A97B9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≤ ±15 %</w:t>
            </w:r>
          </w:p>
        </w:tc>
        <w:tc>
          <w:tcPr>
            <w:tcW w:w="3815" w:type="dxa"/>
          </w:tcPr>
          <w:p w14:paraId="6F6B863F" w14:textId="31E1216E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в соответствии с п. 4.38 Постановления Правительства РФ от 16 ноября 2020 г. N 1847</w:t>
            </w:r>
          </w:p>
        </w:tc>
      </w:tr>
      <w:tr w:rsidR="00C13223" w:rsidRPr="002441E4" w14:paraId="4428C207" w14:textId="77777777" w:rsidTr="00931E86">
        <w:trPr>
          <w:trHeight w:val="255"/>
          <w:jc w:val="center"/>
        </w:trPr>
        <w:tc>
          <w:tcPr>
            <w:tcW w:w="851" w:type="dxa"/>
            <w:vMerge/>
          </w:tcPr>
          <w:p w14:paraId="1EAAE347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CDDEFC4" w14:textId="77777777" w:rsidR="00C13223" w:rsidRPr="002441E4" w:rsidRDefault="00C13223" w:rsidP="0024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43E4EF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B2572E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0C73596" w14:textId="77777777" w:rsidR="00C13223" w:rsidRPr="002441E4" w:rsidRDefault="00C13223" w:rsidP="002441E4">
            <w:pPr>
              <w:tabs>
                <w:tab w:val="left" w:pos="459"/>
              </w:tabs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Диапазон измерения коэффициента пульсации освещенности:</w:t>
            </w:r>
          </w:p>
        </w:tc>
        <w:tc>
          <w:tcPr>
            <w:tcW w:w="3550" w:type="dxa"/>
          </w:tcPr>
          <w:p w14:paraId="655F85F8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от 1 до 100 %</w:t>
            </w:r>
          </w:p>
        </w:tc>
        <w:tc>
          <w:tcPr>
            <w:tcW w:w="3815" w:type="dxa"/>
          </w:tcPr>
          <w:p w14:paraId="1CA36A11" w14:textId="49DCBED2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в соответствии с п. 4.40 Постановления Правительства РФ от 16 ноября 2020 г. N 1847</w:t>
            </w:r>
          </w:p>
        </w:tc>
      </w:tr>
      <w:tr w:rsidR="00C13223" w:rsidRPr="002441E4" w14:paraId="23375D55" w14:textId="77777777" w:rsidTr="00931E86">
        <w:trPr>
          <w:trHeight w:val="255"/>
          <w:jc w:val="center"/>
        </w:trPr>
        <w:tc>
          <w:tcPr>
            <w:tcW w:w="851" w:type="dxa"/>
            <w:vMerge/>
          </w:tcPr>
          <w:p w14:paraId="6AA854B1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C5F572" w14:textId="77777777" w:rsidR="00C13223" w:rsidRPr="002441E4" w:rsidRDefault="00C13223" w:rsidP="0024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660CE1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D08CDE1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5CF2F24" w14:textId="77777777" w:rsidR="00C13223" w:rsidRPr="002441E4" w:rsidRDefault="00C13223" w:rsidP="002441E4">
            <w:pPr>
              <w:tabs>
                <w:tab w:val="left" w:pos="459"/>
              </w:tabs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 xml:space="preserve">Пределы допускаемой погрешности измерения </w:t>
            </w:r>
            <w:r w:rsidRPr="002441E4">
              <w:rPr>
                <w:sz w:val="20"/>
                <w:szCs w:val="20"/>
              </w:rPr>
              <w:lastRenderedPageBreak/>
              <w:t>коэффициента пульсации освещенности:</w:t>
            </w:r>
          </w:p>
        </w:tc>
        <w:tc>
          <w:tcPr>
            <w:tcW w:w="3550" w:type="dxa"/>
          </w:tcPr>
          <w:p w14:paraId="08506268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lastRenderedPageBreak/>
              <w:t>≤ ±10 %</w:t>
            </w:r>
          </w:p>
        </w:tc>
        <w:tc>
          <w:tcPr>
            <w:tcW w:w="3815" w:type="dxa"/>
          </w:tcPr>
          <w:p w14:paraId="0EDBD998" w14:textId="49729EB1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в соответствии с п. 4.40 Постановления Правительства РФ от 16 ноября 2020 г. N 1847</w:t>
            </w:r>
          </w:p>
        </w:tc>
      </w:tr>
      <w:tr w:rsidR="00C13223" w:rsidRPr="002441E4" w14:paraId="1E529531" w14:textId="77777777" w:rsidTr="00931E86">
        <w:trPr>
          <w:trHeight w:val="20"/>
          <w:jc w:val="center"/>
        </w:trPr>
        <w:tc>
          <w:tcPr>
            <w:tcW w:w="851" w:type="dxa"/>
            <w:vMerge/>
          </w:tcPr>
          <w:p w14:paraId="1E0459CD" w14:textId="77777777" w:rsidR="00C13223" w:rsidRPr="002441E4" w:rsidRDefault="00C13223" w:rsidP="002441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F5D1BC" w14:textId="77777777" w:rsidR="00C13223" w:rsidRPr="002441E4" w:rsidRDefault="00C13223" w:rsidP="002441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7BDEFC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7261A2D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BC705C3" w14:textId="77777777" w:rsidR="00C13223" w:rsidRPr="002441E4" w:rsidRDefault="00C13223" w:rsidP="002441E4">
            <w:pPr>
              <w:tabs>
                <w:tab w:val="left" w:pos="459"/>
              </w:tabs>
              <w:spacing w:line="259" w:lineRule="auto"/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Комплект поставки:</w:t>
            </w:r>
          </w:p>
          <w:p w14:paraId="4D350CBD" w14:textId="77777777" w:rsidR="00C13223" w:rsidRPr="002441E4" w:rsidRDefault="00C13223" w:rsidP="002441E4">
            <w:pPr>
              <w:tabs>
                <w:tab w:val="left" w:pos="458"/>
              </w:tabs>
              <w:ind w:left="34" w:firstLine="141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- фотометрическая головка;</w:t>
            </w:r>
          </w:p>
          <w:p w14:paraId="07369517" w14:textId="77777777" w:rsidR="00C13223" w:rsidRPr="002441E4" w:rsidRDefault="00C13223" w:rsidP="002441E4">
            <w:pPr>
              <w:tabs>
                <w:tab w:val="left" w:pos="458"/>
              </w:tabs>
              <w:ind w:left="34" w:firstLine="141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- блок обработки информации с кабелем соединительным;</w:t>
            </w:r>
          </w:p>
          <w:p w14:paraId="54025272" w14:textId="77777777" w:rsidR="00C13223" w:rsidRPr="002441E4" w:rsidRDefault="00C13223" w:rsidP="002441E4">
            <w:pPr>
              <w:tabs>
                <w:tab w:val="left" w:pos="459"/>
              </w:tabs>
              <w:ind w:left="34" w:firstLine="141"/>
              <w:contextualSpacing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- кабель для подключения к ПК</w:t>
            </w:r>
          </w:p>
        </w:tc>
        <w:tc>
          <w:tcPr>
            <w:tcW w:w="3550" w:type="dxa"/>
          </w:tcPr>
          <w:p w14:paraId="7821B701" w14:textId="77777777" w:rsidR="00C13223" w:rsidRPr="002441E4" w:rsidRDefault="00C13223" w:rsidP="002441E4">
            <w:pPr>
              <w:jc w:val="center"/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3815" w:type="dxa"/>
          </w:tcPr>
          <w:p w14:paraId="4076882A" w14:textId="7BD6E9A9" w:rsidR="00C13223" w:rsidRPr="002441E4" w:rsidRDefault="00C13223" w:rsidP="002441E4">
            <w:pPr>
              <w:rPr>
                <w:sz w:val="20"/>
                <w:szCs w:val="20"/>
              </w:rPr>
            </w:pPr>
            <w:r w:rsidRPr="002441E4">
              <w:rPr>
                <w:sz w:val="20"/>
                <w:szCs w:val="20"/>
              </w:rPr>
              <w:t>Обусловлено потребностью заказчика</w:t>
            </w:r>
          </w:p>
        </w:tc>
      </w:tr>
    </w:tbl>
    <w:p w14:paraId="7E8FF010" w14:textId="0D41C763" w:rsidR="008E7AAA" w:rsidRPr="008E7AAA" w:rsidRDefault="008E7AAA" w:rsidP="008E7AAA">
      <w:pPr>
        <w:widowControl w:val="0"/>
        <w:autoSpaceDE w:val="0"/>
        <w:autoSpaceDN w:val="0"/>
        <w:adjustRightInd w:val="0"/>
        <w:ind w:left="360"/>
        <w:outlineLvl w:val="0"/>
        <w:rPr>
          <w:sz w:val="24"/>
        </w:rPr>
      </w:pPr>
      <w:r w:rsidRPr="008E7AAA">
        <w:rPr>
          <w:sz w:val="24"/>
        </w:rPr>
        <w:t xml:space="preserve">2. </w:t>
      </w:r>
      <w:r w:rsidRPr="008E7AAA">
        <w:rPr>
          <w:sz w:val="24"/>
        </w:rPr>
        <w:t>Требования к качеству и безопасности товара</w:t>
      </w:r>
    </w:p>
    <w:p w14:paraId="72F9859A" w14:textId="77777777" w:rsidR="008E7AAA" w:rsidRPr="008E7AAA" w:rsidRDefault="008E7AAA" w:rsidP="008E7AAA">
      <w:pPr>
        <w:widowControl w:val="0"/>
        <w:autoSpaceDE w:val="0"/>
        <w:autoSpaceDN w:val="0"/>
        <w:adjustRightInd w:val="0"/>
        <w:ind w:left="720"/>
        <w:outlineLvl w:val="0"/>
        <w:rPr>
          <w:b/>
          <w:bCs/>
          <w:sz w:val="24"/>
        </w:rPr>
      </w:pPr>
    </w:p>
    <w:p w14:paraId="69876572" w14:textId="77777777" w:rsidR="008E7AAA" w:rsidRPr="008E7AAA" w:rsidRDefault="008E7AAA" w:rsidP="008E7AAA">
      <w:pPr>
        <w:ind w:firstLine="567"/>
        <w:jc w:val="both"/>
        <w:rPr>
          <w:bCs/>
          <w:sz w:val="24"/>
        </w:rPr>
      </w:pPr>
      <w:r w:rsidRPr="008E7AAA">
        <w:rPr>
          <w:sz w:val="24"/>
        </w:rPr>
        <w:t xml:space="preserve">2.1. </w:t>
      </w:r>
      <w:r w:rsidRPr="008E7AAA">
        <w:rPr>
          <w:b/>
          <w:bCs/>
          <w:sz w:val="24"/>
        </w:rPr>
        <w:t>Поставляемый товар должен иметь поверку: иметь запись в реестре ФИФ ОЕИ (Аршин), при поставке должны быть предоставлены копии сертификатов об утверждении типа средств измерений и описаний типа</w:t>
      </w:r>
      <w:r w:rsidRPr="008E7AAA">
        <w:rPr>
          <w:bCs/>
          <w:sz w:val="24"/>
        </w:rPr>
        <w:t xml:space="preserve">. </w:t>
      </w:r>
    </w:p>
    <w:p w14:paraId="0A4BB40A" w14:textId="77777777" w:rsidR="008E7AAA" w:rsidRPr="008E7AAA" w:rsidRDefault="008E7AAA" w:rsidP="008E7AAA">
      <w:pPr>
        <w:ind w:firstLine="567"/>
        <w:jc w:val="both"/>
        <w:rPr>
          <w:bCs/>
          <w:sz w:val="24"/>
        </w:rPr>
      </w:pPr>
      <w:r w:rsidRPr="008E7AAA">
        <w:rPr>
          <w:bCs/>
          <w:sz w:val="24"/>
        </w:rPr>
        <w:t>2.2. Остаточный срок поверки на момент поставки: не менее 10 месяцев.</w:t>
      </w:r>
    </w:p>
    <w:p w14:paraId="15468D25" w14:textId="77777777" w:rsidR="008E7AAA" w:rsidRPr="008E7AAA" w:rsidRDefault="008E7AAA" w:rsidP="008E7AAA">
      <w:pPr>
        <w:ind w:firstLine="567"/>
        <w:jc w:val="both"/>
        <w:rPr>
          <w:bCs/>
          <w:sz w:val="24"/>
        </w:rPr>
      </w:pPr>
      <w:r w:rsidRPr="008E7AAA">
        <w:rPr>
          <w:bCs/>
          <w:sz w:val="24"/>
        </w:rPr>
        <w:t xml:space="preserve">2.3. </w:t>
      </w:r>
      <w:r w:rsidRPr="008E7AAA">
        <w:rPr>
          <w:color w:val="000000"/>
          <w:sz w:val="22"/>
          <w:szCs w:val="22"/>
        </w:rPr>
        <w:t>Срок действия гарантии на момент поставки должен быть не менее 12 месяцев, но не менее срока гарантии, установленного производителем.</w:t>
      </w:r>
    </w:p>
    <w:p w14:paraId="4EA1900B" w14:textId="77777777" w:rsidR="008E7AAA" w:rsidRPr="008E7AAA" w:rsidRDefault="008E7AAA" w:rsidP="008E7AAA">
      <w:pPr>
        <w:ind w:firstLine="567"/>
        <w:jc w:val="both"/>
        <w:rPr>
          <w:sz w:val="24"/>
        </w:rPr>
      </w:pPr>
      <w:r w:rsidRPr="008E7AAA">
        <w:rPr>
          <w:sz w:val="24"/>
        </w:rPr>
        <w:t>2.4. 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законодательства РФ.</w:t>
      </w:r>
    </w:p>
    <w:p w14:paraId="271FDA67" w14:textId="77777777" w:rsidR="008E7AAA" w:rsidRPr="008E7AAA" w:rsidRDefault="008E7AAA" w:rsidP="008E7AAA">
      <w:pPr>
        <w:ind w:firstLine="567"/>
        <w:jc w:val="both"/>
        <w:rPr>
          <w:sz w:val="24"/>
        </w:rPr>
      </w:pPr>
      <w:r w:rsidRPr="008E7AAA">
        <w:rPr>
          <w:sz w:val="24"/>
        </w:rPr>
        <w:t xml:space="preserve">2.5. </w:t>
      </w:r>
      <w:r w:rsidRPr="008E7AAA">
        <w:rPr>
          <w:sz w:val="22"/>
          <w:szCs w:val="22"/>
        </w:rPr>
        <w:t xml:space="preserve">Поставляемый Товар должен иметь паспорт и (или) руководство по эксплуатации на русском языке, </w:t>
      </w:r>
      <w:r w:rsidRPr="008E7AAA">
        <w:rPr>
          <w:b/>
          <w:bCs/>
          <w:sz w:val="22"/>
          <w:szCs w:val="22"/>
        </w:rPr>
        <w:t>методику измерения, внесенную в эксплуатационную документацию на средство измерения, предназначенную для выполнения прямых измерений в полном соответствии со ст.5 (Требования к измерениям) Федерального закона 102-ФЗ «Об обеспечении единства измерений»</w:t>
      </w:r>
      <w:r w:rsidRPr="008E7AAA">
        <w:rPr>
          <w:sz w:val="22"/>
          <w:szCs w:val="22"/>
        </w:rPr>
        <w:t>.</w:t>
      </w:r>
    </w:p>
    <w:p w14:paraId="0C0A642F" w14:textId="77777777" w:rsidR="008E7AAA" w:rsidRPr="008E7AAA" w:rsidRDefault="008E7AAA" w:rsidP="008E7AA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8E7AAA">
        <w:rPr>
          <w:sz w:val="24"/>
        </w:rPr>
        <w:t>2.5. Внешняя упаковка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 (при необходимости иметь светонепроницаемую защиту и упакованы в тару, которая предохраняет от различного рода повреждений, попадания света, проникновения в неё избыточной влажности).</w:t>
      </w:r>
    </w:p>
    <w:p w14:paraId="05B20C7C" w14:textId="77777777" w:rsidR="008E7AAA" w:rsidRPr="008E7AAA" w:rsidRDefault="008E7AAA" w:rsidP="008E7AA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8E7AAA">
        <w:rPr>
          <w:sz w:val="24"/>
        </w:rPr>
        <w:t>2.6. Товар должен быть доставлен по адресу Заказчика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безопасное применение, при несоблюдении данных условий весь товар разгрузке по адресу Заказчика не подлежит.</w:t>
      </w:r>
    </w:p>
    <w:p w14:paraId="1A95A75F" w14:textId="77777777" w:rsidR="008E7AAA" w:rsidRPr="008E7AAA" w:rsidRDefault="008E7AAA" w:rsidP="008E7AAA">
      <w:pPr>
        <w:ind w:firstLine="567"/>
        <w:jc w:val="both"/>
        <w:rPr>
          <w:sz w:val="24"/>
        </w:rPr>
      </w:pPr>
      <w:r w:rsidRPr="008E7AAA">
        <w:rPr>
          <w:sz w:val="24"/>
        </w:rPr>
        <w:t>2.7. При обнаружении некачественных товаров вызов представителя Поставщика обязателен.</w:t>
      </w:r>
    </w:p>
    <w:p w14:paraId="7A42B56F" w14:textId="77777777" w:rsidR="008E7AAA" w:rsidRPr="008E7AAA" w:rsidRDefault="008E7AAA" w:rsidP="008E7AAA">
      <w:pPr>
        <w:ind w:firstLine="567"/>
        <w:jc w:val="both"/>
        <w:rPr>
          <w:sz w:val="24"/>
        </w:rPr>
      </w:pPr>
      <w:r w:rsidRPr="008E7AAA">
        <w:rPr>
          <w:sz w:val="24"/>
        </w:rPr>
        <w:t>2.8. Поставщик поставляет товар свободный от любых прав третьих лиц, в противном случае он обязан возместить Заказчику все убытки, причиненные изъятием товара.</w:t>
      </w:r>
    </w:p>
    <w:p w14:paraId="6C375FED" w14:textId="77777777" w:rsidR="008E7AAA" w:rsidRPr="008E7AAA" w:rsidRDefault="008E7AAA" w:rsidP="008E7AAA">
      <w:pPr>
        <w:ind w:firstLine="567"/>
        <w:jc w:val="both"/>
        <w:rPr>
          <w:sz w:val="24"/>
        </w:rPr>
      </w:pPr>
      <w:r w:rsidRPr="008E7AAA">
        <w:rPr>
          <w:sz w:val="24"/>
        </w:rPr>
        <w:t xml:space="preserve">2.9. Весь поставляемый товар должен быть новым, который не был в употреблении, у которого не были восстановлены потребительские свойства. </w:t>
      </w:r>
    </w:p>
    <w:p w14:paraId="6E1DCEAE" w14:textId="77777777" w:rsidR="00F63F04" w:rsidRDefault="00F63F04"/>
    <w:sectPr w:rsidR="00F63F04" w:rsidSect="009E58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E3E"/>
    <w:multiLevelType w:val="multilevel"/>
    <w:tmpl w:val="6008A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D77BC4"/>
    <w:multiLevelType w:val="hybridMultilevel"/>
    <w:tmpl w:val="0A48ECD2"/>
    <w:lvl w:ilvl="0" w:tplc="E982BE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9E"/>
    <w:multiLevelType w:val="hybridMultilevel"/>
    <w:tmpl w:val="ACB2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248F"/>
    <w:multiLevelType w:val="hybridMultilevel"/>
    <w:tmpl w:val="E512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8135">
    <w:abstractNumId w:val="0"/>
  </w:num>
  <w:num w:numId="2" w16cid:durableId="230507479">
    <w:abstractNumId w:val="3"/>
  </w:num>
  <w:num w:numId="3" w16cid:durableId="343630519">
    <w:abstractNumId w:val="1"/>
  </w:num>
  <w:num w:numId="4" w16cid:durableId="59069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08"/>
    <w:rsid w:val="000571D3"/>
    <w:rsid w:val="00131710"/>
    <w:rsid w:val="0016087B"/>
    <w:rsid w:val="002441E4"/>
    <w:rsid w:val="00291169"/>
    <w:rsid w:val="004B5C32"/>
    <w:rsid w:val="005E2A7B"/>
    <w:rsid w:val="00653963"/>
    <w:rsid w:val="0070505D"/>
    <w:rsid w:val="00875722"/>
    <w:rsid w:val="008E7AAA"/>
    <w:rsid w:val="00931E86"/>
    <w:rsid w:val="009731B5"/>
    <w:rsid w:val="009D49BF"/>
    <w:rsid w:val="009E5808"/>
    <w:rsid w:val="00AC12F2"/>
    <w:rsid w:val="00B24567"/>
    <w:rsid w:val="00C13223"/>
    <w:rsid w:val="00E11340"/>
    <w:rsid w:val="00E2602F"/>
    <w:rsid w:val="00E605D7"/>
    <w:rsid w:val="00F6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E5D4"/>
  <w15:chartTrackingRefBased/>
  <w15:docId w15:val="{59AA1B0A-D4F7-4A15-B3F2-6DCB95DF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ZakupNew1</dc:creator>
  <cp:keywords/>
  <dc:description/>
  <cp:lastModifiedBy>Cab302-5</cp:lastModifiedBy>
  <cp:revision>11</cp:revision>
  <dcterms:created xsi:type="dcterms:W3CDTF">2026-03-26T15:52:00Z</dcterms:created>
  <dcterms:modified xsi:type="dcterms:W3CDTF">2026-06-22T12:01:00Z</dcterms:modified>
</cp:coreProperties>
</file>