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66E" w:rsidRDefault="0086266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6266E" w:rsidRDefault="00B042C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aps/>
          <w:sz w:val="24"/>
        </w:rPr>
        <w:t>ОБОСНОВАНИЕ НАЧАЛЬНОЙ (МАКСИМАЛЬНОЙ) ЦЕНЫ КОНТРАКТА</w:t>
      </w:r>
    </w:p>
    <w:p w:rsidR="0086266E" w:rsidRDefault="0086266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6266E" w:rsidRDefault="00B042C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«Приобретение металлических стеллажей»</w:t>
      </w:r>
    </w:p>
    <w:p w:rsidR="0086266E" w:rsidRDefault="0086266E">
      <w:pPr>
        <w:widowControl w:val="0"/>
        <w:spacing w:after="0" w:line="360" w:lineRule="auto"/>
        <w:ind w:firstLine="680"/>
        <w:jc w:val="both"/>
        <w:rPr>
          <w:rFonts w:ascii="Times New Roman" w:hAnsi="Times New Roman"/>
          <w:sz w:val="24"/>
          <w:u w:color="000000"/>
        </w:rPr>
      </w:pPr>
    </w:p>
    <w:p w:rsidR="0086266E" w:rsidRDefault="00B042CD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Используемый метод определения НМЦК: Метод сопоставимых рыночных цен (анализ рынка)</w:t>
      </w:r>
    </w:p>
    <w:p w:rsidR="0086266E" w:rsidRDefault="00B042CD">
      <w:pPr>
        <w:spacing w:after="0" w:line="240" w:lineRule="auto"/>
        <w:ind w:firstLine="680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Расчет НМЦК производился в соответствии с Приказом Минэкономразвит</w:t>
      </w:r>
      <w:bookmarkStart w:id="0" w:name="_GoBack"/>
      <w:bookmarkEnd w:id="0"/>
      <w:r>
        <w:rPr>
          <w:rFonts w:ascii="Times New Roman" w:hAnsi="Times New Roman"/>
          <w:sz w:val="24"/>
          <w:u w:color="000000"/>
        </w:rPr>
        <w:t xml:space="preserve">ия России </w:t>
      </w:r>
      <w:r>
        <w:rPr>
          <w:rFonts w:ascii="Times New Roman" w:hAnsi="Times New Roman"/>
          <w:sz w:val="24"/>
          <w:u w:color="000000"/>
        </w:rPr>
        <w:t>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</w:r>
    </w:p>
    <w:p w:rsidR="0086266E" w:rsidRDefault="00B042CD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Для определения НМЦК были использ</w:t>
      </w:r>
      <w:r>
        <w:rPr>
          <w:rFonts w:ascii="Times New Roman" w:hAnsi="Times New Roman"/>
          <w:color w:val="000000" w:themeColor="text1"/>
          <w:sz w:val="24"/>
        </w:rPr>
        <w:t>ованы ценовые предложения, полученные из Интернет-источников.</w:t>
      </w:r>
    </w:p>
    <w:p w:rsidR="0086266E" w:rsidRDefault="0086266E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Style w:val="af"/>
        <w:tblW w:w="1477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26"/>
        <w:gridCol w:w="2214"/>
        <w:gridCol w:w="1363"/>
        <w:gridCol w:w="1349"/>
        <w:gridCol w:w="1426"/>
        <w:gridCol w:w="1362"/>
        <w:gridCol w:w="1414"/>
        <w:gridCol w:w="1877"/>
        <w:gridCol w:w="1750"/>
        <w:gridCol w:w="1396"/>
      </w:tblGrid>
      <w:tr w:rsidR="0086266E">
        <w:tc>
          <w:tcPr>
            <w:tcW w:w="625" w:type="dxa"/>
            <w:vMerge w:val="restart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№ п/п</w:t>
            </w:r>
          </w:p>
        </w:tc>
        <w:tc>
          <w:tcPr>
            <w:tcW w:w="2213" w:type="dxa"/>
            <w:vMerge w:val="restart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Наименование товара</w:t>
            </w:r>
          </w:p>
        </w:tc>
        <w:tc>
          <w:tcPr>
            <w:tcW w:w="6914" w:type="dxa"/>
            <w:gridSpan w:val="5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Ценовое предложение, руб.</w:t>
            </w:r>
          </w:p>
        </w:tc>
        <w:tc>
          <w:tcPr>
            <w:tcW w:w="1877" w:type="dxa"/>
            <w:vMerge w:val="restart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Среднее значение цены за 1 стеллаж, руб.</w:t>
            </w:r>
          </w:p>
        </w:tc>
        <w:tc>
          <w:tcPr>
            <w:tcW w:w="1750" w:type="dxa"/>
            <w:vMerge w:val="restart"/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Количество, шт.</w:t>
            </w:r>
          </w:p>
        </w:tc>
        <w:tc>
          <w:tcPr>
            <w:tcW w:w="1396" w:type="dxa"/>
            <w:vMerge w:val="restart"/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Стоимость, руб.</w:t>
            </w:r>
          </w:p>
        </w:tc>
      </w:tr>
      <w:tr w:rsidR="0086266E">
        <w:tc>
          <w:tcPr>
            <w:tcW w:w="625" w:type="dxa"/>
            <w:vMerge/>
          </w:tcPr>
          <w:p w:rsidR="0086266E" w:rsidRDefault="00862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</w:tcPr>
          <w:p w:rsidR="0086266E" w:rsidRDefault="00862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Интернет-источник № 1</w:t>
            </w:r>
          </w:p>
        </w:tc>
        <w:tc>
          <w:tcPr>
            <w:tcW w:w="1349" w:type="dxa"/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Интернет-источник № 2</w:t>
            </w:r>
          </w:p>
        </w:tc>
        <w:tc>
          <w:tcPr>
            <w:tcW w:w="1426" w:type="dxa"/>
            <w:tcBorders>
              <w:right w:val="nil"/>
            </w:tcBorders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Интернет-источник № 3</w:t>
            </w:r>
          </w:p>
        </w:tc>
        <w:tc>
          <w:tcPr>
            <w:tcW w:w="1362" w:type="dxa"/>
            <w:tcBorders>
              <w:right w:val="nil"/>
            </w:tcBorders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Интернет-источник № 4</w:t>
            </w:r>
          </w:p>
        </w:tc>
        <w:tc>
          <w:tcPr>
            <w:tcW w:w="1414" w:type="dxa"/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Интернет-источник № 5</w:t>
            </w:r>
          </w:p>
        </w:tc>
        <w:tc>
          <w:tcPr>
            <w:tcW w:w="1877" w:type="dxa"/>
            <w:vMerge/>
          </w:tcPr>
          <w:p w:rsidR="0086266E" w:rsidRDefault="00862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:rsidR="0086266E" w:rsidRDefault="00862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:rsidR="0086266E" w:rsidRDefault="00862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66E">
        <w:tc>
          <w:tcPr>
            <w:tcW w:w="625" w:type="dxa"/>
          </w:tcPr>
          <w:p w:rsidR="0086266E" w:rsidRDefault="00B042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</w:t>
            </w:r>
          </w:p>
        </w:tc>
        <w:tc>
          <w:tcPr>
            <w:tcW w:w="2213" w:type="dxa"/>
          </w:tcPr>
          <w:p w:rsidR="0086266E" w:rsidRDefault="00B042CD">
            <w:pPr>
              <w:spacing w:after="0" w:line="240" w:lineRule="auto"/>
              <w:contextualSpacing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металлический  стеллаж</w:t>
            </w:r>
            <w:proofErr w:type="gramEnd"/>
          </w:p>
        </w:tc>
        <w:tc>
          <w:tcPr>
            <w:tcW w:w="1363" w:type="dxa"/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</w:t>
            </w:r>
            <w:r>
              <w:rPr>
                <w:rFonts w:ascii="Times New Roman" w:hAnsi="Times New Roman"/>
                <w:sz w:val="24"/>
                <w:szCs w:val="24"/>
              </w:rPr>
              <w:t>263</w:t>
            </w:r>
            <w:r>
              <w:rPr>
                <w:rFonts w:ascii="Times New Roman" w:hAnsi="Times New Roman"/>
                <w:sz w:val="24"/>
                <w:szCs w:val="24"/>
              </w:rPr>
              <w:t>,80</w:t>
            </w:r>
          </w:p>
        </w:tc>
        <w:tc>
          <w:tcPr>
            <w:tcW w:w="1349" w:type="dxa"/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</w:t>
            </w:r>
            <w:r>
              <w:rPr>
                <w:rFonts w:ascii="Times New Roman" w:hAnsi="Times New Roman"/>
                <w:sz w:val="24"/>
                <w:szCs w:val="24"/>
              </w:rPr>
              <w:t>908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426" w:type="dxa"/>
            <w:tcBorders>
              <w:right w:val="nil"/>
            </w:tcBorders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362" w:type="dxa"/>
            <w:tcBorders>
              <w:right w:val="nil"/>
            </w:tcBorders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</w:t>
            </w: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414" w:type="dxa"/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</w:t>
            </w:r>
            <w:r>
              <w:rPr>
                <w:rFonts w:ascii="Times New Roman" w:hAnsi="Times New Roman"/>
                <w:sz w:val="24"/>
                <w:szCs w:val="24"/>
              </w:rPr>
              <w:t>126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877" w:type="dxa"/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</w:t>
            </w:r>
            <w:r>
              <w:rPr>
                <w:rFonts w:ascii="Times New Roman" w:hAnsi="Times New Roman"/>
                <w:sz w:val="24"/>
                <w:szCs w:val="24"/>
              </w:rPr>
              <w:t>129</w:t>
            </w:r>
            <w:r>
              <w:rPr>
                <w:rFonts w:ascii="Times New Roman" w:hAnsi="Times New Roman"/>
                <w:sz w:val="24"/>
                <w:szCs w:val="24"/>
              </w:rPr>
              <w:t>,56</w:t>
            </w:r>
          </w:p>
        </w:tc>
        <w:tc>
          <w:tcPr>
            <w:tcW w:w="1750" w:type="dxa"/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96" w:type="dxa"/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182 </w:t>
            </w:r>
            <w:r>
              <w:rPr>
                <w:rFonts w:ascii="Times New Roman" w:hAnsi="Times New Roman"/>
                <w:sz w:val="24"/>
                <w:szCs w:val="24"/>
              </w:rPr>
              <w:t>591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</w:tr>
      <w:tr w:rsidR="0086266E">
        <w:tc>
          <w:tcPr>
            <w:tcW w:w="13379" w:type="dxa"/>
            <w:gridSpan w:val="9"/>
          </w:tcPr>
          <w:p w:rsidR="0086266E" w:rsidRDefault="008626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266E" w:rsidRDefault="00B042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96" w:type="dxa"/>
            <w:vAlign w:val="center"/>
          </w:tcPr>
          <w:p w:rsidR="0086266E" w:rsidRDefault="00B042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182 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591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,2</w:t>
            </w:r>
          </w:p>
        </w:tc>
      </w:tr>
    </w:tbl>
    <w:p w:rsidR="0086266E" w:rsidRDefault="0086266E">
      <w:pPr>
        <w:ind w:firstLine="709"/>
        <w:rPr>
          <w:rFonts w:ascii="Times New Roman" w:hAnsi="Times New Roman"/>
          <w:sz w:val="24"/>
          <w:u w:color="000000"/>
        </w:rPr>
      </w:pPr>
    </w:p>
    <w:p w:rsidR="0086266E" w:rsidRDefault="00B042CD">
      <w:pPr>
        <w:spacing w:after="0"/>
        <w:ind w:firstLine="680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На основании расчета начальная (максимальная) цена контракта устанавливается в размере 182 </w:t>
      </w:r>
      <w:r>
        <w:rPr>
          <w:rFonts w:ascii="Times New Roman" w:hAnsi="Times New Roman"/>
          <w:sz w:val="24"/>
          <w:u w:color="000000"/>
        </w:rPr>
        <w:t>591</w:t>
      </w:r>
      <w:r>
        <w:rPr>
          <w:rFonts w:ascii="Times New Roman" w:hAnsi="Times New Roman"/>
          <w:sz w:val="24"/>
        </w:rPr>
        <w:t xml:space="preserve"> руб. 20 копеек,</w:t>
      </w:r>
      <w:r>
        <w:rPr>
          <w:rFonts w:ascii="Times New Roman" w:hAnsi="Times New Roman"/>
          <w:sz w:val="24"/>
          <w:u w:color="000000"/>
        </w:rPr>
        <w:t xml:space="preserve"> включая все налоги и сборы, а также сборка и доставка металлических стеллажей.</w:t>
      </w:r>
    </w:p>
    <w:p w:rsidR="0086266E" w:rsidRDefault="0086266E">
      <w:pPr>
        <w:spacing w:after="0" w:line="240" w:lineRule="auto"/>
        <w:ind w:firstLine="680"/>
        <w:jc w:val="both"/>
        <w:rPr>
          <w:rFonts w:ascii="Times New Roman" w:hAnsi="Times New Roman"/>
          <w:color w:val="00B0F0"/>
          <w:sz w:val="24"/>
          <w:u w:color="000000"/>
        </w:rPr>
      </w:pPr>
    </w:p>
    <w:p w:rsidR="0086266E" w:rsidRDefault="0086266E">
      <w:pPr>
        <w:spacing w:after="0" w:line="240" w:lineRule="auto"/>
        <w:ind w:firstLine="680"/>
        <w:jc w:val="both"/>
        <w:rPr>
          <w:rFonts w:ascii="Times New Roman" w:hAnsi="Times New Roman"/>
          <w:color w:val="00B0F0"/>
          <w:sz w:val="24"/>
          <w:u w:color="000000"/>
        </w:rPr>
      </w:pPr>
    </w:p>
    <w:p w:rsidR="0086266E" w:rsidRDefault="00B042CD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 подготовки </w:t>
      </w:r>
      <w:r>
        <w:rPr>
          <w:rStyle w:val="1"/>
          <w:rFonts w:ascii="Times New Roman" w:hAnsi="Times New Roman"/>
          <w:sz w:val="24"/>
        </w:rPr>
        <w:t>обоснования НМЦК: 30.07.2026</w:t>
      </w:r>
    </w:p>
    <w:sectPr w:rsidR="0086266E">
      <w:pgSz w:w="16838" w:h="11906" w:orient="landscape"/>
      <w:pgMar w:top="709" w:right="1303" w:bottom="851" w:left="1135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6266E"/>
    <w:rsid w:val="0086266E"/>
    <w:rsid w:val="00B0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0E8F6-3127-4B98-8ECF-B9777466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qFormat/>
    <w:rPr>
      <w:rFonts w:ascii="XO Thames" w:hAnsi="XO Thames"/>
      <w:b/>
      <w:sz w:val="32"/>
    </w:rPr>
  </w:style>
  <w:style w:type="character" w:customStyle="1" w:styleId="InternetLink">
    <w:name w:val="Internet Link"/>
    <w:link w:val="12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4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3">
    <w:name w:val="Подзаголовок Знак"/>
    <w:link w:val="a4"/>
    <w:qFormat/>
    <w:rPr>
      <w:rFonts w:ascii="XO Thames" w:hAnsi="XO Thames"/>
      <w:i/>
      <w:sz w:val="24"/>
    </w:rPr>
  </w:style>
  <w:style w:type="character" w:customStyle="1" w:styleId="a5">
    <w:name w:val="Название Знак"/>
    <w:link w:val="a6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Droid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"/>
    </w:rPr>
  </w:style>
  <w:style w:type="paragraph" w:styleId="22">
    <w:name w:val="toc 2"/>
    <w:next w:val="a"/>
    <w:link w:val="21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32">
    <w:name w:val="toc 3"/>
    <w:next w:val="a"/>
    <w:link w:val="31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12">
    <w:name w:val="Гиперссылка1"/>
    <w:link w:val="InternetLink"/>
    <w:qFormat/>
    <w:pPr>
      <w:spacing w:after="200" w:line="276" w:lineRule="auto"/>
    </w:pPr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4">
    <w:name w:val="toc 1"/>
    <w:next w:val="a"/>
    <w:link w:val="13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HeaderandFooter1">
    <w:name w:val="Header and Footer1"/>
    <w:link w:val="HeaderandFooter"/>
    <w:qFormat/>
    <w:pPr>
      <w:spacing w:after="200"/>
      <w:jc w:val="both"/>
    </w:pPr>
    <w:rPr>
      <w:rFonts w:ascii="XO Thames" w:hAnsi="XO Thames"/>
      <w:sz w:val="28"/>
    </w:rPr>
  </w:style>
  <w:style w:type="paragraph" w:customStyle="1" w:styleId="15">
    <w:name w:val="Основной шрифт абзаца1"/>
    <w:qFormat/>
    <w:pPr>
      <w:spacing w:after="200" w:line="276" w:lineRule="auto"/>
    </w:pPr>
  </w:style>
  <w:style w:type="paragraph" w:styleId="90">
    <w:name w:val="toc 9"/>
    <w:next w:val="a"/>
    <w:link w:val="9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styleId="80">
    <w:name w:val="toc 8"/>
    <w:next w:val="a"/>
    <w:link w:val="8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styleId="52">
    <w:name w:val="toc 5"/>
    <w:next w:val="a"/>
    <w:link w:val="51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styleId="a4">
    <w:name w:val="Subtitle"/>
    <w:next w:val="a"/>
    <w:link w:val="a3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styleId="a6">
    <w:name w:val="Title"/>
    <w:next w:val="a"/>
    <w:link w:val="a5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ae">
    <w:name w:val="Без списка"/>
    <w:uiPriority w:val="99"/>
    <w:semiHidden/>
    <w:unhideWhenUsed/>
    <w:qFormat/>
  </w:style>
  <w:style w:type="table" w:styleId="af">
    <w:name w:val="Table Grid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174</Words>
  <Characters>993</Characters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Printed>2026-07-30T14:30:00Z</cp:lastPrinted>
  <dcterms:created xsi:type="dcterms:W3CDTF">2025-08-26T13:32:00Z</dcterms:created>
  <dcterms:modified xsi:type="dcterms:W3CDTF">2026-08-24T09:20:00Z</dcterms:modified>
</cp:coreProperties>
</file>