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Протокол определения и (или) обоснования НМЦК, НМЦД,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ЦК</w:t>
      </w:r>
      <w:r>
        <w:rPr>
          <w:rFonts w:ascii="Times New Roman" w:hAnsi="Times New Roman" w:cs="Times New Roman"/>
          <w:sz w:val="22"/>
          <w:szCs w:val="22"/>
        </w:rPr>
        <w:t xml:space="preserve">, ЦД, НЦЕ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Расчет НМЦК, НМЦД, ЦК, ЦД, НЦЕ (нужное подчеркнуть) методом сопоставимых рыночных цен (анализа рынка), являющимся приоритетным для определения и обоснования НМЦК, НМЦД,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ЦК</w:t>
      </w:r>
      <w:r>
        <w:rPr>
          <w:rFonts w:ascii="Times New Roman" w:hAnsi="Times New Roman" w:cs="Times New Roman"/>
          <w:b/>
          <w:sz w:val="22"/>
          <w:szCs w:val="22"/>
        </w:rPr>
        <w:t xml:space="preserve">, ЦД, НЦЕ (нужное подчеркнуть)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Объект закупки: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Расходные материалы к стоматологическим тренажерам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>
        <w:rPr>
          <w:rFonts w:ascii="Times New Roman" w:hAnsi="Times New Roman" w:cs="Times New Roman"/>
          <w:b/>
          <w:sz w:val="22"/>
          <w:szCs w:val="22"/>
          <w:u w:val="single"/>
        </w:rPr>
      </w:r>
    </w:p>
    <w:tbl>
      <w:tblPr>
        <w:tblStyle w:val="676"/>
        <w:tblW w:w="10304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5235"/>
        <w:gridCol w:w="15236"/>
      </w:tblGrid>
      <w:tr>
        <w:trPr>
          <w:trHeight w:val="6243"/>
        </w:trPr>
        <w:tc>
          <w:tcPr>
            <w:tcBorders/>
            <w:tcW w:w="2500" w:type="pct"/>
            <w:textDirection w:val="lrTb"/>
            <w:noWrap w:val="false"/>
          </w:tcPr>
          <w:p>
            <w:pPr>
              <w:pStyle w:val="674"/>
              <w:pBdr/>
              <w:spacing/>
              <w:ind w:firstLine="567"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Начальная (максимальная) цена контракта сформирована в соответствии с 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678"/>
              <w:pBdr/>
              <w:spacing/>
              <w:ind w:firstLine="567"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</w:rPr>
              <w:t xml:space="preserve">Валюта, используемая для формирования цены контракта и расчетов с поставщиком – Российский рубль.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678"/>
              <w:pBdr/>
              <w:spacing/>
              <w:ind w:firstLine="56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предусмотрен.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674"/>
              <w:pBdr/>
              <w:spacing/>
              <w:ind w:firstLine="567"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собенности определения цены договора (контракта) по постановлению от 23.12.2024г. № 1875 </w:t>
            </w:r>
            <w:r>
              <w:rPr>
                <w:rFonts w:ascii="Times New Roman" w:hAnsi="Times New Roman" w:eastAsia="Times New Roman"/>
                <w:color w:val="000000"/>
                <w:sz w:val="22"/>
                <w:szCs w:val="22"/>
                <w:lang w:eastAsia="ru-RU"/>
              </w:rPr>
      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не применяется.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целях получения ценовой информации в отношении объекта закупки для определения начальной (максимальной) цены контракта заказчиком: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674"/>
              <w:numPr>
                <w:ilvl w:val="0"/>
                <w:numId w:val="1"/>
              </w:numPr>
              <w:pBdr/>
              <w:spacing/>
              <w:ind w:firstLine="567" w:left="0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Поиск ценовой информации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дал результаты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или 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результатов не дал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(нужное подчеркнуть).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  <w:tbl>
            <w:tblPr>
              <w:tblStyle w:val="676"/>
              <w:tblW w:w="14986" w:type="dxa"/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3049"/>
              <w:gridCol w:w="4794"/>
              <w:gridCol w:w="6269"/>
            </w:tblGrid>
            <w:tr>
              <w:trPr>
                <w:trHeight w:val="545"/>
              </w:trPr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87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п/п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3049" w:type="dxa"/>
                  <w:textDirection w:val="lrTb"/>
                  <w:noWrap w:val="false"/>
                </w:tcPr>
                <w:p>
                  <w:pPr>
                    <w:pBdr/>
                    <w:tabs>
                      <w:tab w:val="center" w:leader="none" w:pos="2656"/>
                      <w:tab w:val="left" w:leader="none" w:pos="4395"/>
                    </w:tabs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Ссылка на источник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479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Краткая информация о Поставщике, Подрядчике, Исполнителе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6269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Причина использования или невозможности использования ценовой информации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318"/>
              </w:trPr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87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3049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https://stomshop.pro/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479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Сайт организации осуществляющей поставку товара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6269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Цена не принята в расчёт, т.к. требуется 100% предоплата.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318"/>
              </w:trPr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87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3049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https://www.unistom.net/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479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Сайт организации осуществляющей поставку товара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6269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/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Цена не принята в расчёт, т.к. требуется 100% предоплата.</w:t>
                  </w:r>
                  <w:r/>
                </w:p>
              </w:tc>
            </w:tr>
            <w:tr>
              <w:trPr>
                <w:trHeight w:val="318"/>
              </w:trPr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87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3.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3049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https://dentald.ru/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479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Сайт организации осуществляющей поставку товара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6269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/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Цена не принята в расчёт, т.к. условия доставки не соответствуют требованиям Заказчика.</w:t>
                  </w:r>
                  <w:r/>
                </w:p>
              </w:tc>
            </w:tr>
          </w:tbl>
          <w:p>
            <w:pPr>
              <w:pBdr/>
              <w:spacing/>
              <w:ind w:firstLine="851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Style w:val="674"/>
              <w:numPr>
                <w:ilvl w:val="0"/>
                <w:numId w:val="1"/>
              </w:numPr>
              <w:pBdr/>
              <w:spacing/>
              <w:ind w:firstLine="567"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аказчиком направлены запросы о предоставлении ценовой информации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 (восьми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 Поставщикам (Исполнителям, Подрядчикам), обладающим опытом поставки товара (работы, услуги), информация о которых имеется в свободном доступе,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получен ответ от 3 (трёх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 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тавщиков с ценовой информацией,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 из которых удовлетворяет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требованиям заказчика.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Bdr/>
              <w:spacing/>
              <w:ind w:hanging="1" w:left="5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 основании цен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овой информации, полученной от 3 (трёх)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Поста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вщиков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осуществлен расчет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НМЦК,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НМЦД,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ЦК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НЦЕ (нужное подчеркнуть)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Bdr/>
              <w:spacing/>
              <w:ind w:left="5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tbl>
            <w:tblPr>
              <w:tblW w:w="15009" w:type="dxa"/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563"/>
              <w:gridCol w:w="3016"/>
              <w:gridCol w:w="696"/>
              <w:gridCol w:w="639"/>
              <w:gridCol w:w="1035"/>
              <w:gridCol w:w="1134"/>
              <w:gridCol w:w="1134"/>
              <w:gridCol w:w="1276"/>
              <w:gridCol w:w="992"/>
              <w:gridCol w:w="1276"/>
              <w:gridCol w:w="850"/>
              <w:gridCol w:w="1134"/>
              <w:gridCol w:w="1264"/>
            </w:tblGrid>
            <w:tr>
              <w:trPr>
                <w:trHeight w:val="746"/>
              </w:trPr>
              <w:tc>
                <w:tcPr>
                  <w:shd w:val="clear" w:color="auto" w:fill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63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/>
                  <w:bookmarkStart w:id="0" w:name="RANGE!A3:T8"/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№ п/п</w:t>
                  </w:r>
                  <w:bookmarkEnd w:id="0"/>
                  <w:r/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301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Наименование товара, работ, услуг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gridSpan w:val="2"/>
                  <w:shd w:val="clear" w:color="auto" w:fill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335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Объем поставки товара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035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Предложение 1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134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Стоимость, руб.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134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Предложение 2 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27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Стоимость, руб.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Предложение 3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27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Стоимость, руб.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850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ОДН/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НЕОДН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134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НМЦК 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рын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. руб.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264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НМЦН мин., 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руб</w:t>
                  </w:r>
                  <w:r>
                    <w:rPr>
                      <w:rFonts w:ascii="Times New Roman" w:hAnsi="Times New Roman" w:eastAsia="Times New Roman" w:cs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>
                <w:trHeight w:val="345"/>
              </w:trPr>
              <w:tc>
                <w:tcPr>
                  <w:shd w:val="clear" w:color="auto" w:fill="auto"/>
                  <w:tcBorders>
                    <w:top w:val="none" w:color="000000" w:sz="4" w:space="0"/>
                    <w:left w:val="single" w:color="auto" w:sz="4" w:space="0"/>
                    <w:bottom w:val="single" w:color="auto" w:sz="4" w:space="0"/>
                    <w:right w:val="none" w:color="000000" w:sz="4" w:space="0"/>
                  </w:tcBorders>
                  <w:tcW w:w="563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none" w:color="000000" w:sz="4" w:space="0"/>
                  </w:tcBorders>
                  <w:tcW w:w="3016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highlight w:val="white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highlight w:val="white"/>
                      <w:shd w:val="clear" w:color="auto" w:fill="ffffff"/>
                    </w:rPr>
                    <w:t xml:space="preserve">Комплект фантомных зубов для модели челюсти учебной с зубами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highlight w:val="white"/>
                      <w:shd w:val="clear" w:color="auto" w:fill="ffffff"/>
                    </w:rPr>
                    <w:t xml:space="preserve">Арма</w:t>
                  </w:r>
                  <w:r>
                    <w:rPr>
                      <w:rFonts w:ascii="Times New Roman" w:hAnsi="Times New Roman"/>
                      <w:sz w:val="20"/>
                      <w:szCs w:val="20"/>
                      <w:highlight w:val="white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highlight w:val="white"/>
                      <w:shd w:val="clear" w:color="auto" w:fill="ffffff"/>
                    </w:rPr>
                    <w:t xml:space="preserve">Дентал</w:t>
                  </w:r>
                  <w:r>
                    <w:rPr>
                      <w:rFonts w:ascii="Times New Roman" w:hAnsi="Times New Roman"/>
                      <w:sz w:val="20"/>
                      <w:szCs w:val="20"/>
                      <w:highlight w:val="white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highlight w:val="white"/>
                      <w:shd w:val="clear" w:color="auto" w:fill="ffffff"/>
                      <w:lang w:val="en-US"/>
                    </w:rPr>
                    <w:t xml:space="preserve">AD</w:t>
                  </w:r>
                  <w:r>
                    <w:rPr>
                      <w:rFonts w:ascii="Times New Roman" w:hAnsi="Times New Roman"/>
                      <w:sz w:val="20"/>
                      <w:szCs w:val="20"/>
                      <w:highlight w:val="white"/>
                      <w:shd w:val="clear" w:color="auto" w:fill="ffffff"/>
                    </w:rPr>
                    <w:t xml:space="preserve">-</w:t>
                  </w:r>
                  <w:r>
                    <w:rPr>
                      <w:rFonts w:ascii="Times New Roman" w:hAnsi="Times New Roman"/>
                      <w:sz w:val="20"/>
                      <w:szCs w:val="20"/>
                      <w:highlight w:val="white"/>
                      <w:shd w:val="clear" w:color="auto" w:fill="ffffff"/>
                      <w:lang w:val="en-US"/>
                    </w:rPr>
                    <w:t xml:space="preserve">J</w:t>
                  </w:r>
                  <w:r>
                    <w:rPr>
                      <w:rFonts w:ascii="Times New Roman" w:hAnsi="Times New Roman"/>
                      <w:sz w:val="20"/>
                      <w:szCs w:val="20"/>
                      <w:highlight w:val="white"/>
                      <w:shd w:val="clear" w:color="auto" w:fill="ffffff"/>
                    </w:rPr>
                    <w:t xml:space="preserve"> 01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highlight w:val="white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none" w:color="000000" w:sz="4" w:space="0"/>
                  </w:tcBorders>
                  <w:tcW w:w="69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упаковка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63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25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035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/>
                    <w:ind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4100,00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134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/>
                    <w:ind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102500,00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134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/>
                    <w:ind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3500,00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276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/>
                    <w:ind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87500,00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992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3465,00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276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86625,00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850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ОДН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134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/>
                    <w:ind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92208,25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264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86625,00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255"/>
              </w:trPr>
              <w:tc>
                <w:tcPr>
                  <w:shd w:val="clear" w:color="auto" w:fill="auto"/>
                  <w:tcBorders>
                    <w:top w:val="none" w:color="000000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63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301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Итого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69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639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035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/>
                    <w:ind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134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/>
                    <w:ind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0"/>
                      <w:szCs w:val="20"/>
                    </w:rPr>
                    <w:t xml:space="preserve">102 500,00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134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/>
                    <w:ind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276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/>
                    <w:ind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0"/>
                      <w:szCs w:val="20"/>
                    </w:rPr>
                    <w:t xml:space="preserve">87 500,00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992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276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/>
                    <w:ind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0"/>
                      <w:szCs w:val="20"/>
                    </w:rPr>
                    <w:t xml:space="preserve">86 625,00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850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 w:line="240" w:lineRule="auto"/>
                    <w:ind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134" w:type="dxa"/>
                  <w:vAlign w:val="center"/>
                  <w:textDirection w:val="lrTb"/>
                  <w:noWrap/>
                </w:tcPr>
                <w:p>
                  <w:pPr>
                    <w:pBdr/>
                    <w:spacing w:after="0"/>
                    <w:ind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0"/>
                      <w:szCs w:val="20"/>
                    </w:rPr>
                    <w:t xml:space="preserve">90 208,25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single" w:color="auto" w:sz="4" w:space="0"/>
                  </w:tcBorders>
                  <w:tcW w:w="1264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/>
                    <w:ind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0"/>
                      <w:szCs w:val="20"/>
                    </w:rPr>
                    <w:t xml:space="preserve">86 625,00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r>
                </w:p>
              </w:tc>
            </w:tr>
          </w:tbl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Style w:val="674"/>
              <w:pBdr/>
              <w:spacing/>
              <w:ind w:firstLine="175"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Bdr/>
        <w:spacing w:after="0" w:line="240" w:lineRule="auto"/>
        <w:ind w:firstLine="708"/>
        <w:contextualSpacing w:val="tru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</w:r>
      <w:bookmarkStart w:id="1" w:name="_MON_1452692368"/>
      <w:r>
        <w:rPr>
          <w:sz w:val="22"/>
          <w:szCs w:val="22"/>
        </w:rPr>
      </w:r>
      <w:bookmarkEnd w:id="1"/>
      <w:r>
        <w:rPr>
          <w:rFonts w:ascii="Times New Roman" w:hAnsi="Times New Roman" w:cs="Times New Roman"/>
          <w:sz w:val="22"/>
          <w:szCs w:val="22"/>
        </w:rPr>
        <w:t xml:space="preserve">По результатам расчетов за НМЦК, НМЦД,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ЦК</w:t>
      </w:r>
      <w:r>
        <w:rPr>
          <w:rFonts w:ascii="Times New Roman" w:hAnsi="Times New Roman" w:cs="Times New Roman"/>
          <w:sz w:val="22"/>
          <w:szCs w:val="22"/>
        </w:rPr>
        <w:t xml:space="preserve">, ЦД, НЦЕ (нужное подчеркнуть)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принято минимальное значение из представленных предложений и составила: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  <w:t xml:space="preserve">86 </w:t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  <w:t xml:space="preserve">625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рублей</w:t>
      </w:r>
      <w:r>
        <w:rPr>
          <w:rFonts w:ascii="Times New Roman" w:hAnsi="Times New Roman" w:cs="Times New Roman"/>
          <w:b/>
          <w:sz w:val="22"/>
          <w:szCs w:val="22"/>
        </w:rPr>
        <w:t xml:space="preserve"> 00 копеек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Реквизиты документов, на основании которых произведен расчет </w:t>
      </w:r>
      <w:r>
        <w:rPr>
          <w:rFonts w:ascii="Times New Roman" w:hAnsi="Times New Roman" w:cs="Times New Roman"/>
          <w:sz w:val="22"/>
          <w:szCs w:val="22"/>
        </w:rPr>
        <w:t xml:space="preserve">НМЦК, НМЦД,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ЦК</w:t>
      </w:r>
      <w:r>
        <w:rPr>
          <w:rFonts w:ascii="Times New Roman" w:hAnsi="Times New Roman" w:cs="Times New Roman"/>
          <w:sz w:val="22"/>
          <w:szCs w:val="22"/>
        </w:rPr>
        <w:t xml:space="preserve">, ЦД, НЦЕ (нужное подчеркнуть)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:</w:t>
      </w:r>
      <w:r>
        <w:rPr>
          <w:rFonts w:ascii="Times New Roman" w:hAnsi="Times New Roman" w:cs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Предложение 1: Коммерческое предложение от 20.05.2026 г. № 104 </w:t>
      </w:r>
      <w:r>
        <w:rPr>
          <w:rFonts w:ascii="Times New Roman" w:hAnsi="Times New Roman" w:cs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Предложение 2: Коммерческое предложение от 21.05.2026 г. № 452 </w:t>
      </w:r>
      <w:r>
        <w:rPr>
          <w:rFonts w:ascii="Times New Roman" w:hAnsi="Times New Roman" w:cs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Предложение 3: 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Коммерческое предложение от 21.05.2026 г. № 149 </w:t>
      </w:r>
      <w:r>
        <w:rPr>
          <w:rFonts w:ascii="Times New Roman" w:hAnsi="Times New Roman" w:cs="Times New Roman"/>
          <w:sz w:val="22"/>
          <w:szCs w:val="22"/>
          <w:lang w:eastAsia="ru-RU"/>
        </w:rPr>
      </w:r>
    </w:p>
    <w:p>
      <w:pPr>
        <w:pBdr/>
        <w:spacing w:after="0"/>
        <w:ind/>
        <w:rPr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Дата подготовки определения и (или) </w:t>
      </w:r>
      <w:r>
        <w:rPr>
          <w:rFonts w:ascii="Times New Roman" w:hAnsi="Times New Roman" w:cs="Times New Roman"/>
          <w:b/>
          <w:sz w:val="22"/>
          <w:szCs w:val="22"/>
        </w:rPr>
        <w:t xml:space="preserve">обоснования: 10.07.</w:t>
      </w:r>
      <w:r>
        <w:rPr>
          <w:rFonts w:ascii="Times New Roman" w:hAnsi="Times New Roman" w:cs="Times New Roman"/>
          <w:b/>
          <w:sz w:val="22"/>
          <w:szCs w:val="22"/>
        </w:rPr>
        <w:t xml:space="preserve">202</w:t>
      </w:r>
      <w:r>
        <w:rPr>
          <w:rFonts w:ascii="Times New Roman" w:hAnsi="Times New Roman" w:cs="Times New Roman"/>
          <w:b/>
          <w:sz w:val="22"/>
          <w:szCs w:val="22"/>
        </w:rPr>
        <w:t xml:space="preserve">6</w:t>
      </w:r>
      <w:r>
        <w:rPr>
          <w:rFonts w:ascii="Times New Roman" w:hAnsi="Times New Roman" w:cs="Times New Roman"/>
          <w:b/>
          <w:sz w:val="22"/>
          <w:szCs w:val="22"/>
        </w:rPr>
        <w:t xml:space="preserve"> г.</w:t>
      </w:r>
      <w:bookmarkStart w:id="2" w:name="_GoBack"/>
      <w:r>
        <w:rPr>
          <w:sz w:val="22"/>
          <w:szCs w:val="22"/>
        </w:rPr>
      </w:r>
      <w:bookmarkEnd w:id="2"/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h="11906" w:orient="landscape" w:w="16838"/>
      <w:pgMar w:top="284" w:right="1134" w:bottom="426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015D6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1">
    <w:nsid w:val="49DD5B73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2">
    <w:nsid w:val="5F3409AD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7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70"/>
    <w:next w:val="67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70"/>
    <w:next w:val="67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70"/>
    <w:next w:val="67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70"/>
    <w:next w:val="67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70"/>
    <w:next w:val="67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70"/>
    <w:next w:val="67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70"/>
    <w:next w:val="67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0"/>
    <w:next w:val="67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0"/>
    <w:next w:val="67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7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70"/>
    <w:next w:val="67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7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70"/>
    <w:next w:val="67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7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0"/>
    <w:next w:val="67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7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0"/>
    <w:next w:val="67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67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1"/>
    <w:link w:val="176"/>
    <w:uiPriority w:val="99"/>
    <w:pPr>
      <w:pBdr/>
      <w:spacing/>
      <w:ind/>
    </w:pPr>
  </w:style>
  <w:style w:type="paragraph" w:styleId="178">
    <w:name w:val="Footer"/>
    <w:basedOn w:val="67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1"/>
    <w:link w:val="178"/>
    <w:uiPriority w:val="99"/>
    <w:pPr>
      <w:pBdr/>
      <w:spacing/>
      <w:ind/>
    </w:pPr>
  </w:style>
  <w:style w:type="paragraph" w:styleId="180">
    <w:name w:val="Caption"/>
    <w:basedOn w:val="670"/>
    <w:next w:val="67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1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7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0"/>
    <w:next w:val="670"/>
    <w:uiPriority w:val="39"/>
    <w:unhideWhenUsed/>
    <w:pPr>
      <w:pBdr/>
      <w:spacing w:after="100"/>
      <w:ind/>
    </w:pPr>
  </w:style>
  <w:style w:type="paragraph" w:styleId="190">
    <w:name w:val="toc 2"/>
    <w:basedOn w:val="670"/>
    <w:next w:val="670"/>
    <w:uiPriority w:val="39"/>
    <w:unhideWhenUsed/>
    <w:pPr>
      <w:pBdr/>
      <w:spacing w:after="100"/>
      <w:ind w:left="220"/>
    </w:pPr>
  </w:style>
  <w:style w:type="paragraph" w:styleId="191">
    <w:name w:val="toc 3"/>
    <w:basedOn w:val="670"/>
    <w:next w:val="670"/>
    <w:uiPriority w:val="39"/>
    <w:unhideWhenUsed/>
    <w:pPr>
      <w:pBdr/>
      <w:spacing w:after="100"/>
      <w:ind w:left="440"/>
    </w:pPr>
  </w:style>
  <w:style w:type="paragraph" w:styleId="192">
    <w:name w:val="toc 4"/>
    <w:basedOn w:val="670"/>
    <w:next w:val="670"/>
    <w:uiPriority w:val="39"/>
    <w:unhideWhenUsed/>
    <w:pPr>
      <w:pBdr/>
      <w:spacing w:after="100"/>
      <w:ind w:left="660"/>
    </w:pPr>
  </w:style>
  <w:style w:type="paragraph" w:styleId="193">
    <w:name w:val="toc 5"/>
    <w:basedOn w:val="670"/>
    <w:next w:val="670"/>
    <w:uiPriority w:val="39"/>
    <w:unhideWhenUsed/>
    <w:pPr>
      <w:pBdr/>
      <w:spacing w:after="100"/>
      <w:ind w:left="880"/>
    </w:pPr>
  </w:style>
  <w:style w:type="paragraph" w:styleId="194">
    <w:name w:val="toc 6"/>
    <w:basedOn w:val="670"/>
    <w:next w:val="670"/>
    <w:uiPriority w:val="39"/>
    <w:unhideWhenUsed/>
    <w:pPr>
      <w:pBdr/>
      <w:spacing w:after="100"/>
      <w:ind w:left="1100"/>
    </w:pPr>
  </w:style>
  <w:style w:type="paragraph" w:styleId="195">
    <w:name w:val="toc 7"/>
    <w:basedOn w:val="670"/>
    <w:next w:val="670"/>
    <w:uiPriority w:val="39"/>
    <w:unhideWhenUsed/>
    <w:pPr>
      <w:pBdr/>
      <w:spacing w:after="100"/>
      <w:ind w:left="1320"/>
    </w:pPr>
  </w:style>
  <w:style w:type="paragraph" w:styleId="196">
    <w:name w:val="toc 8"/>
    <w:basedOn w:val="670"/>
    <w:next w:val="670"/>
    <w:uiPriority w:val="39"/>
    <w:unhideWhenUsed/>
    <w:pPr>
      <w:pBdr/>
      <w:spacing w:after="100"/>
      <w:ind w:left="1540"/>
    </w:pPr>
  </w:style>
  <w:style w:type="paragraph" w:styleId="197">
    <w:name w:val="toc 9"/>
    <w:basedOn w:val="670"/>
    <w:next w:val="67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0"/>
    <w:next w:val="670"/>
    <w:uiPriority w:val="99"/>
    <w:unhideWhenUsed/>
    <w:pPr>
      <w:pBdr/>
      <w:spacing w:after="0" w:afterAutospacing="0"/>
      <w:ind/>
    </w:pPr>
  </w:style>
  <w:style w:type="paragraph" w:styleId="670" w:default="1">
    <w:name w:val="Normal"/>
    <w:qFormat/>
    <w:pPr>
      <w:pBdr/>
      <w:spacing/>
      <w:ind/>
    </w:pPr>
  </w:style>
  <w:style w:type="character" w:styleId="671" w:default="1">
    <w:name w:val="Default Paragraph Font"/>
    <w:uiPriority w:val="1"/>
    <w:semiHidden/>
    <w:unhideWhenUsed/>
    <w:pPr>
      <w:pBdr/>
      <w:spacing/>
      <w:ind/>
    </w:pPr>
  </w:style>
  <w:style w:type="table" w:styleId="67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3" w:default="1">
    <w:name w:val="No List"/>
    <w:uiPriority w:val="99"/>
    <w:semiHidden/>
    <w:unhideWhenUsed/>
    <w:pPr>
      <w:pBdr/>
      <w:spacing/>
      <w:ind/>
    </w:pPr>
  </w:style>
  <w:style w:type="paragraph" w:styleId="674">
    <w:name w:val="List Paragraph"/>
    <w:basedOn w:val="670"/>
    <w:link w:val="677"/>
    <w:uiPriority w:val="34"/>
    <w:qFormat/>
    <w:pPr>
      <w:pBdr/>
      <w:spacing/>
      <w:ind w:left="720"/>
      <w:contextualSpacing w:val="true"/>
    </w:pPr>
  </w:style>
  <w:style w:type="character" w:styleId="675">
    <w:name w:val="Hyperlink"/>
    <w:basedOn w:val="671"/>
    <w:uiPriority w:val="99"/>
    <w:unhideWhenUsed/>
    <w:pPr>
      <w:pBdr/>
      <w:spacing/>
      <w:ind/>
    </w:pPr>
    <w:rPr>
      <w:color w:val="0000ff" w:themeColor="hyperlink"/>
      <w:u w:val="single"/>
    </w:rPr>
  </w:style>
  <w:style w:type="table" w:styleId="676">
    <w:name w:val="Table Grid"/>
    <w:basedOn w:val="67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77" w:customStyle="1">
    <w:name w:val="Абзац списка Знак"/>
    <w:link w:val="674"/>
    <w:uiPriority w:val="34"/>
    <w:qFormat/>
    <w:pPr>
      <w:pBdr/>
      <w:spacing/>
      <w:ind/>
    </w:pPr>
  </w:style>
  <w:style w:type="paragraph" w:styleId="678">
    <w:name w:val="No Spacing"/>
    <w:link w:val="679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character" w:styleId="679" w:customStyle="1">
    <w:name w:val="Без интервала Знак"/>
    <w:link w:val="678"/>
    <w:uiPriority w:val="1"/>
    <w:pPr>
      <w:pBdr/>
      <w:spacing/>
      <w:ind/>
    </w:pPr>
    <w:rPr>
      <w:rFonts w:ascii="Calibri" w:hAnsi="Calibri" w:eastAsia="Calibri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244-01</dc:creator>
  <cp:revision>6</cp:revision>
  <dcterms:created xsi:type="dcterms:W3CDTF">2025-07-07T06:47:00Z</dcterms:created>
  <dcterms:modified xsi:type="dcterms:W3CDTF">2026-08-06T09:28:59Z</dcterms:modified>
</cp:coreProperties>
</file>