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9"/>
        <w:pBdr/>
        <w:tabs>
          <w:tab w:val="left" w:leader="none" w:pos="9923"/>
        </w:tabs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sz w:val="22"/>
          <w:szCs w:val="22"/>
        </w:rPr>
      </w:r>
      <w:bookmarkStart w:id="0" w:name="_Hlk180353221"/>
      <w:r>
        <w:rPr>
          <w:rFonts w:ascii="Times New Roman" w:hAnsi="Times New Roman" w:cs="Times New Roman"/>
          <w:b/>
          <w:sz w:val="22"/>
          <w:szCs w:val="22"/>
        </w:rPr>
        <w:t xml:space="preserve">Контракт № </w:t>
      </w:r>
      <w:r>
        <w:rPr>
          <w:rFonts w:ascii="Times New Roman" w:hAnsi="Times New Roman" w:cs="Times New Roman"/>
          <w:b/>
          <w:sz w:val="22"/>
          <w:szCs w:val="22"/>
        </w:rPr>
        <w:t xml:space="preserve">______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/>
        <w:contextualSpacing w:val="true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на поставку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62"/>
        <w:pBdr/>
        <w:spacing w:line="240" w:lineRule="auto"/>
        <w:ind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г. Хабаровск                                                                                                                                        "___" ___________202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line="240" w:lineRule="auto"/>
        <w:ind/>
        <w:rPr>
          <w:bCs/>
          <w:iCs/>
          <w:spacing w:val="-6"/>
          <w:sz w:val="22"/>
          <w:szCs w:val="22"/>
        </w:rPr>
      </w:pPr>
      <w:r>
        <w:rPr>
          <w:rFonts w:eastAsia="Calibri"/>
          <w:b/>
          <w:sz w:val="22"/>
          <w:szCs w:val="22"/>
          <w:lang w:eastAsia="en-US"/>
        </w:rPr>
        <w:t xml:space="preserve">Федеральное государственное бюджетное образовательное учреждение высшего образования «Дальневосточный государственный медицинский университет» Министерства здравоохранения Российской Федерации (ФГБОУ ВО ДВГМУ Минздрава России)</w:t>
      </w:r>
      <w:r>
        <w:rPr>
          <w:rFonts w:eastAsia="Calibri"/>
          <w:sz w:val="22"/>
          <w:szCs w:val="22"/>
          <w:lang w:eastAsia="en-US"/>
        </w:rPr>
        <w:t xml:space="preserve">, именуемое в дальнейшем "</w:t>
      </w:r>
      <w:r>
        <w:rPr>
          <w:rFonts w:eastAsia="Calibri"/>
          <w:b/>
          <w:sz w:val="22"/>
          <w:szCs w:val="22"/>
          <w:lang w:eastAsia="en-US"/>
        </w:rPr>
        <w:t xml:space="preserve">Заказчик</w:t>
      </w:r>
      <w:r>
        <w:rPr>
          <w:rFonts w:eastAsia="Calibri"/>
          <w:sz w:val="22"/>
          <w:szCs w:val="22"/>
          <w:lang w:eastAsia="en-US"/>
        </w:rPr>
        <w:t xml:space="preserve">", в лице </w:t>
      </w:r>
      <w:r>
        <w:rPr>
          <w:rFonts w:eastAsia="Calibri"/>
          <w:sz w:val="22"/>
          <w:szCs w:val="22"/>
          <w:lang w:eastAsia="en-US"/>
        </w:rPr>
        <w:t xml:space="preserve">______________________________</w:t>
      </w:r>
      <w:r>
        <w:rPr>
          <w:rFonts w:eastAsia="Calibri"/>
          <w:sz w:val="22"/>
          <w:szCs w:val="22"/>
          <w:lang w:eastAsia="en-US"/>
        </w:rPr>
        <w:t xml:space="preserve">, действующего на основании </w:t>
      </w:r>
      <w:r>
        <w:rPr>
          <w:rFonts w:eastAsia="Calibri"/>
          <w:sz w:val="22"/>
          <w:szCs w:val="22"/>
          <w:lang w:eastAsia="en-US"/>
        </w:rPr>
        <w:t xml:space="preserve">_______</w:t>
      </w:r>
      <w:r>
        <w:rPr>
          <w:rFonts w:eastAsia="Calibri"/>
          <w:sz w:val="22"/>
          <w:szCs w:val="22"/>
          <w:lang w:eastAsia="en-US"/>
        </w:rPr>
        <w:t xml:space="preserve">, с одной стороны, и </w:t>
      </w:r>
      <w:bookmarkStart w:id="1" w:name="P31"/>
      <w:r>
        <w:rPr>
          <w:sz w:val="22"/>
          <w:szCs w:val="22"/>
        </w:rPr>
      </w:r>
      <w:bookmarkStart w:id="2" w:name="P36"/>
      <w:r>
        <w:rPr>
          <w:sz w:val="22"/>
          <w:szCs w:val="22"/>
        </w:rPr>
      </w:r>
      <w:bookmarkEnd w:id="1"/>
      <w:r>
        <w:rPr>
          <w:sz w:val="22"/>
          <w:szCs w:val="22"/>
        </w:rPr>
      </w:r>
      <w:bookmarkEnd w:id="2"/>
      <w:r>
        <w:rPr>
          <w:b/>
          <w:sz w:val="22"/>
          <w:szCs w:val="22"/>
        </w:rPr>
        <w:t xml:space="preserve">_____________________________________________________</w:t>
      </w:r>
      <w:r>
        <w:rPr>
          <w:rFonts w:eastAsia="Calibri"/>
          <w:sz w:val="22"/>
          <w:szCs w:val="22"/>
          <w:lang w:eastAsia="en-US"/>
        </w:rPr>
        <w:t xml:space="preserve"> именуемое в дальнейшем "Поставщик", в лице </w:t>
      </w:r>
      <w:r>
        <w:rPr>
          <w:rFonts w:eastAsia="Calibri"/>
          <w:sz w:val="22"/>
          <w:szCs w:val="22"/>
          <w:lang w:eastAsia="en-US"/>
        </w:rPr>
        <w:t xml:space="preserve">_____________________________</w:t>
      </w:r>
      <w:r>
        <w:rPr>
          <w:rFonts w:eastAsia="Calibri"/>
          <w:sz w:val="22"/>
          <w:szCs w:val="22"/>
          <w:lang w:eastAsia="en-US"/>
        </w:rPr>
        <w:t xml:space="preserve">, действующей на основании </w:t>
      </w:r>
      <w:r>
        <w:rPr>
          <w:rFonts w:eastAsia="Calibri"/>
          <w:sz w:val="22"/>
          <w:szCs w:val="22"/>
          <w:lang w:eastAsia="en-US"/>
        </w:rPr>
        <w:t xml:space="preserve">__________</w:t>
      </w:r>
      <w:r>
        <w:rPr>
          <w:rFonts w:eastAsia="Calibri"/>
          <w:sz w:val="22"/>
          <w:szCs w:val="22"/>
          <w:lang w:eastAsia="en-US"/>
        </w:rPr>
        <w:t xml:space="preserve"> </w:t>
      </w:r>
      <w:r>
        <w:rPr>
          <w:rFonts w:eastAsia="Calibri"/>
          <w:sz w:val="22"/>
          <w:szCs w:val="22"/>
          <w:lang w:eastAsia="en-US"/>
        </w:rPr>
        <w:t xml:space="preserve">с другой </w:t>
      </w:r>
      <w:r>
        <w:rPr>
          <w:rFonts w:eastAsia="Calibri"/>
          <w:sz w:val="22"/>
          <w:szCs w:val="22"/>
          <w:lang w:eastAsia="en-US"/>
        </w:rPr>
        <w:t xml:space="preserve">стороны, здесь и далее именуемые "Стороны"</w:t>
      </w:r>
      <w:r>
        <w:rPr>
          <w:bCs/>
          <w:iCs/>
          <w:spacing w:val="-6"/>
          <w:sz w:val="22"/>
          <w:szCs w:val="22"/>
        </w:rPr>
        <w:t xml:space="preserve">, с соблюдением   требований Гражданского кодекса Российской Федерации, п. 5 ч.1 ст. 93 Федерального закона от 05 апреля 2013 г. № 44-ФЗ «О контрактной системе в сфере закупок </w:t>
      </w:r>
      <w:r>
        <w:rPr>
          <w:bCs/>
          <w:iCs/>
          <w:spacing w:val="-6"/>
          <w:sz w:val="22"/>
          <w:szCs w:val="22"/>
        </w:rPr>
        <w:t xml:space="preserve">товаров, работ, услуг для обеспечения государственных и муниципальных нужд» (далее - Федеральный закон № 44-ФЗ)</w:t>
      </w:r>
      <w:r>
        <w:rPr>
          <w:sz w:val="22"/>
          <w:szCs w:val="22"/>
        </w:rPr>
        <w:t xml:space="preserve">,</w:t>
      </w:r>
      <w:r>
        <w:rPr>
          <w:bCs/>
          <w:iCs/>
          <w:spacing w:val="-6"/>
          <w:sz w:val="22"/>
          <w:szCs w:val="22"/>
        </w:rPr>
        <w:t xml:space="preserve"> ИКЗ: </w:t>
      </w:r>
      <w:hyperlink r:id="rId10" w:tooltip="https://zakupki.gov.ru/epz/orderplan/pg2020/specialPurchase/special-purchase-info.html?plan-number=202603221000038001&amp;position-number=202603221000038001000006&amp;version=0" w:history="1">
        <w:r>
          <w:rPr>
            <w:rStyle w:val="963"/>
            <w:color w:val="000000" w:themeColor="text1"/>
            <w:sz w:val="22"/>
            <w:szCs w:val="22"/>
            <w:highlight w:val="white"/>
            <w:u w:val="none"/>
          </w:rPr>
          <w:t xml:space="preserve">261272102089627210100100170000000000</w:t>
        </w:r>
      </w:hyperlink>
      <w:r>
        <w:rPr>
          <w:sz w:val="22"/>
          <w:szCs w:val="22"/>
        </w:rPr>
        <w:t xml:space="preserve">,</w:t>
      </w:r>
      <w:r>
        <w:rPr>
          <w:bCs/>
          <w:iCs/>
          <w:spacing w:val="-6"/>
          <w:sz w:val="22"/>
          <w:szCs w:val="22"/>
        </w:rPr>
        <w:t xml:space="preserve"> заключили настоящий контракт (далее</w:t>
      </w:r>
      <w:r>
        <w:rPr>
          <w:bCs/>
          <w:iCs/>
          <w:spacing w:val="-6"/>
          <w:sz w:val="22"/>
          <w:szCs w:val="22"/>
        </w:rPr>
        <w:t xml:space="preserve"> </w:t>
      </w:r>
      <w:r>
        <w:rPr>
          <w:bCs/>
          <w:iCs/>
          <w:spacing w:val="-6"/>
          <w:sz w:val="22"/>
          <w:szCs w:val="22"/>
        </w:rPr>
        <w:t xml:space="preserve">-</w:t>
      </w:r>
      <w:r>
        <w:rPr>
          <w:bCs/>
          <w:iCs/>
          <w:spacing w:val="-6"/>
          <w:sz w:val="22"/>
          <w:szCs w:val="22"/>
        </w:rPr>
        <w:t xml:space="preserve"> </w:t>
      </w:r>
      <w:r>
        <w:rPr>
          <w:bCs/>
          <w:iCs/>
          <w:spacing w:val="-6"/>
          <w:sz w:val="22"/>
          <w:szCs w:val="22"/>
        </w:rPr>
        <w:t xml:space="preserve">Контракт) о нижес</w:t>
      </w:r>
      <w:r>
        <w:rPr>
          <w:bCs/>
          <w:iCs/>
          <w:spacing w:val="-6"/>
          <w:sz w:val="22"/>
          <w:szCs w:val="22"/>
        </w:rPr>
        <w:t xml:space="preserve">ледующем:</w:t>
      </w:r>
      <w:r>
        <w:rPr>
          <w:bCs/>
          <w:iCs/>
          <w:spacing w:val="-6"/>
          <w:sz w:val="22"/>
          <w:szCs w:val="22"/>
        </w:rPr>
      </w:r>
      <w:r>
        <w:rPr>
          <w:bCs/>
          <w:iCs/>
          <w:spacing w:val="-6"/>
          <w:sz w:val="22"/>
          <w:szCs w:val="22"/>
        </w:rPr>
      </w:r>
    </w:p>
    <w:p>
      <w:pPr>
        <w:widowControl w:val="false"/>
        <w:pBdr/>
        <w:spacing w:before="120" w:line="240" w:lineRule="auto"/>
        <w:ind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1. Предмет Контракта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1.1. Поставщик обязуется в порядке и сроки, предусмотренные Контрактом, осуществить поставку </w:t>
      </w:r>
      <w:r>
        <w:rPr>
          <w:rFonts w:ascii="Times New Roman" w:hAnsi="Times New Roman"/>
          <w:sz w:val="22"/>
          <w:szCs w:val="22"/>
        </w:rPr>
        <w:t xml:space="preserve">расходных материалов к стоматологическим тренажерам </w:t>
      </w:r>
      <w:r>
        <w:rPr>
          <w:rFonts w:ascii="Times New Roman" w:hAnsi="Times New Roman" w:cs="Times New Roman"/>
          <w:sz w:val="22"/>
          <w:szCs w:val="22"/>
        </w:rPr>
        <w:t xml:space="preserve">(далее - Товар), в соответствии Спецификацией (</w:t>
      </w:r>
      <w:hyperlink w:tooltip="#P365" w:anchor="P365" w:history="1">
        <w:r>
          <w:rPr>
            <w:rFonts w:ascii="Times New Roman" w:hAnsi="Times New Roman" w:cs="Times New Roman"/>
            <w:sz w:val="22"/>
            <w:szCs w:val="22"/>
          </w:rPr>
          <w:t xml:space="preserve">приложение № 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 Контракту), а Заказчик обязуется в порядке и сроки, предусмотренные Контрактом, принять и оплатить поставленный Товар.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1.2. Номенклатура Товара и его количество определяются Спецификацией (</w:t>
      </w:r>
      <w:hyperlink w:tooltip="#P365" w:anchor="P365" w:history="1">
        <w:r>
          <w:rPr>
            <w:rFonts w:ascii="Times New Roman" w:hAnsi="Times New Roman" w:cs="Times New Roman"/>
            <w:sz w:val="22"/>
            <w:szCs w:val="22"/>
          </w:rPr>
          <w:t xml:space="preserve">приложение № 1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 Контракту) и Техническими характеристиками (</w:t>
      </w:r>
      <w:hyperlink w:tooltip="#P410" w:anchor="P410" w:history="1">
        <w:r>
          <w:rPr>
            <w:rFonts w:ascii="Times New Roman" w:hAnsi="Times New Roman" w:cs="Times New Roman"/>
            <w:sz w:val="22"/>
            <w:szCs w:val="22"/>
          </w:rPr>
          <w:t xml:space="preserve">приложение № 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1.3. Поставка Товара осуществляется Поставщиком собственными силами с разгрузкой транспортного средства по адресу: </w:t>
      </w:r>
      <w:r>
        <w:rPr>
          <w:rFonts w:ascii="Times New Roman" w:hAnsi="Times New Roman" w:cs="Times New Roman"/>
          <w:sz w:val="22"/>
          <w:szCs w:val="22"/>
        </w:rPr>
        <w:t xml:space="preserve">г. Хабаровск, ул. </w:t>
      </w:r>
      <w:r>
        <w:rPr>
          <w:rFonts w:ascii="Times New Roman" w:hAnsi="Times New Roman"/>
          <w:sz w:val="22"/>
          <w:szCs w:val="22"/>
        </w:rPr>
        <w:t xml:space="preserve">Муравьева-Амурского</w:t>
      </w:r>
      <w:r>
        <w:rPr>
          <w:rFonts w:ascii="Times New Roman" w:hAnsi="Times New Roman" w:cs="Times New Roman"/>
          <w:sz w:val="22"/>
          <w:szCs w:val="22"/>
        </w:rPr>
        <w:t xml:space="preserve">,</w:t>
      </w:r>
      <w:r>
        <w:rPr>
          <w:rFonts w:ascii="Times New Roman" w:hAnsi="Times New Roman" w:cs="Times New Roman"/>
          <w:sz w:val="22"/>
          <w:szCs w:val="22"/>
        </w:rPr>
        <w:t xml:space="preserve"> 35</w:t>
      </w:r>
      <w:r>
        <w:rPr>
          <w:rFonts w:ascii="Times New Roman" w:hAnsi="Times New Roman" w:cs="Times New Roman"/>
          <w:sz w:val="22"/>
          <w:szCs w:val="22"/>
        </w:rPr>
        <w:t xml:space="preserve"> (далее – Место доставки) в соответствии с Отгрузочной разнарядкой (Планом распределения) (Приложен</w:t>
      </w:r>
      <w:r>
        <w:rPr>
          <w:rFonts w:ascii="Times New Roman" w:hAnsi="Times New Roman" w:cs="Times New Roman"/>
          <w:sz w:val="22"/>
          <w:szCs w:val="22"/>
        </w:rPr>
        <w:t xml:space="preserve">ие № 3 к Контракту), </w:t>
      </w:r>
      <w:r>
        <w:rPr>
          <w:rFonts w:ascii="Times New Roman" w:hAnsi="Times New Roman"/>
          <w:sz w:val="22"/>
          <w:szCs w:val="22"/>
        </w:rPr>
        <w:t xml:space="preserve">в течение </w:t>
      </w:r>
      <w:r>
        <w:rPr>
          <w:rFonts w:ascii="Times New Roman" w:hAnsi="Times New Roman"/>
          <w:sz w:val="22"/>
          <w:szCs w:val="22"/>
        </w:rPr>
        <w:t xml:space="preserve">10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дней с даты заключения </w:t>
      </w:r>
      <w:r>
        <w:rPr>
          <w:rFonts w:ascii="Times New Roman" w:hAnsi="Times New Roman"/>
          <w:sz w:val="22"/>
          <w:szCs w:val="22"/>
        </w:rPr>
        <w:t xml:space="preserve">Контракта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tabs>
          <w:tab w:val="left" w:leader="none" w:pos="567"/>
        </w:tabs>
        <w:spacing w:line="240" w:lineRule="auto"/>
        <w:ind w:right="-23"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2. Цена Контракта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39"/>
        <w:contextualSpacing w:val="true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2.1. </w:t>
      </w:r>
      <w:r>
        <w:rPr>
          <w:rFonts w:ascii="Times New Roman" w:hAnsi="Times New Roman" w:cs="Times New Roman"/>
          <w:b/>
          <w:sz w:val="22"/>
          <w:szCs w:val="22"/>
        </w:rPr>
        <w:t xml:space="preserve">Цена </w:t>
      </w:r>
      <w:r>
        <w:rPr>
          <w:rFonts w:ascii="Times New Roman" w:hAnsi="Times New Roman" w:cs="Times New Roman"/>
          <w:b/>
          <w:sz w:val="22"/>
          <w:szCs w:val="22"/>
        </w:rPr>
        <w:t xml:space="preserve">Контракта составляет </w:t>
      </w:r>
      <w:r>
        <w:rPr>
          <w:rFonts w:ascii="Times New Roman" w:hAnsi="Times New Roman" w:cs="Times New Roman"/>
          <w:b/>
          <w:sz w:val="22"/>
          <w:szCs w:val="22"/>
        </w:rPr>
        <w:t xml:space="preserve">__________________________________</w:t>
      </w:r>
      <w:r>
        <w:rPr>
          <w:rFonts w:ascii="Times New Roman" w:hAnsi="Times New Roman" w:cs="Times New Roman"/>
          <w:sz w:val="22"/>
          <w:szCs w:val="22"/>
        </w:rPr>
        <w:t xml:space="preserve">(________________________) рублей </w:t>
      </w:r>
      <w:r>
        <w:rPr>
          <w:rFonts w:ascii="Times New Roman" w:hAnsi="Times New Roman" w:cs="Times New Roman"/>
          <w:b/>
          <w:sz w:val="22"/>
          <w:szCs w:val="22"/>
        </w:rPr>
        <w:t xml:space="preserve">___</w:t>
      </w:r>
      <w:r>
        <w:rPr>
          <w:rFonts w:ascii="Times New Roman" w:hAnsi="Times New Roman" w:cs="Times New Roman"/>
          <w:sz w:val="22"/>
          <w:szCs w:val="22"/>
        </w:rPr>
        <w:t xml:space="preserve"> копеек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>
        <w:rPr>
          <w:rFonts w:ascii="Times New Roman" w:hAnsi="Times New Roman"/>
          <w:sz w:val="22"/>
          <w:szCs w:val="22"/>
        </w:rPr>
        <w:t xml:space="preserve">в</w:t>
      </w:r>
      <w:r>
        <w:rPr>
          <w:rFonts w:ascii="Times New Roman" w:hAnsi="Times New Roman" w:cs="Times New Roman"/>
          <w:sz w:val="22"/>
          <w:szCs w:val="22"/>
        </w:rPr>
        <w:t xml:space="preserve"> том числе НДС - _________________ / либо НДС – не облагается</w:t>
      </w:r>
      <w:r>
        <w:rPr>
          <w:rFonts w:ascii="Times New Roman" w:hAnsi="Times New Roman" w:cs="Times New Roman"/>
          <w:b/>
          <w:sz w:val="22"/>
          <w:szCs w:val="22"/>
        </w:rPr>
        <w:t xml:space="preserve">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39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2.2. Цена </w:t>
      </w:r>
      <w:r>
        <w:rPr>
          <w:rFonts w:ascii="Times New Roman" w:hAnsi="Times New Roman" w:cs="Times New Roman"/>
          <w:sz w:val="22"/>
          <w:szCs w:val="22"/>
        </w:rPr>
        <w:t xml:space="preserve">Контракта и валюта платежа устанавливаются в российских рублях.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39"/>
        <w:contextualSpacing w:val="true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2.3. </w:t>
      </w:r>
      <w:r>
        <w:rPr>
          <w:rFonts w:ascii="Times New Roman" w:hAnsi="Times New Roman" w:cs="Times New Roman"/>
          <w:sz w:val="22"/>
          <w:szCs w:val="22"/>
        </w:rPr>
        <w:t xml:space="preserve">Цена Контракта включает в себя стоимость Товара, а также все расходы на погр</w:t>
      </w:r>
      <w:r>
        <w:rPr>
          <w:rFonts w:ascii="Times New Roman" w:hAnsi="Times New Roman" w:cs="Times New Roman"/>
          <w:sz w:val="22"/>
          <w:szCs w:val="22"/>
        </w:rPr>
        <w:t xml:space="preserve">узо-разгрузочные работы, транспортировку, страхование, уплату налогов, пошлин, сборов и других обязательных платежей, которые Поставщик должен оплатить в связи с выполнением обязательств по Контракту в соответствии с законодательством Российской Федерации.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2.4. Цена Контракта</w:t>
      </w:r>
      <w:r>
        <w:rPr>
          <w:rFonts w:ascii="Times New Roman" w:hAnsi="Times New Roman" w:cs="Times New Roman"/>
          <w:sz w:val="22"/>
          <w:szCs w:val="22"/>
        </w:rPr>
        <w:t xml:space="preserve"> является твердой и определяется на весь срок его исполнения, за исключением случаев, предусмотренных </w:t>
      </w:r>
      <w:hyperlink w:tooltip="#P63" w:anchor="P63" w:history="1">
        <w:r>
          <w:rPr>
            <w:rFonts w:ascii="Times New Roman" w:hAnsi="Times New Roman" w:cs="Times New Roman"/>
            <w:sz w:val="22"/>
            <w:szCs w:val="22"/>
          </w:rPr>
          <w:t xml:space="preserve">пунктами 2.5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2.5. По соглашению Сторон цена Контракта может быть снижена без изменения предусмотренного Контрактом количества Товара и иных условий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2.6. Источник финансирования-средства бюджетного учреждения.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709"/>
        <w:contextualSpacing w:val="true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/>
        <w:contextualSpacing w:val="true"/>
        <w:jc w:val="center"/>
        <w:outlineLvl w:val="1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3. Права и обязанности Сторон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3.1. Поставщик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3.1.1. поставить Товар, соответствующий требованиям законодательства Российской Федерации, в соответствии с условиями Контракта, в полном объеме, надлежащего качества и в установленные сроки;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3.1.2. представлять по требованию Заказчика информацию и документы, относящиеся к предмету Контракта;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3.1.3. незамедлительно информировать Заказчика обо всех обстоятельствах, препятствующих исполнению Контракта;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3.1.4. устранять своими силами и за свой счет допущенные недостатки при поставке Товара</w:t>
      </w:r>
      <w:bookmarkStart w:id="3" w:name="P73"/>
      <w:r>
        <w:rPr>
          <w:sz w:val="22"/>
          <w:szCs w:val="22"/>
        </w:rPr>
      </w:r>
      <w:bookmarkStart w:id="4" w:name="P79"/>
      <w:r>
        <w:rPr>
          <w:sz w:val="22"/>
          <w:szCs w:val="22"/>
        </w:rPr>
      </w:r>
      <w:bookmarkEnd w:id="3"/>
      <w:r>
        <w:rPr>
          <w:sz w:val="22"/>
          <w:szCs w:val="22"/>
        </w:rPr>
      </w:r>
      <w:bookmarkEnd w:id="4"/>
      <w:r>
        <w:rPr>
          <w:sz w:val="22"/>
          <w:szCs w:val="22"/>
        </w:rPr>
        <w:t xml:space="preserve">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3.1.5. соответствовать требованиям ч.1 ст.31 </w:t>
      </w:r>
      <w:r>
        <w:rPr>
          <w:bCs/>
          <w:iCs/>
          <w:spacing w:val="-6"/>
          <w:sz w:val="22"/>
          <w:szCs w:val="22"/>
        </w:rPr>
        <w:t xml:space="preserve">Федерального закона</w:t>
      </w:r>
      <w:r>
        <w:rPr>
          <w:sz w:val="22"/>
          <w:szCs w:val="22"/>
        </w:rPr>
        <w:t xml:space="preserve"> №44-ФЗ.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3.2. Поставщик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3.2.1. требовать от Заказчика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приемки поставленного Товара в Месте доставки;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3.2.2. требовать от Заказчика предоставления имеющейся у него информации, необходимой для исполнения обязательств по Контракту;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3.2.3. требовать от Заказчика своевременной оплаты поставленного Товара в порядке и на условиях, предусмотренных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3.3. Заказчик обязан: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3.3.1. предоставлять Поставщику всю имеющуюся у него информацию и документы, относящиеся к предмету Контракта и необходимые для исполнения Поставщиком обязательств по Контракту;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3.3.2. своевременно принять и оплатить поставленный Товар.  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3.4. Заказчик вправе: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3.4.1. требовать от Поставщика надлежащего исполнения обязательств, предусмотренных Контрактом;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3.4.2. запрашивать у Поставщика информацию об исполнении им обязательств по Контракту;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3.4.3. проверять в любое время ход исполнения Поставщиком обязательств по Контракту, в том числе осуществлять контроль сроков поставки Товара в соответствии с условиями Контракта;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3.4.4. осуществлять выборочную проверку качества поставляемого Товара, в том числе после приемки Товара;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3.4.5. требовать от Поставщика устранения недостатков, допущенных при исполнении Контракта, за его счет;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3.4.6. отказаться от приемки Товара, не соответствующего условиям Контракта, и потребовать безвозмездного устранения недостатков;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3.4.7. привлекать экспертов,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требованиям, установленным Контрактом.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4. Упаковка и маркировка. Условия транспортировки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4.1. Упаковка и маркировка Товара должны соответствовать требованиям законодательства Российской Федерации, международных контрактов и актов, составляющих право Евразийского экономического союза.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4.2. Поставщик должен обеспечить упаковку Товара, способную предотвратить его повреждение или порчу во время транспортировки к Месту доставки. Упаковка Товара должна полностью обеспечивать условия транспортировки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4.3. Вся упаковка должна иметь следующую маркировку: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left="567"/>
        <w:contextualSpacing w:val="true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Наименование Товара: </w:t>
      </w:r>
      <w:r>
        <w:rPr>
          <w:rFonts w:ascii="Times New Roman" w:hAnsi="Times New Roman" w:cs="Times New Roman"/>
          <w:sz w:val="22"/>
          <w:szCs w:val="22"/>
        </w:rPr>
        <w:t xml:space="preserve">поставк</w:t>
      </w:r>
      <w:r>
        <w:rPr>
          <w:rFonts w:ascii="Times New Roman" w:hAnsi="Times New Roman" w:cs="Times New Roman"/>
          <w:sz w:val="22"/>
          <w:szCs w:val="22"/>
        </w:rPr>
        <w:t xml:space="preserve">а </w:t>
      </w:r>
      <w:r>
        <w:rPr>
          <w:rFonts w:ascii="Times New Roman" w:hAnsi="Times New Roman"/>
          <w:sz w:val="22"/>
          <w:szCs w:val="22"/>
        </w:rPr>
        <w:t xml:space="preserve">расходных материалов к стоматологическим тренажерам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left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Контракт/счет № __________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Заказчик/Получатель: ФГБОУ ВО ДВГМУ Минздрава России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Поставщик: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Пункт назначения: </w:t>
      </w:r>
      <w:r>
        <w:rPr>
          <w:rFonts w:ascii="Times New Roman" w:hAnsi="Times New Roman" w:cs="Times New Roman"/>
          <w:sz w:val="22"/>
          <w:szCs w:val="22"/>
        </w:rPr>
        <w:t xml:space="preserve">680000, Хабаровский край, г. Хабаровск, </w:t>
      </w:r>
      <w:r>
        <w:rPr>
          <w:rFonts w:ascii="Times New Roman" w:hAnsi="Times New Roman"/>
          <w:sz w:val="22"/>
          <w:szCs w:val="22"/>
        </w:rPr>
        <w:t xml:space="preserve">ул. Муравьева Амурского, 3</w:t>
      </w:r>
      <w:r>
        <w:rPr>
          <w:rFonts w:ascii="Times New Roman" w:hAnsi="Times New Roman"/>
          <w:sz w:val="22"/>
          <w:szCs w:val="22"/>
        </w:rPr>
        <w:t xml:space="preserve">5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Грузоотправитель: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Всего ящиков _______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4.4. Каждый ящик должен сопровождать экземпляр упаковочного листа с описанием Товара, указанием количества Товара, указанием номера и даты Контракта/счета (далее - Упаковочный лист). Упаковочный лист с приложением документов, </w:t>
      </w:r>
      <w:r>
        <w:rPr>
          <w:rFonts w:ascii="Times New Roman" w:hAnsi="Times New Roman" w:cs="Times New Roman"/>
          <w:sz w:val="22"/>
          <w:szCs w:val="22"/>
        </w:rPr>
        <w:t xml:space="preserve">предусмотренных </w:t>
      </w:r>
      <w:hyperlink w:tooltip="#P130" w:anchor="P130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Контракта, должен находиться внутри ящика.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4.5.</w:t>
      </w:r>
      <w:r>
        <w:rPr>
          <w:rFonts w:ascii="Times New Roman" w:hAnsi="Times New Roman" w:cs="Times New Roman"/>
          <w:sz w:val="22"/>
          <w:szCs w:val="22"/>
        </w:rPr>
        <w:t xml:space="preserve">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транспортировки Товара, определенные нормативной документацией на Товар.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5. Поставка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5.1. Поставка Товара осуществляется Поставщиком в Место доставки в соответствии с Отгрузочной разнарядкой (Планом распределения) (приложение № 3 к Контракту) на условиях, предусмотренных пунктом 1.3 Контракта, </w:t>
      </w:r>
      <w:r>
        <w:rPr>
          <w:rFonts w:ascii="Times New Roman" w:hAnsi="Times New Roman" w:cs="Times New Roman"/>
          <w:sz w:val="22"/>
          <w:szCs w:val="22"/>
        </w:rPr>
        <w:t xml:space="preserve">в течении </w:t>
      </w:r>
      <w:r>
        <w:rPr>
          <w:rFonts w:ascii="Times New Roman" w:hAnsi="Times New Roman" w:cs="Times New Roman"/>
          <w:sz w:val="22"/>
          <w:szCs w:val="22"/>
        </w:rPr>
        <w:t xml:space="preserve">10</w:t>
      </w:r>
      <w:r>
        <w:rPr>
          <w:rFonts w:ascii="Times New Roman" w:hAnsi="Times New Roman" w:cs="Times New Roman"/>
          <w:sz w:val="22"/>
          <w:szCs w:val="22"/>
        </w:rPr>
        <w:t xml:space="preserve"> дней с даты заключения Контракта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Поставщик за </w:t>
      </w: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 (</w:t>
      </w:r>
      <w:r>
        <w:rPr>
          <w:rFonts w:ascii="Times New Roman" w:hAnsi="Times New Roman" w:cs="Times New Roman"/>
          <w:sz w:val="22"/>
          <w:szCs w:val="22"/>
        </w:rPr>
        <w:t xml:space="preserve">один</w:t>
      </w:r>
      <w:r>
        <w:rPr>
          <w:rFonts w:ascii="Times New Roman" w:hAnsi="Times New Roman" w:cs="Times New Roman"/>
          <w:sz w:val="22"/>
          <w:szCs w:val="22"/>
        </w:rPr>
        <w:t xml:space="preserve">) дня до осуществления поставки Товара в соответствии с Отгрузочной разнарядкой (Планом </w:t>
      </w:r>
      <w:r>
        <w:rPr>
          <w:rFonts w:ascii="Times New Roman" w:hAnsi="Times New Roman" w:cs="Times New Roman"/>
          <w:sz w:val="22"/>
          <w:szCs w:val="22"/>
        </w:rPr>
        <w:t xml:space="preserve">распределения) (приложение № 3 к Контракту) направляет в адрес </w:t>
      </w:r>
      <w:r>
        <w:rPr>
          <w:rFonts w:ascii="Times New Roman" w:hAnsi="Times New Roman" w:cs="Times New Roman"/>
          <w:sz w:val="22"/>
          <w:szCs w:val="22"/>
        </w:rPr>
        <w:t xml:space="preserve">Заказчика</w:t>
      </w:r>
      <w:r>
        <w:rPr>
          <w:rFonts w:ascii="Times New Roman" w:hAnsi="Times New Roman" w:cs="Times New Roman"/>
          <w:sz w:val="22"/>
          <w:szCs w:val="22"/>
        </w:rPr>
        <w:t xml:space="preserve"> уведомление о времени доставки Товара в Место доставки.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5.2. </w:t>
      </w:r>
      <w:bookmarkStart w:id="5" w:name="P130"/>
      <w:r>
        <w:rPr>
          <w:sz w:val="22"/>
          <w:szCs w:val="22"/>
        </w:rPr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Фактической датой поставки считается дата подписания обеими сторонами товарной накладной или универсального</w:t>
      </w:r>
      <w:r>
        <w:rPr>
          <w:rFonts w:ascii="Times New Roman" w:hAnsi="Times New Roman" w:cs="Times New Roman"/>
          <w:sz w:val="22"/>
          <w:szCs w:val="22"/>
        </w:rPr>
        <w:t xml:space="preserve"> передаточного документа, и подписание Заказчиком Акта приемки и проведения экспертизы товара (работ, услуг) собственными силами.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5.3. При поставке Товара Поставщик представляет следующие документы: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счет;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счет-фактуру (при наличии);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Сводный реестр товарных накладных на поставку Товара (при необходимости);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д) копию документа, подтверждающего соответствие качества Товара, выданного уполномоченными органами (организациями)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tabs>
          <w:tab w:val="left" w:leader="none" w:pos="9923"/>
        </w:tabs>
        <w:spacing w:line="240" w:lineRule="auto"/>
        <w:ind w:firstLine="567"/>
        <w:contextualSpacing w:val="true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5.4. Поставка Товара осуществляется в целых упаковках в соответствии с требованиями, действующими на территории Российской Федерации.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tabs>
          <w:tab w:val="left" w:leader="none" w:pos="567"/>
        </w:tabs>
        <w:spacing w:line="240" w:lineRule="auto"/>
        <w:ind w:right="-23"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6.</w:t>
      </w:r>
      <w:r>
        <w:rPr>
          <w:rFonts w:ascii="Times New Roman" w:hAnsi="Times New Roman" w:cs="Times New Roman"/>
          <w:b/>
          <w:sz w:val="22"/>
          <w:szCs w:val="22"/>
        </w:rPr>
        <w:t xml:space="preserve"> Приемка Товара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6.1. Приемка поставленного Товара осуществляется в соответствии с требованиями законодательства Российской Федерации в</w:t>
      </w:r>
      <w:r>
        <w:rPr>
          <w:rFonts w:ascii="Times New Roman" w:hAnsi="Times New Roman" w:cs="Times New Roman"/>
          <w:sz w:val="22"/>
          <w:szCs w:val="22"/>
        </w:rPr>
        <w:t xml:space="preserve"> ходе передачи Товара Заказчику</w:t>
      </w:r>
      <w:r>
        <w:rPr>
          <w:rFonts w:ascii="Times New Roman" w:hAnsi="Times New Roman" w:cs="Times New Roman"/>
          <w:sz w:val="22"/>
          <w:szCs w:val="22"/>
        </w:rPr>
        <w:t xml:space="preserve"> в Месте доставки и включает в себя: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а) проверку по Упаковочным листам номенклатуры поставленного Товара на соответствие Спецификации (приложение № 1 к Контракту) и Техническим характеристикам (приложение № 2 к Контракту);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б) проверку полноты и правильности оформления комплекта документов, предусмотренных </w:t>
      </w:r>
      <w:hyperlink w:tooltip="#P130" w:anchor="P130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Контракта;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в) контроль наличия/отсутствия внешних повреждений упаковки Товара;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г) проверку соблюдения температурного режима при хранении и транспортировке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 факту приемки Товара </w:t>
      </w:r>
      <w:r>
        <w:rPr>
          <w:rFonts w:ascii="Times New Roman" w:hAnsi="Times New Roman" w:cs="Times New Roman"/>
          <w:sz w:val="22"/>
          <w:szCs w:val="22"/>
        </w:rPr>
        <w:t xml:space="preserve">Поставщик и Заказчик</w:t>
      </w:r>
      <w:r>
        <w:rPr>
          <w:rFonts w:ascii="Times New Roman" w:hAnsi="Times New Roman" w:cs="Times New Roman"/>
          <w:sz w:val="22"/>
          <w:szCs w:val="22"/>
        </w:rPr>
        <w:t xml:space="preserve"> подписывают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Акт приемки (ф. 0510452), предусмотренный приказом Минфина России от 15.04.2021 № 61н «Об утверждении унифицированных форм элек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тронных документов бухгалтерского учёта, применяемых при ведении бюджетного учёта, бухгалтерского учёта государственных (муниципальных) учреждений, и Методических указаний по их формированию и применению» (далее – Акт приёмки (ф. 0510452)). При отсутствии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Поставщика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при приемке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Товара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подписание Акта приёмки (ф. 0510452)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поставщиком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не предусмотрено. Акт приёмки (ф. 0510452) утверждается без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поставщика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, и в его адрес в целях подтверждения возникновения у принимающей стороны обязанности оплатить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поставленный Товар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направляется Акт приёмки (ф. 0510452) или его скан-копия.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6.2. Для проверки предоставленных Поставщиком результатов поставки, предусмотренных Контрактом, в части их соответствия условиям Контракта, Заказчиком проводится экспертиза Товара, в порядке, установленном </w:t>
      </w:r>
      <w:r>
        <w:rPr>
          <w:rFonts w:ascii="Times New Roman" w:hAnsi="Times New Roman" w:cs="Times New Roman"/>
          <w:sz w:val="22"/>
          <w:szCs w:val="22"/>
        </w:rPr>
        <w:t xml:space="preserve">законодательством Российской Федерации. Экспертиза может проводиться силами Заказчика или к ее проведению могут привлекаться эксперты, экспертные организации.</w:t>
      </w:r>
      <w:bookmarkStart w:id="6" w:name="P148"/>
      <w:r>
        <w:rPr>
          <w:sz w:val="22"/>
          <w:szCs w:val="22"/>
        </w:rPr>
      </w:r>
      <w:bookmarkEnd w:id="6"/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6.3. Заказчик</w:t>
      </w:r>
      <w:r>
        <w:rPr>
          <w:rFonts w:ascii="Times New Roman" w:hAnsi="Times New Roman" w:cs="Times New Roman"/>
          <w:sz w:val="22"/>
          <w:szCs w:val="22"/>
        </w:rPr>
        <w:t xml:space="preserve"> в течение 10 (десяти) дней, со дня получения от Поставщика документов, предусмотренных </w:t>
      </w:r>
      <w:hyperlink w:tooltip="#P130" w:anchor="P130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Контракта, направляет Поставщику подписанный </w:t>
      </w:r>
      <w:hyperlink r:id="rId11" w:tooltip="https://login.consultant.ru/link/?req=doc&amp;base=RZB&amp;n=465243&amp;dst=1668" w:history="1">
        <w:r>
          <w:rPr>
            <w:rFonts w:ascii="Times New Roman" w:hAnsi="Times New Roman" w:cs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приемки (ф. 0510452) или мотивированный отказ от подписания, в котором указываются недостатки и сроки их устранения. Поставщик обязан подписать </w:t>
      </w:r>
      <w:hyperlink r:id="rId12" w:tooltip="https://login.consultant.ru/link/?req=doc&amp;base=RZB&amp;n=465243&amp;dst=1668" w:history="1">
        <w:r>
          <w:rPr>
            <w:rFonts w:ascii="Times New Roman" w:hAnsi="Times New Roman" w:cs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приемки (ф. 0510452) в течение 10 (календарных) дне</w:t>
      </w:r>
      <w:r>
        <w:rPr>
          <w:rFonts w:ascii="Times New Roman" w:hAnsi="Times New Roman" w:cs="Times New Roman"/>
          <w:sz w:val="22"/>
          <w:szCs w:val="22"/>
        </w:rPr>
        <w:t xml:space="preserve">й со дня получения от Заказчика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6.4. После устранения недостатков, послуживших основанием для неподписания </w:t>
      </w:r>
      <w:hyperlink r:id="rId13" w:tooltip="https://login.consultant.ru/link/?req=doc&amp;base=RZB&amp;n=465243&amp;dst=1668" w:history="1">
        <w:r>
          <w:rPr>
            <w:rFonts w:ascii="Times New Roman" w:hAnsi="Times New Roman" w:cs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а приемки (ф.</w:t>
      </w:r>
      <w:r>
        <w:rPr>
          <w:rFonts w:ascii="Times New Roman" w:hAnsi="Times New Roman" w:cs="Times New Roman"/>
          <w:sz w:val="22"/>
          <w:szCs w:val="22"/>
        </w:rPr>
        <w:t xml:space="preserve"> 0510452), Поставщик и Заказчик</w:t>
      </w:r>
      <w:r>
        <w:rPr>
          <w:rFonts w:ascii="Times New Roman" w:hAnsi="Times New Roman" w:cs="Times New Roman"/>
          <w:sz w:val="22"/>
          <w:szCs w:val="22"/>
        </w:rPr>
        <w:t xml:space="preserve"> подписывают </w:t>
      </w:r>
      <w:hyperlink r:id="rId14" w:tooltip="https://login.consultant.ru/link/?req=doc&amp;base=RZB&amp;n=465243&amp;dst=1668" w:history="1">
        <w:r>
          <w:rPr>
            <w:rFonts w:ascii="Times New Roman" w:hAnsi="Times New Roman" w:cs="Times New Roman"/>
            <w:sz w:val="22"/>
            <w:szCs w:val="22"/>
          </w:rPr>
          <w:t xml:space="preserve">Акт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приемки (ф. 0510452) в порядке и сроки, предусмотренные </w:t>
      </w:r>
      <w:hyperlink w:tooltip="#P147" w:anchor="P147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пунктами 6.2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и </w:t>
      </w:r>
      <w:hyperlink w:tooltip="#P148" w:anchor="P148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6.3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6.5. Со дня подписания </w:t>
      </w:r>
      <w:r>
        <w:rPr>
          <w:rFonts w:ascii="Times New Roman" w:hAnsi="Times New Roman" w:cs="Times New Roman"/>
          <w:sz w:val="22"/>
          <w:szCs w:val="22"/>
        </w:rPr>
        <w:t xml:space="preserve">Акта приемки и проведения экспертизы товара (работ, услуг) собственными силами</w:t>
      </w:r>
      <w:r>
        <w:rPr>
          <w:rFonts w:ascii="Times New Roman" w:hAnsi="Times New Roman" w:cs="Times New Roman"/>
          <w:sz w:val="22"/>
          <w:szCs w:val="22"/>
        </w:rPr>
        <w:t xml:space="preserve">, товарной накладной или универсального пер</w:t>
      </w:r>
      <w:r>
        <w:rPr>
          <w:rFonts w:ascii="Times New Roman" w:hAnsi="Times New Roman" w:cs="Times New Roman"/>
          <w:sz w:val="22"/>
          <w:szCs w:val="22"/>
        </w:rPr>
        <w:t xml:space="preserve">едаточного документа Заказчиком</w:t>
      </w:r>
      <w:r>
        <w:rPr>
          <w:rFonts w:ascii="Times New Roman" w:hAnsi="Times New Roman" w:cs="Times New Roman"/>
          <w:sz w:val="22"/>
          <w:szCs w:val="22"/>
        </w:rPr>
        <w:t xml:space="preserve"> риск случайной гибели, утраты или поврежден</w:t>
      </w:r>
      <w:r>
        <w:rPr>
          <w:rFonts w:ascii="Times New Roman" w:hAnsi="Times New Roman" w:cs="Times New Roman"/>
          <w:sz w:val="22"/>
          <w:szCs w:val="22"/>
        </w:rPr>
        <w:t xml:space="preserve">ия Товара переходит к Заказчику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7. Выборочная проверка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7.1. Заказчик</w:t>
      </w:r>
      <w:r>
        <w:rPr>
          <w:rFonts w:ascii="Times New Roman" w:hAnsi="Times New Roman" w:cs="Times New Roman"/>
          <w:sz w:val="22"/>
          <w:szCs w:val="22"/>
        </w:rPr>
        <w:t xml:space="preserve"> имеет право осуществлять выборочную проверку поставляемого Товара, в том числе после приемки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7.2. Выбор независимых профильных экспертных организаций по контролю кач</w:t>
      </w:r>
      <w:r>
        <w:rPr>
          <w:rFonts w:ascii="Times New Roman" w:hAnsi="Times New Roman" w:cs="Times New Roman"/>
          <w:sz w:val="22"/>
          <w:szCs w:val="22"/>
        </w:rPr>
        <w:t xml:space="preserve">ества осуществляется Заказчиком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7.3. Проверка Товара прово</w:t>
      </w:r>
      <w:r>
        <w:rPr>
          <w:rFonts w:ascii="Times New Roman" w:hAnsi="Times New Roman" w:cs="Times New Roman"/>
          <w:sz w:val="22"/>
          <w:szCs w:val="22"/>
        </w:rPr>
        <w:t xml:space="preserve">дится за счет средств Заказчика</w:t>
      </w:r>
      <w:r>
        <w:rPr>
          <w:rFonts w:ascii="Times New Roman" w:hAnsi="Times New Roman" w:cs="Times New Roman"/>
          <w:sz w:val="22"/>
          <w:szCs w:val="22"/>
        </w:rPr>
        <w:t xml:space="preserve">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7.4. Если по результатам проверки Товара определяется, что Товар не соответствует требованиям Контракта, несоответствующий условиям Контракта Товар забраковывается в объеме всей серии. При этом объем </w:t>
      </w:r>
      <w:r>
        <w:rPr>
          <w:rFonts w:ascii="Times New Roman" w:hAnsi="Times New Roman" w:cs="Times New Roman"/>
          <w:sz w:val="22"/>
          <w:szCs w:val="22"/>
        </w:rPr>
        <w:t xml:space="preserve">поставки,</w:t>
      </w:r>
      <w:r>
        <w:rPr>
          <w:rFonts w:ascii="Times New Roman" w:hAnsi="Times New Roman" w:cs="Times New Roman"/>
          <w:sz w:val="22"/>
          <w:szCs w:val="22"/>
        </w:rPr>
        <w:t xml:space="preserve"> и сумма Контракта остаются неизменными, а Поставщик обязан заменить забракованную серию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7.5. Расходы по проведению проверки Товара в случае, если по результатам проверки Товара определяется, что Товар не соответствует требованиям Контракта, несет Поставщик.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7.6. Заказчик</w:t>
      </w:r>
      <w:r>
        <w:rPr>
          <w:rFonts w:ascii="Times New Roman" w:hAnsi="Times New Roman" w:cs="Times New Roman"/>
          <w:sz w:val="22"/>
          <w:szCs w:val="22"/>
        </w:rPr>
        <w:t xml:space="preserve">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8. Гарантийные обязательства и Качество Товара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8.1. Качество Товара должно соответствовать требованиям законодательства Российской Федерации, Технических характеристик (приложение № 2 к Контракту), что подтверждается, документом, подтверждающим соответствие Товара.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8.2. Остаточный срок годности То</w:t>
      </w:r>
      <w:r>
        <w:rPr>
          <w:rFonts w:ascii="Times New Roman" w:hAnsi="Times New Roman" w:cs="Times New Roman"/>
          <w:sz w:val="22"/>
          <w:szCs w:val="22"/>
        </w:rPr>
        <w:t xml:space="preserve">вара на дату поставки Заказчику</w:t>
      </w:r>
      <w:r>
        <w:rPr>
          <w:rFonts w:ascii="Times New Roman" w:hAnsi="Times New Roman" w:cs="Times New Roman"/>
          <w:sz w:val="22"/>
          <w:szCs w:val="22"/>
        </w:rPr>
        <w:t xml:space="preserve"> должен соответствовать значению, указанному в Техничес</w:t>
      </w:r>
      <w:r>
        <w:rPr>
          <w:rFonts w:ascii="Times New Roman" w:hAnsi="Times New Roman" w:cs="Times New Roman"/>
          <w:sz w:val="22"/>
          <w:szCs w:val="22"/>
        </w:rPr>
        <w:t xml:space="preserve">ких характеристиках (Приложение № 2 к Контракту). Срок годности Товара подтверждается инструкцией по применению Товара на русском языке, а также информацией, указанной на русском языке на первичной упаковке Товара и на вторичной (потребительской) упаковке.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tabs>
          <w:tab w:val="left" w:leader="none" w:pos="62"/>
        </w:tabs>
        <w:spacing w:line="240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8.3. Поставщик гарантирует, что поставляемый Товар новый, не бывший в употреблении, свободен от прав третьих лиц, не является предметом спора, не находится в залоге, под арестом или иным обременением.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spacing w:line="240" w:lineRule="auto"/>
        <w:ind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9. Порядок расчетов </w:t>
      </w:r>
      <w:r>
        <w:rPr>
          <w:rFonts w:ascii="Times New Roman" w:hAnsi="Times New Roman" w:cs="Times New Roman"/>
          <w:b/>
          <w:sz w:val="22"/>
          <w:szCs w:val="22"/>
        </w:rPr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9.1. Оплата по Контракту осуществляется за счет средств бюджетного учреждения на 202</w:t>
      </w:r>
      <w:r>
        <w:rPr>
          <w:rFonts w:ascii="Times New Roman" w:hAnsi="Times New Roman" w:cs="Times New Roman"/>
          <w:sz w:val="22"/>
          <w:szCs w:val="22"/>
        </w:rPr>
        <w:t xml:space="preserve">6</w:t>
      </w:r>
      <w:r>
        <w:rPr>
          <w:rFonts w:ascii="Times New Roman" w:hAnsi="Times New Roman" w:cs="Times New Roman"/>
          <w:sz w:val="22"/>
          <w:szCs w:val="22"/>
        </w:rPr>
        <w:t xml:space="preserve"> г.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9.2. Оплата по Контракту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Оплата по Контракту осуществляется после исполнения Поставщиком обязательств по поставке Товара (либо - по каждому этапу поставки Товара) </w:t>
      </w:r>
      <w:bookmarkStart w:id="7" w:name="P176"/>
      <w:r>
        <w:rPr>
          <w:sz w:val="22"/>
          <w:szCs w:val="22"/>
        </w:rPr>
      </w:r>
      <w:bookmarkEnd w:id="7"/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9.3. Оплата по Контракту за поставленный Товар осуществляется Заказчиком после представления Поставщиком не позднее 5 (пяти) дней документов, предусмотренных </w:t>
      </w:r>
      <w:hyperlink w:tooltip="#P130" w:anchor="P130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пунктом 5.3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Контракта, а также документов на оплату:</w:t>
      </w:r>
      <w:bookmarkStart w:id="8" w:name="P177"/>
      <w:r>
        <w:rPr>
          <w:sz w:val="22"/>
          <w:szCs w:val="22"/>
        </w:rPr>
      </w:r>
      <w:bookmarkEnd w:id="8"/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а) счет;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б) счет-фактуру (при наличии);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в) товарную накладную или универсальный передаточный документ, составленные по форме в соответствии с законодательством Российской Федерации;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г) Сводный реестр товарных накладных на поставку Товара (при необходимости);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д) копию документа, подтверждающего соответствие качества Товара, выданного уполномоч</w:t>
      </w:r>
      <w:r>
        <w:rPr>
          <w:sz w:val="22"/>
          <w:szCs w:val="22"/>
        </w:rPr>
        <w:t xml:space="preserve">енными органами (организациями).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9.4. На всех документах, перечисленных в </w:t>
      </w:r>
      <w:hyperlink w:tooltip="#P177" w:anchor="P177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подпунктах "а"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- </w:t>
      </w:r>
      <w:hyperlink w:tooltip="#P182" w:anchor="P182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"д"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 пункта 9.3 Контракта, должны быть</w:t>
      </w:r>
      <w:r>
        <w:rPr>
          <w:rFonts w:ascii="Times New Roman" w:hAnsi="Times New Roman" w:cs="Times New Roman"/>
          <w:sz w:val="22"/>
          <w:szCs w:val="22"/>
        </w:rPr>
        <w:t xml:space="preserve"> указаны наименование Заказчика</w:t>
      </w:r>
      <w:r>
        <w:rPr>
          <w:rFonts w:ascii="Times New Roman" w:hAnsi="Times New Roman" w:cs="Times New Roman"/>
          <w:sz w:val="22"/>
          <w:szCs w:val="22"/>
        </w:rPr>
        <w:t xml:space="preserve">, Поставщика, номер и дата Контракта, даты оформления и подписания документов.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9.5. Оплата по Контракту осуществляется по факту поставки всего Товара, предусмотренного Спецификацией (приложение № 1 к Контракту), в течение 10 (десяти) рабочих дней с даты подписания Заказчиком </w:t>
      </w:r>
      <w:r>
        <w:rPr>
          <w:rFonts w:ascii="Times New Roman" w:hAnsi="Times New Roman" w:cs="Times New Roman"/>
          <w:sz w:val="22"/>
          <w:szCs w:val="22"/>
        </w:rPr>
        <w:t xml:space="preserve">Акта приемки и проведения экспертизы товара (работ, услуг) собственными силами и</w:t>
      </w:r>
      <w:r>
        <w:rPr>
          <w:rFonts w:ascii="Times New Roman" w:hAnsi="Times New Roman" w:cs="Times New Roman"/>
          <w:sz w:val="22"/>
          <w:szCs w:val="22"/>
        </w:rPr>
        <w:t xml:space="preserve"> на основании документов, предусмотренных </w:t>
      </w:r>
      <w:hyperlink w:tooltip="#P176" w:anchor="P176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пунктом 9.3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Контракта.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9.6. По окончании исполнения</w:t>
      </w:r>
      <w:r>
        <w:rPr>
          <w:rFonts w:ascii="Times New Roman" w:hAnsi="Times New Roman" w:cs="Times New Roman"/>
          <w:sz w:val="22"/>
          <w:szCs w:val="22"/>
        </w:rPr>
        <w:t xml:space="preserve"> Сторонами обязательств по Контракту в течение 30-ти дней  при необходимости Стороны подписывают Акт сверки расчетов </w:t>
      </w:r>
      <w:r>
        <w:rPr>
          <w:rFonts w:ascii="Times New Roman" w:hAnsi="Times New Roman" w:cs="Times New Roman"/>
          <w:sz w:val="22"/>
          <w:szCs w:val="22"/>
        </w:rPr>
        <w:t xml:space="preserve">(</w:t>
      </w:r>
      <w:hyperlink w:tooltip="#P692" w:anchor="P692" w:history="1">
        <w:r>
          <w:rPr>
            <w:rStyle w:val="963"/>
            <w:rFonts w:ascii="Times New Roman" w:hAnsi="Times New Roman"/>
            <w:color w:val="auto"/>
            <w:sz w:val="22"/>
            <w:szCs w:val="22"/>
            <w:u w:val="none"/>
          </w:rPr>
          <w:t xml:space="preserve">приложение № 5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к Контракту).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 Ответственность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 w14:paraId="5700F475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10.1.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Федерации. 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76F42A41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10.2. </w:t>
      </w:r>
      <w:r>
        <w:rPr>
          <w:rFonts w:eastAsia="Calibri"/>
          <w:sz w:val="22"/>
          <w:szCs w:val="22"/>
        </w:rPr>
        <w:t xml:space="preserve">Размер штрафа устанавливается Контрактом в порядке, установленном Постановлением Правительства Российской Федерации от 30.08.2017 № 1042.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463EBFCF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10.3. В случае </w:t>
      </w:r>
      <w:r>
        <w:rPr>
          <w:color w:val="000000"/>
          <w:sz w:val="22"/>
          <w:szCs w:val="22"/>
        </w:rPr>
        <w:t xml:space="preserve">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 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12480545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10.4. Пеня начисляется за каждый день просрочки исполнения Заказчиком обязательства, предусмотренного Контрактом, начиная со дня, следующего посл</w:t>
      </w:r>
      <w:r>
        <w:rPr>
          <w:color w:val="000000"/>
          <w:sz w:val="22"/>
          <w:szCs w:val="22"/>
        </w:rPr>
        <w:t xml:space="preserve">е дня истечения установленного Контрактом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3626C4C4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10.5. За каждый факт неисполнения Заказчиком обязательств, предусмотренных настоящим Контрактом, за исключением просрочки исполнения обязательств, предусмотренных настоящим Контрактом, Поставщик вправе взыскать с Заказчика штраф в размере 1000 рублей.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3E653134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10.6. Общая сумма начисленных штрафов за неисполнение или ненадлежащее исполнение Заказчиком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45FC969B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10.7. В случае нарушения Поставщиком срока предоставления документов, предусмотренного пунктом 9.3. Контракта, Заказчик не несет ответственность, установленную пунктами 10.3 – 10.5 Контракта.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114E59D5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10.8. В случае просрочки исполн</w:t>
      </w:r>
      <w:r>
        <w:rPr>
          <w:color w:val="000000"/>
          <w:sz w:val="22"/>
          <w:szCs w:val="22"/>
        </w:rPr>
        <w:t xml:space="preserve">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5B64CE1F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10.9. Пеня начисляется за каждый день просрочки исполнения Поставщиком обязательства, предусмотренного Контрактом, в </w:t>
      </w:r>
      <w:r>
        <w:rPr>
          <w:color w:val="000000"/>
          <w:sz w:val="22"/>
          <w:szCs w:val="22"/>
        </w:rPr>
        <w:t xml:space="preserve">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2EE779C9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10.10.</w:t>
      </w: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За каждый факт неисполнения или ненадлежащего испо</w:t>
      </w:r>
      <w:r>
        <w:rPr>
          <w:color w:val="000000"/>
          <w:sz w:val="22"/>
          <w:szCs w:val="22"/>
        </w:rPr>
        <w:t xml:space="preserve">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Поставщик выплачивает Заказчику штраф в размере 10 процентов цены Контракта.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7C1E0513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Поставщик выплачивает Заказчику штраф в размере 1000 рублей.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 w14:paraId="6942B877">
      <w:pPr>
        <w:widowControl w:val="false"/>
        <w:pBdr/>
        <w:spacing w:line="240" w:lineRule="auto"/>
        <w:ind w:firstLine="567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10.12.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11. Порядок урегулирования споров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11.1. Стороны настоящего Контракта должны приложить все усилия, чтобы разрешить путем переговоров все противоречия или спорные вопросы, возникающие между ними</w:t>
      </w:r>
      <w:r>
        <w:rPr>
          <w:sz w:val="22"/>
          <w:szCs w:val="22"/>
        </w:rPr>
        <w:t xml:space="preserve"> в рамках настоящего Контракта или в связи с ним. Для реализации этого порядка заинтересованная Сторона должна обратиться с письменной претензией к другой Стороне. Срок рассмотрения претензии Сторонами составляет 10 календарных дней с момента ее получения.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11.2.В случае невозможности разрешения разногласий путем переговоров спор передается на рассмотрение   Арбитражного суда Хабаровского края.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12. Обстоятельства непреодолимой силы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12.1. 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</w:t>
      </w:r>
      <w:r>
        <w:rPr>
          <w:sz w:val="22"/>
          <w:szCs w:val="22"/>
        </w:rPr>
        <w:t xml:space="preserve">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</w:t>
      </w:r>
      <w:r>
        <w:rPr>
          <w:sz w:val="22"/>
          <w:szCs w:val="22"/>
        </w:rPr>
        <w:t xml:space="preserve"> подтвержденных в установленном законодательством порядке,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</w:t>
      </w:r>
      <w:r>
        <w:rPr>
          <w:sz w:val="22"/>
          <w:szCs w:val="22"/>
        </w:rPr>
        <w:t xml:space="preserve">.2.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постольку, поскольку эти обстоятельства значительно влияют на исполнение настоящего контракта в срок.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12.3. Сторона, для которой надлежащее исполнение обязательств оказало</w:t>
      </w:r>
      <w:r>
        <w:rPr>
          <w:sz w:val="22"/>
          <w:szCs w:val="22"/>
        </w:rPr>
        <w:t xml:space="preserve">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12.4. Если обстоятельства, ука</w:t>
      </w:r>
      <w:r>
        <w:rPr>
          <w:sz w:val="22"/>
          <w:szCs w:val="22"/>
        </w:rPr>
        <w:t xml:space="preserve">занные в п.12.1 настоящего контракта, будут длиться более 2 (двух)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12.5. Не уведомлен</w:t>
      </w:r>
      <w:r>
        <w:rPr>
          <w:sz w:val="22"/>
          <w:szCs w:val="22"/>
        </w:rPr>
        <w:t xml:space="preserve">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/>
        <w:contextualSpacing w:val="true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1</w:t>
      </w:r>
      <w:r>
        <w:rPr>
          <w:b/>
          <w:color w:val="000000"/>
          <w:sz w:val="22"/>
          <w:szCs w:val="22"/>
        </w:rPr>
        <w:t xml:space="preserve">3</w:t>
      </w:r>
      <w:r>
        <w:rPr>
          <w:b/>
          <w:color w:val="000000"/>
          <w:sz w:val="22"/>
          <w:szCs w:val="22"/>
        </w:rPr>
        <w:t xml:space="preserve">. Антикоррупционная оговорка</w:t>
      </w:r>
      <w:r>
        <w:rPr>
          <w:b/>
          <w:color w:val="000000"/>
          <w:sz w:val="22"/>
          <w:szCs w:val="22"/>
        </w:rPr>
      </w:r>
      <w:r>
        <w:rPr>
          <w:b/>
          <w:color w:val="000000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</w:t>
      </w:r>
      <w:r>
        <w:rPr>
          <w:rFonts w:ascii="Times New Roman" w:hAnsi="Times New Roman" w:cs="Times New Roman"/>
          <w:sz w:val="22"/>
          <w:szCs w:val="22"/>
        </w:rPr>
        <w:t xml:space="preserve">3</w:t>
      </w:r>
      <w:r>
        <w:rPr>
          <w:rFonts w:ascii="Times New Roman" w:hAnsi="Times New Roman" w:cs="Times New Roman"/>
          <w:sz w:val="22"/>
          <w:szCs w:val="22"/>
        </w:rPr>
        <w:t xml:space="preserve">.1. При исполнении своих обязательств по настоящему контракту Стороны, их аффилированные лица, работники или посредники не выплачивают, н</w:t>
      </w:r>
      <w:r>
        <w:rPr>
          <w:rFonts w:ascii="Times New Roman" w:hAnsi="Times New Roman" w:cs="Times New Roman"/>
          <w:sz w:val="22"/>
          <w:szCs w:val="22"/>
        </w:rPr>
        <w:t xml:space="preserve">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</w:t>
      </w:r>
      <w:r>
        <w:rPr>
          <w:rFonts w:ascii="Times New Roman" w:hAnsi="Times New Roman" w:cs="Times New Roman"/>
          <w:sz w:val="22"/>
          <w:szCs w:val="22"/>
        </w:rPr>
        <w:t xml:space="preserve">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применимым для целей настоящего </w:t>
      </w:r>
      <w:r>
        <w:rPr>
          <w:rFonts w:ascii="Times New Roman" w:hAnsi="Times New Roman" w:cs="Times New Roman"/>
          <w:sz w:val="22"/>
          <w:szCs w:val="22"/>
        </w:rPr>
        <w:t xml:space="preserve">контракта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</w:t>
      </w:r>
      <w:r>
        <w:rPr>
          <w:rFonts w:ascii="Times New Roman" w:hAnsi="Times New Roman" w:cs="Times New Roman"/>
          <w:sz w:val="22"/>
          <w:szCs w:val="22"/>
        </w:rPr>
        <w:t xml:space="preserve">.3. 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</w:t>
      </w:r>
      <w:r>
        <w:rPr>
          <w:rFonts w:ascii="Times New Roman" w:hAnsi="Times New Roman" w:cs="Times New Roman"/>
          <w:sz w:val="22"/>
          <w:szCs w:val="22"/>
        </w:rPr>
        <w:t xml:space="preserve">ме. После письменного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письменного уведомления.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59"/>
        <w:pBdr/>
        <w:spacing w:line="240" w:lineRule="auto"/>
        <w:ind w:firstLine="567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13</w:t>
      </w:r>
      <w:r>
        <w:rPr>
          <w:rFonts w:ascii="Times New Roman" w:hAnsi="Times New Roman" w:cs="Times New Roman"/>
          <w:sz w:val="22"/>
          <w:szCs w:val="22"/>
        </w:rPr>
        <w:t xml:space="preserve">.4. В письменном уведомлении Сторона обязана сослаться на обоснованные факты или предоставить материалы,</w:t>
      </w:r>
      <w:r>
        <w:rPr>
          <w:rFonts w:ascii="Times New Roman" w:hAnsi="Times New Roman" w:cs="Times New Roman"/>
          <w:sz w:val="22"/>
          <w:szCs w:val="22"/>
        </w:rPr>
        <w:t xml:space="preserve">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</w:t>
      </w:r>
      <w:r>
        <w:rPr>
          <w:rFonts w:ascii="Times New Roman" w:hAnsi="Times New Roman" w:cs="Times New Roman"/>
          <w:sz w:val="22"/>
          <w:szCs w:val="22"/>
        </w:rPr>
        <w:t xml:space="preserve">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972"/>
        <w:pBdr/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</w:t>
      </w:r>
      <w:r>
        <w:rPr>
          <w:rFonts w:ascii="Times New Roman" w:hAnsi="Times New Roman"/>
          <w:sz w:val="22"/>
          <w:szCs w:val="22"/>
        </w:rPr>
        <w:t xml:space="preserve">.5. В случае нарушения одной Стороной обязательств воздерживаться от запрещенных в разделах настоящего контракта действий и (или) неполучения другой Стороно</w:t>
      </w:r>
      <w:r>
        <w:rPr>
          <w:rFonts w:ascii="Times New Roman" w:hAnsi="Times New Roman"/>
          <w:sz w:val="22"/>
          <w:szCs w:val="22"/>
        </w:rPr>
        <w:t xml:space="preserve">й в установленный настоящим контрактом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972"/>
        <w:pBdr/>
        <w:spacing w:line="240" w:lineRule="auto"/>
        <w:ind w:firstLine="567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13</w:t>
      </w:r>
      <w:r>
        <w:rPr>
          <w:rFonts w:ascii="Times New Roman" w:hAnsi="Times New Roman"/>
          <w:sz w:val="22"/>
          <w:szCs w:val="22"/>
        </w:rPr>
        <w:t xml:space="preserve">.6. Стороны гарантируют осуществление надлежащего разбирательства по фактам нарушения положений настоящего раздела контракта и применение эффективных мер по предотвращению возможных конфликтных ситуаций.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  <w:r>
        <w:rPr>
          <w:color w:val="000000"/>
          <w:sz w:val="22"/>
          <w:szCs w:val="22"/>
        </w:rPr>
      </w:r>
    </w:p>
    <w:p>
      <w:pPr>
        <w:widowControl w:val="false"/>
        <w:pBdr/>
        <w:spacing w:line="240" w:lineRule="auto"/>
        <w:ind/>
        <w:contextualSpacing w:val="true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4</w:t>
      </w:r>
      <w:r>
        <w:rPr>
          <w:b/>
          <w:sz w:val="22"/>
          <w:szCs w:val="22"/>
        </w:rPr>
        <w:t xml:space="preserve">. Изменение и расторжение Контракта 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</w:t>
      </w:r>
      <w:r>
        <w:rPr>
          <w:sz w:val="22"/>
          <w:szCs w:val="22"/>
        </w:rPr>
        <w:t xml:space="preserve">4</w:t>
      </w:r>
      <w:r>
        <w:rPr>
          <w:sz w:val="22"/>
          <w:szCs w:val="22"/>
        </w:rPr>
        <w:t xml:space="preserve">.1. Все изменения Контракта должны быть совершены в письменном виде и оформлены дополнительными соглашениями к Контракту.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.2. Настоящий контракт может быть расторгнут: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.2.1. по соглашению Сторон;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.2.2. в судебном порядке.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.3. Заказчик вправе принять решение об одностороннем отказе от исполнения контракта в следующих случаях: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.3.1. При существенном нарушении условий контракта Поставщиком.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.3.2. В случае просрочки срока поставки товара. 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.3.3. В иных случаях, предусмотренных действующим законодательством.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</w:t>
      </w:r>
      <w:r>
        <w:rPr>
          <w:sz w:val="22"/>
          <w:szCs w:val="22"/>
        </w:rPr>
        <w:t xml:space="preserve">4. Расторжение</w:t>
      </w:r>
      <w:r>
        <w:rPr>
          <w:sz w:val="22"/>
          <w:szCs w:val="22"/>
        </w:rPr>
        <w:t xml:space="preserve"> контракта по соглашению Сторон производится Сторонами путем подписания соответствующего соглашения о расторжении.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14</w:t>
      </w:r>
      <w:r>
        <w:rPr>
          <w:sz w:val="22"/>
          <w:szCs w:val="22"/>
        </w:rPr>
        <w:t xml:space="preserve">.5. Исполнитель не вправе принять решение об одностороннем расторжении настоящего контракта, если Заказчиком не нарушаются условия настоящего контракта.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/>
        <w:contextualSpacing w:val="true"/>
        <w:jc w:val="center"/>
        <w:outlineLvl w:val="1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15</w:t>
      </w:r>
      <w:r>
        <w:rPr>
          <w:b/>
          <w:sz w:val="22"/>
          <w:szCs w:val="22"/>
        </w:rPr>
        <w:t xml:space="preserve">. Исключительные права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</w:t>
      </w:r>
      <w:r>
        <w:rPr>
          <w:sz w:val="22"/>
          <w:szCs w:val="22"/>
        </w:rPr>
        <w:t xml:space="preserve">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15</w:t>
      </w:r>
      <w:r>
        <w:rPr>
          <w:sz w:val="22"/>
          <w:szCs w:val="22"/>
        </w:rPr>
        <w:t xml:space="preserve">.2. Все убытки, понесенные Заказчиком в случае нарушения исключительных прав третьих лиц на результаты интеллектуа</w:t>
      </w:r>
      <w:r>
        <w:rPr>
          <w:sz w:val="22"/>
          <w:szCs w:val="22"/>
        </w:rPr>
        <w:t xml:space="preserve">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16</w:t>
      </w:r>
      <w:r>
        <w:rPr>
          <w:b/>
          <w:sz w:val="22"/>
          <w:szCs w:val="22"/>
        </w:rPr>
        <w:t xml:space="preserve">. Уведомления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</w:t>
      </w:r>
      <w:r>
        <w:rPr>
          <w:sz w:val="22"/>
          <w:szCs w:val="22"/>
        </w:rPr>
        <w:t xml:space="preserve">.1.Все уведомления Сторон, связанные с исполнением настоящего Контракта, направляются в письменной форме по почте заказным письмом по фактическому </w:t>
      </w:r>
      <w:r>
        <w:rPr>
          <w:sz w:val="22"/>
          <w:szCs w:val="22"/>
        </w:rPr>
        <w:t xml:space="preserve">адресу Стороны, указанному в настоящем Контракте, а также могут быть направлены с использованием факсимильной связи, электронной почты с последующим представлением оригинала или электронно-цифровой форме, подписанные квалифицированной электронной подписью.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16</w:t>
      </w:r>
      <w:r>
        <w:rPr>
          <w:sz w:val="22"/>
          <w:szCs w:val="22"/>
        </w:rPr>
        <w:t xml:space="preserve">.2. В случае направления уведомлений с использованием почты уведомления считаются полученными Ст</w:t>
      </w:r>
      <w:r>
        <w:rPr>
          <w:sz w:val="22"/>
          <w:szCs w:val="22"/>
        </w:rPr>
        <w:t xml:space="preserve">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отправки, при условии подтверждения получения уведом</w:t>
      </w:r>
      <w:r>
        <w:rPr>
          <w:sz w:val="22"/>
          <w:szCs w:val="22"/>
        </w:rPr>
        <w:t xml:space="preserve">ления противоположной Стороной.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709"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</w:t>
      </w:r>
      <w:r>
        <w:rPr>
          <w:b/>
          <w:sz w:val="22"/>
          <w:szCs w:val="22"/>
        </w:rPr>
        <w:t xml:space="preserve">7</w:t>
      </w:r>
      <w:r>
        <w:rPr>
          <w:b/>
          <w:sz w:val="22"/>
          <w:szCs w:val="22"/>
        </w:rPr>
        <w:t xml:space="preserve">. Заключительные положения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.1. Контракт вступает в силу с момента заключения и действует до 31.12.202</w:t>
      </w:r>
      <w:r>
        <w:rPr>
          <w:sz w:val="22"/>
          <w:szCs w:val="22"/>
        </w:rPr>
        <w:t xml:space="preserve">6 </w:t>
      </w:r>
      <w:r>
        <w:rPr>
          <w:sz w:val="22"/>
          <w:szCs w:val="22"/>
        </w:rPr>
        <w:t xml:space="preserve">г, а в части расчетов и гарантийных обязательств – до полного их исполнения сторонами.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.2. Настоящий Контракт составлен в 2 (двух) экземплярах, имеющих одинаковую юридическую силу, по одному экземпляру для каждой из Сторон.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.3. Все адреса и р</w:t>
      </w:r>
      <w:r>
        <w:rPr>
          <w:sz w:val="22"/>
          <w:szCs w:val="22"/>
        </w:rPr>
        <w:t xml:space="preserve">еквизиты, указанные в разделе 18</w:t>
      </w:r>
      <w:r>
        <w:rPr>
          <w:sz w:val="22"/>
          <w:szCs w:val="22"/>
        </w:rPr>
        <w:t xml:space="preserve"> настоящего Контракта, являютс</w:t>
      </w:r>
      <w:r>
        <w:rPr>
          <w:sz w:val="22"/>
          <w:szCs w:val="22"/>
        </w:rPr>
        <w:t xml:space="preserve">я действующими. Иных адресов для направления почтовой корреспонденции Стороны не имеют. Об изменении адреса для почтовой   корреспонденции и (или) банковских реквизитов Сторона сообщает другой Стороне в течение 3 (трех) рабочих дней с момента их изменения.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.4. Условия настоящего Контракта, дополнительных соглашений к нему и иная информация, полученная сторонами в соответствии с контрактом, носит конфиденциальный характер и разглашению не подлежит.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 Все Приложения к Контракту являются его неотъемлемыми частями, а именно: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.5.1. Приложение № 1 – Спецификация;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.5.2. Приложение № 2 – Технические характеристики;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.5.3. Приложение № 3 -  Отгрузочная разнарядка (План распределения); 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.5.4. Приложение № 4 -  Сводный реестр товарных накладных на поставку Товара;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widowControl w:val="false"/>
        <w:pBdr/>
        <w:spacing w:line="240" w:lineRule="auto"/>
        <w:ind w:firstLine="567"/>
        <w:contextualSpacing w:val="true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17</w:t>
      </w:r>
      <w:r>
        <w:rPr>
          <w:sz w:val="22"/>
          <w:szCs w:val="22"/>
        </w:rPr>
        <w:t xml:space="preserve">.5.5. Приложение № 5 -  Акт сверки расчетов.</w:t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pBdr/>
        <w:spacing w:line="240" w:lineRule="auto"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 w:line="240" w:lineRule="auto"/>
        <w:ind/>
        <w:contextualSpacing w:val="true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18</w:t>
      </w:r>
      <w:r>
        <w:rPr>
          <w:b/>
          <w:sz w:val="22"/>
          <w:szCs w:val="22"/>
        </w:rPr>
        <w:t xml:space="preserve">. Банковские реквизиты и подписи сторон</w:t>
      </w:r>
      <w:r>
        <w:rPr>
          <w:b/>
          <w:sz w:val="22"/>
          <w:szCs w:val="22"/>
        </w:rPr>
      </w:r>
      <w:r>
        <w:rPr>
          <w:b/>
          <w:sz w:val="22"/>
          <w:szCs w:val="22"/>
        </w:rPr>
      </w:r>
    </w:p>
    <w:p>
      <w:pPr>
        <w:pBdr/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4977" w:type="pct"/>
        <w:tblBorders/>
        <w:tblLook w:val="01E0" w:firstRow="1" w:lastRow="1" w:firstColumn="1" w:lastColumn="1" w:noHBand="0" w:noVBand="0"/>
      </w:tblPr>
      <w:tblGrid>
        <w:gridCol w:w="5353"/>
        <w:gridCol w:w="5021"/>
      </w:tblGrid>
      <w:tr>
        <w:trPr/>
        <w:tc>
          <w:tcPr>
            <w:tcBorders/>
            <w:tcW w:w="5353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Заказчик: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ФГБОУ ВО ДВГМУ Минздрава России </w:t>
            </w:r>
            <w:r>
              <w:rPr>
                <w:b/>
                <w:sz w:val="22"/>
                <w:szCs w:val="22"/>
              </w:rPr>
            </w:r>
            <w:r>
              <w:rPr>
                <w:b/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Юридический/почтовый адрес: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680000, Хабаровский край, г. Хабаровск, 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ул.  Муравьева-Амурского, д. 35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Тел./факс (4212) 32-55-92, 34-66-20.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 xml:space="preserve">e</w:t>
            </w:r>
            <w:r>
              <w:rPr>
                <w:sz w:val="22"/>
                <w:szCs w:val="22"/>
                <w:lang w:val="en-US"/>
              </w:rPr>
              <w:t xml:space="preserve">-</w:t>
            </w:r>
            <w:r>
              <w:rPr>
                <w:sz w:val="22"/>
                <w:szCs w:val="22"/>
                <w:lang w:val="en-US"/>
              </w:rPr>
              <w:t xml:space="preserve">mail</w:t>
            </w:r>
            <w:r>
              <w:rPr>
                <w:sz w:val="22"/>
                <w:szCs w:val="22"/>
                <w:lang w:val="en-US"/>
              </w:rPr>
              <w:t xml:space="preserve">: </w:t>
            </w:r>
            <w:r>
              <w:rPr>
                <w:sz w:val="22"/>
                <w:szCs w:val="22"/>
                <w:lang w:val="en-US"/>
              </w:rPr>
              <w:t xml:space="preserve">snab</w:t>
            </w:r>
            <w:r>
              <w:rPr>
                <w:sz w:val="22"/>
                <w:szCs w:val="22"/>
                <w:lang w:val="en-US"/>
              </w:rPr>
              <w:t xml:space="preserve">@</w:t>
            </w:r>
            <w:r>
              <w:rPr>
                <w:sz w:val="22"/>
                <w:szCs w:val="22"/>
                <w:lang w:val="en-US"/>
              </w:rPr>
              <w:t xml:space="preserve">m</w:t>
            </w:r>
            <w:r>
              <w:rPr>
                <w:sz w:val="22"/>
                <w:szCs w:val="22"/>
              </w:rPr>
              <w:t xml:space="preserve">а</w:t>
            </w:r>
            <w:r>
              <w:rPr>
                <w:sz w:val="22"/>
                <w:szCs w:val="22"/>
                <w:lang w:val="en-US"/>
              </w:rPr>
              <w:t xml:space="preserve">il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fesmu</w:t>
            </w:r>
            <w:r>
              <w:rPr>
                <w:sz w:val="22"/>
                <w:szCs w:val="22"/>
                <w:lang w:val="en-US"/>
              </w:rPr>
              <w:t xml:space="preserve">.</w:t>
            </w:r>
            <w:r>
              <w:rPr>
                <w:sz w:val="22"/>
                <w:szCs w:val="22"/>
                <w:lang w:val="en-US"/>
              </w:rPr>
              <w:t xml:space="preserve">ru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ИНН 2721020896 КПП 272101001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УФК по Приморскому краю (ФГБОУ ВО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ДВГМУ Минздрава России ЛС 20226Х51140,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</w:rPr>
            </w:r>
          </w:p>
          <w:p w14:paraId="09A2DDA1"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</w:rPr>
              <w:t xml:space="preserve">ЛС 22226Х51140)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ОКЦ №1 ДГУ Банка России//УФК по Приморскому краю г. Владивосток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БИК 010507002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Номер счета банка получателя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(Единый казначейский счет) 40102810545370000012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  <w:highlight w:val="white"/>
              </w:rPr>
            </w:pPr>
            <w:r>
              <w:rPr>
                <w:sz w:val="22"/>
                <w:szCs w:val="22"/>
                <w:highlight w:val="white"/>
              </w:rPr>
              <w:t xml:space="preserve">Номер счета получателя</w:t>
            </w:r>
            <w:r>
              <w:rPr>
                <w:sz w:val="22"/>
                <w:szCs w:val="22"/>
                <w:highlight w:val="white"/>
              </w:rPr>
            </w:r>
            <w:r>
              <w:rPr>
                <w:sz w:val="22"/>
                <w:szCs w:val="22"/>
                <w:highlight w:val="white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highlight w:val="white"/>
              </w:rPr>
              <w:t xml:space="preserve">(казначейский счет) 03214643000000012006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tabs>
                <w:tab w:val="left" w:leader="none" w:pos="708"/>
              </w:tabs>
              <w:spacing/>
              <w:ind/>
              <w:contextualSpacing w:val="tru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Должность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____________________/</w:t>
            </w:r>
            <w:r>
              <w:rPr>
                <w:sz w:val="22"/>
                <w:szCs w:val="22"/>
              </w:rPr>
              <w:t xml:space="preserve">_________________</w:t>
            </w:r>
            <w:r>
              <w:rPr>
                <w:sz w:val="22"/>
                <w:szCs w:val="22"/>
              </w:rPr>
              <w:t xml:space="preserve">/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Подпись, печать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</w:tc>
        <w:tc>
          <w:tcPr>
            <w:tcBorders/>
            <w:tcW w:w="5021" w:type="dxa"/>
            <w:textDirection w:val="lrTb"/>
            <w:noWrap w:val="false"/>
          </w:tcPr>
          <w:tbl>
            <w:tblPr>
              <w:tblW w:w="4689" w:type="dxa"/>
              <w:tblBorders/>
              <w:tblLook w:val="01E0" w:firstRow="1" w:lastRow="1" w:firstColumn="1" w:lastColumn="1" w:noHBand="0" w:noVBand="0"/>
            </w:tblPr>
            <w:tblGrid>
              <w:gridCol w:w="4689"/>
            </w:tblGrid>
            <w:tr>
              <w:trPr>
                <w:trHeight w:val="1281"/>
              </w:trPr>
              <w:tc>
                <w:tcPr>
                  <w:tcBorders/>
                  <w:tcW w:w="468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Поставщик:</w:t>
                  </w:r>
                  <w:r>
                    <w:rPr>
                      <w:b/>
                      <w:sz w:val="22"/>
                      <w:szCs w:val="22"/>
                    </w:rPr>
                  </w:r>
                  <w:r>
                    <w:rPr>
                      <w:b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  <w:r>
                    <w:rPr>
                      <w:b/>
                      <w:bCs/>
                      <w:iCs/>
                      <w:spacing w:val="-6"/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Должность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69"/>
              </w:trPr>
              <w:tc>
                <w:tcPr>
                  <w:tcBorders/>
                  <w:tcW w:w="468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pBdr/>
                    <w:spacing/>
                    <w:ind/>
                    <w:jc w:val="both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__________________ /</w:t>
                  </w:r>
                  <w:r>
                    <w:rPr>
                      <w:sz w:val="22"/>
                      <w:szCs w:val="22"/>
                    </w:rPr>
                    <w:t xml:space="preserve"> </w:t>
                  </w:r>
                  <w:r>
                    <w:rPr>
                      <w:sz w:val="22"/>
                      <w:szCs w:val="22"/>
                    </w:rPr>
                    <w:t xml:space="preserve">___________________</w:t>
                  </w:r>
                  <w:r>
                    <w:rPr>
                      <w:sz w:val="22"/>
                      <w:szCs w:val="22"/>
                      <w:lang w:eastAsia="ar-SA"/>
                    </w:rPr>
                    <w:t xml:space="preserve"> /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rPr>
                <w:trHeight w:val="213"/>
              </w:trPr>
              <w:tc>
                <w:tcPr>
                  <w:tcBorders/>
                  <w:tcW w:w="4689" w:type="dxa"/>
                  <w:textDirection w:val="lrTb"/>
                  <w:noWrap w:val="false"/>
                </w:tcPr>
                <w:p>
                  <w:pPr>
                    <w:pBdr/>
                    <w:spacing/>
                    <w:ind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 xml:space="preserve">Подпись, печать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</w:tbl>
          <w:p>
            <w:pPr>
              <w:pBdr/>
              <w:spacing/>
              <w:ind/>
              <w:rPr>
                <w:sz w:val="22"/>
                <w:szCs w:val="22"/>
              </w:rPr>
            </w:pP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  <w:lang w:eastAsia="ar-SA"/>
              </w:rPr>
            </w:r>
            <w:r>
              <w:rPr>
                <w:sz w:val="22"/>
                <w:szCs w:val="22"/>
              </w:rPr>
            </w:r>
          </w:p>
        </w:tc>
      </w:tr>
    </w:tbl>
    <w:p>
      <w:pPr>
        <w:widowControl w:val="false"/>
        <w:pBdr/>
        <w:tabs>
          <w:tab w:val="left" w:leader="none" w:pos="9923"/>
        </w:tabs>
        <w:spacing/>
        <w:ind/>
        <w:contextualSpacing w:val="true"/>
        <w:outlineLvl w:val="1"/>
        <w:rPr>
          <w:sz w:val="20"/>
          <w:szCs w:val="20"/>
        </w:rPr>
        <w:sectPr>
          <w:footnotePr/>
          <w:endnotePr/>
          <w:type w:val="nextPage"/>
          <w:pgSz w:h="16838" w:orient="portrait" w:w="11906"/>
          <w:pgMar w:top="568" w:right="566" w:bottom="851" w:left="1134" w:header="708" w:footer="708" w:gutter="0"/>
          <w:cols w:num="1" w:sep="0" w:space="708" w:equalWidth="1"/>
        </w:sect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Приложение № 1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</w:t>
      </w:r>
      <w:r>
        <w:rPr>
          <w:sz w:val="20"/>
          <w:szCs w:val="20"/>
        </w:rPr>
        <w:t xml:space="preserve"> Контракту № </w:t>
      </w:r>
      <w:r>
        <w:rPr>
          <w:sz w:val="20"/>
          <w:szCs w:val="20"/>
        </w:rPr>
        <w:t xml:space="preserve">______</w:t>
      </w:r>
      <w:r>
        <w:rPr>
          <w:sz w:val="20"/>
          <w:szCs w:val="20"/>
        </w:rPr>
        <w:t xml:space="preserve"> от "______" ___________ 202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г.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СПЕЦИФИКАЦИЯ </w:t>
      </w:r>
      <w:r>
        <w:rPr>
          <w:b/>
          <w:color w:val="000000" w:themeColor="text1"/>
          <w:sz w:val="20"/>
          <w:szCs w:val="20"/>
        </w:rPr>
      </w:r>
      <w:r>
        <w:rPr>
          <w:b/>
          <w:color w:val="000000" w:themeColor="text1"/>
          <w:sz w:val="20"/>
          <w:szCs w:val="20"/>
        </w:rPr>
      </w:r>
    </w:p>
    <w:p>
      <w:pPr>
        <w:pBdr/>
        <w:spacing/>
        <w:ind/>
        <w:contextualSpacing w:val="true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</w:r>
      <w:r>
        <w:rPr>
          <w:b/>
          <w:color w:val="000000" w:themeColor="text1"/>
          <w:sz w:val="20"/>
          <w:szCs w:val="20"/>
        </w:rPr>
      </w:r>
      <w:r>
        <w:rPr>
          <w:b/>
          <w:color w:val="000000" w:themeColor="text1"/>
          <w:sz w:val="20"/>
          <w:szCs w:val="20"/>
        </w:rPr>
      </w:r>
    </w:p>
    <w:tbl>
      <w:tblPr>
        <w:tblInd w:w="675" w:type="dxa"/>
        <w:tblW w:w="14742" w:type="dxa"/>
        <w:tblBorders/>
        <w:tblLayout w:type="fixed"/>
        <w:tblLook w:val="04A0" w:firstRow="1" w:lastRow="0" w:firstColumn="1" w:lastColumn="0" w:noHBand="0" w:noVBand="1"/>
      </w:tblPr>
      <w:tblGrid>
        <w:gridCol w:w="709"/>
        <w:gridCol w:w="3119"/>
        <w:gridCol w:w="1984"/>
        <w:gridCol w:w="1734"/>
        <w:gridCol w:w="1276"/>
        <w:gridCol w:w="851"/>
        <w:gridCol w:w="1384"/>
        <w:gridCol w:w="1701"/>
        <w:gridCol w:w="1984"/>
      </w:tblGrid>
      <w:tr>
        <w:trPr>
          <w:trHeight w:val="20"/>
          <w:tblHeader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№ п/п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1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Наименование Товара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 (с указанием количества единиц в  упаковке)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Код позиции каталога товаров, работ, услуг для обеспечения государственных и муниципальных нужд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Наименование страны происхождения Товара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ОКПД2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Единицы измерения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Количество в единицах измерения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Цена за единицу измерения, руб.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 xml:space="preserve">Стоимость, руб.</w:t>
            </w:r>
            <w:r>
              <w:rPr>
                <w:b/>
                <w:color w:val="000000" w:themeColor="text1"/>
                <w:sz w:val="20"/>
                <w:szCs w:val="20"/>
              </w:rPr>
            </w:r>
            <w:r>
              <w:rPr>
                <w:b/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0"/>
          <w:tblHeader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1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311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2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3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3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4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5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3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7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8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84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9</w:t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tcW w:w="709" w:type="dxa"/>
            <w:textDirection w:val="lrTb"/>
            <w:noWrap w:val="false"/>
          </w:tcPr>
          <w:p>
            <w:pPr>
              <w:numPr>
                <w:ilvl w:val="0"/>
                <w:numId w:val="2"/>
              </w:numPr>
              <w:pBdr/>
              <w:spacing w:after="200" w:line="276" w:lineRule="auto"/>
              <w:ind/>
              <w:contextualSpacing w:val="true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3119" w:type="dxa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  <w:r>
              <w:rPr>
                <w:sz w:val="20"/>
                <w:szCs w:val="20"/>
                <w:shd w:val="clear" w:color="auto" w:fill="ffffff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3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  <w:r>
              <w:rPr>
                <w:sz w:val="20"/>
                <w:szCs w:val="20"/>
                <w:lang w:eastAsia="en-US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32.99.53.121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3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70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gridSpan w:val="8"/>
            <w:shd w:val="clear" w:color="auto" w:fill="auto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275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right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ИТОГО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tcW w:w="198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widowControl w:val="false"/>
        <w:pBdr/>
        <w:tabs>
          <w:tab w:val="left" w:leader="none" w:pos="9923"/>
        </w:tabs>
        <w:spacing/>
        <w:ind/>
        <w:jc w:val="both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  <w:r>
        <w:rPr>
          <w:color w:val="000000" w:themeColor="text1"/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rPr>
          <w:b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Ц</w:t>
      </w:r>
      <w:r>
        <w:rPr>
          <w:color w:val="000000" w:themeColor="text1"/>
          <w:sz w:val="20"/>
          <w:szCs w:val="20"/>
        </w:rPr>
        <w:t xml:space="preserve">ена Контракта составляет </w:t>
      </w:r>
      <w:r>
        <w:rPr>
          <w:b/>
          <w:sz w:val="20"/>
          <w:szCs w:val="20"/>
        </w:rPr>
        <w:t xml:space="preserve">______________________</w:t>
      </w:r>
      <w:r>
        <w:rPr>
          <w:b/>
          <w:sz w:val="20"/>
          <w:szCs w:val="20"/>
        </w:rPr>
        <w:t xml:space="preserve">  </w:t>
      </w:r>
      <w:r>
        <w:rPr>
          <w:sz w:val="20"/>
        </w:rPr>
        <w:t xml:space="preserve">(________________________) рублей </w:t>
      </w:r>
      <w:r>
        <w:rPr>
          <w:b/>
          <w:sz w:val="20"/>
        </w:rPr>
        <w:t xml:space="preserve">___</w:t>
      </w:r>
      <w:r>
        <w:rPr>
          <w:sz w:val="20"/>
        </w:rPr>
        <w:t xml:space="preserve"> копеек</w:t>
      </w:r>
      <w:r>
        <w:rPr>
          <w:sz w:val="20"/>
        </w:rPr>
        <w:t xml:space="preserve">, </w:t>
      </w:r>
      <w:r>
        <w:rPr>
          <w:sz w:val="20"/>
        </w:rPr>
        <w:t xml:space="preserve">в</w:t>
      </w:r>
      <w:r>
        <w:rPr>
          <w:sz w:val="20"/>
        </w:rPr>
        <w:t xml:space="preserve"> том числе НДС - _________________ / либо НДС – не облагается</w:t>
      </w:r>
      <w:r>
        <w:rPr>
          <w:b/>
          <w:sz w:val="20"/>
        </w:rPr>
        <w:t xml:space="preserve">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8326"/>
        <w:gridCol w:w="7164"/>
      </w:tblGrid>
      <w:tr>
        <w:trPr>
          <w:trHeight w:val="470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/>
            <w:bookmarkStart w:id="9" w:name="P365"/>
            <w:r/>
            <w:bookmarkEnd w:id="9"/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5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/_____________/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_____________</w:t>
            </w:r>
            <w:r>
              <w:rPr>
                <w:sz w:val="20"/>
                <w:szCs w:val="20"/>
                <w:lang w:eastAsia="ar-SA"/>
              </w:rPr>
              <w:t xml:space="preserve"> 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tcBorders/>
            <w:tcW w:w="8326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7164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widowControl w:val="false"/>
        <w:pBdr/>
        <w:tabs>
          <w:tab w:val="left" w:leader="none" w:pos="9923"/>
        </w:tabs>
        <w:spacing/>
        <w:ind/>
        <w:contextualSpacing w:val="true"/>
        <w:outlineLvl w:val="1"/>
        <w:rPr>
          <w:sz w:val="20"/>
          <w:szCs w:val="20"/>
        </w:rPr>
        <w:sectPr>
          <w:footnotePr/>
          <w:endnotePr/>
          <w:type w:val="nextPage"/>
          <w:pgSz w:h="11906" w:orient="landscape" w:w="16838"/>
          <w:pgMar w:top="426" w:right="567" w:bottom="426" w:left="567" w:header="709" w:footer="709" w:gutter="0"/>
          <w:cols w:num="1" w:sep="0" w:space="708" w:equalWidth="1"/>
        </w:sect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Приложение № 2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rPr>
          <w:sz w:val="20"/>
          <w:szCs w:val="20"/>
        </w:rPr>
      </w:pPr>
      <w:r/>
      <w:bookmarkStart w:id="10" w:name="P410"/>
      <w:r/>
      <w:bookmarkEnd w:id="10"/>
      <w:r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Контракту </w:t>
      </w:r>
      <w:r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_____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>
        <w:rPr>
          <w:sz w:val="20"/>
          <w:szCs w:val="20"/>
        </w:rPr>
        <w:t xml:space="preserve">«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»</w:t>
      </w:r>
      <w:r>
        <w:rPr>
          <w:sz w:val="20"/>
          <w:szCs w:val="20"/>
        </w:rPr>
        <w:t xml:space="preserve"> ______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ТЕХНИЧЕСК</w:t>
      </w:r>
      <w:r>
        <w:rPr>
          <w:b/>
          <w:sz w:val="20"/>
          <w:szCs w:val="20"/>
        </w:rPr>
        <w:t xml:space="preserve">ИЕ ХАРАКТЕРИСТИКИ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СВЕДЕНИЯ ОБ ОБЪЕКТЕ ЗАКУПКИ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Общие требования к условиям закупки: поставляемый товар должен соответствовать техническим требованиям настоящей части. В этих случаях продукция считается соответствующей требованиям: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1.1. Товар, поставка которого предусмотрена требованиям настоящей технической части, должен быть зарегистрирован и разрешен к применению на территории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1.2. Поставляемый товар должен быть новым, ранее не использованным, не подвергнутый восстановлению, в том числе в качестве выставочного образца и свободным от прав третьих лиц.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1.3. Поставляемый товар должен быть упакован в заводских условиях. Упаковка каждой единицы товара должна быть</w:t>
      </w:r>
      <w:r>
        <w:rPr>
          <w:color w:val="000000"/>
          <w:sz w:val="20"/>
          <w:szCs w:val="20"/>
        </w:rPr>
        <w:t xml:space="preserve"> выполнена в соответствии с техническими условиями производителя и соответствовать требованиям ГОСТ. Упаковка товара должна иметь информацию об изделии, фирме изготовителе, стране происхождения (производства), каталожный номер (если предусмотрен производит</w:t>
      </w:r>
      <w:r>
        <w:rPr>
          <w:color w:val="000000"/>
          <w:sz w:val="20"/>
          <w:szCs w:val="20"/>
        </w:rPr>
        <w:t xml:space="preserve">елем), номер и серию партии, дату изготовления и срок годности. Информация о продукции, содержащаяся на упаковке должна быть на русском языке, либо содержать перевод на русский язык. Если это предусмотрено нормативами и стандартами, принятыми для соответст</w:t>
      </w:r>
      <w:r>
        <w:rPr>
          <w:color w:val="000000"/>
          <w:sz w:val="20"/>
          <w:szCs w:val="20"/>
        </w:rPr>
        <w:t xml:space="preserve">вующего вида продукции на территории Российской Федерации, упаковка такой продукции должна содержать инструкцию по эксплуатации (применению, использованию) на русском языке. Товар должен поставляться в не нарушенной (не поврежденной) упаковке изготовителя.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1.4. Товар должен соответствовать современным нормам качества и функциональности, применимым в современной российской и европейской медицине и соответствовать стандартам и нормам, установленным для соответствующей продукции на территории Российской</w:t>
      </w:r>
      <w:r>
        <w:rPr>
          <w:color w:val="000000"/>
          <w:sz w:val="20"/>
          <w:szCs w:val="20"/>
        </w:rPr>
        <w:t xml:space="preserve"> Федерации. Участник обязан гарантировать качество и годность продукции к эксплуатации, при использовании, в целях, для которых предназначен данный товар. Сроки гарантии каждого вида товара должны соответствовать, указанным в настоящем техническом задании.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1.5. Товар должен соответст</w:t>
      </w:r>
      <w:r>
        <w:rPr>
          <w:color w:val="000000"/>
          <w:sz w:val="20"/>
          <w:szCs w:val="20"/>
        </w:rPr>
        <w:t xml:space="preserve">вовать его функциональному назначению, должен быть серийного выпуска. Факторы, оказывающие вредные воздействия на здоровье со стороны всех составных частей оборудования не должны превышать действующих норм для сотрудников, работающих с данным видом товара.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1.6. Товар должен быть безопасными для окружающей среды и человека. Гигиенические характеристи</w:t>
      </w:r>
      <w:r>
        <w:rPr>
          <w:color w:val="000000"/>
          <w:sz w:val="20"/>
          <w:szCs w:val="20"/>
        </w:rPr>
        <w:t xml:space="preserve">ки товара могут быть подтверждено по желанию Участника при поставке товара копиями документов: сертификатами качества товара, декларациями соответствия, отказными письмами или иными документами на усмотрение участника (документы не являются обязательными).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sz w:val="20"/>
          <w:szCs w:val="20"/>
        </w:rPr>
      </w:pPr>
      <w:r>
        <w:rPr>
          <w:color w:val="000000"/>
          <w:sz w:val="20"/>
          <w:szCs w:val="20"/>
        </w:rPr>
        <w:t xml:space="preserve">1.7. </w:t>
      </w:r>
      <w:r>
        <w:rPr>
          <w:sz w:val="20"/>
          <w:szCs w:val="20"/>
        </w:rPr>
        <w:t xml:space="preserve">Соответствие товара указанным требованиям должно быть подтверждено при поставке товара предоставленными заказчику сертификатами качества и/или декларацией соответствия, заверенными печатью поставщика на каждую партию каждого вида поставл</w:t>
      </w:r>
      <w:r>
        <w:rPr>
          <w:sz w:val="20"/>
          <w:szCs w:val="20"/>
        </w:rPr>
        <w:t xml:space="preserve">енного товара в момент осуществления поставки, если на товар предусмотрена система добровольной сертификации на основании декларации соответствия, то товар должен иметь отказное письмо и Поставщик должен декларировать безопасность и соответствие продукции.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1.8. Требования и условия поставки продукции, а также иные требования к выполнению настоящего заказа изложены в настоящей </w:t>
      </w:r>
      <w:r>
        <w:rPr>
          <w:color w:val="000000"/>
          <w:sz w:val="20"/>
          <w:szCs w:val="20"/>
        </w:rPr>
        <w:t xml:space="preserve">технической части, которая является неотъемлемой частью данной закупки. Требования к функциональным, техническим, качественным и эксплуатационным характеристикам, требования к безопасности товаров и их количество предусмотрены настоящей технической частью.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Поставщик должен поставить товар в соответствии с положениями настоящей технической частью. Частичная поставка не допускается.</w:t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  <w:r>
        <w:rPr>
          <w:color w:val="000000"/>
          <w:sz w:val="20"/>
          <w:szCs w:val="20"/>
        </w:rPr>
      </w:r>
    </w:p>
    <w:p>
      <w:pPr>
        <w:pBdr/>
        <w:spacing/>
        <w:ind/>
        <w:contextualSpacing w:val="true"/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Срок поставки: с даты заключения контракта в течение 10 дней.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/>
        <w:contextualSpacing w:val="true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Количество к поставке: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Ind w:w="108" w:type="dxa"/>
        <w:tblW w:w="4896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951"/>
        <w:gridCol w:w="1460"/>
        <w:gridCol w:w="1038"/>
        <w:gridCol w:w="2024"/>
        <w:gridCol w:w="1881"/>
      </w:tblGrid>
      <w:tr>
        <w:trPr>
          <w:trHeight w:val="20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Bdr/>
              <w:spacing/>
              <w:ind w:left="-1"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п.п.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единица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Кол-во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 ОКПД2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Код позиции КТРУ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509"/>
          <w:tblHeader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850" w:type="dxa"/>
            <w:vAlign w:val="center"/>
            <w:textDirection w:val="lrTb"/>
            <w:noWrap w:val="false"/>
          </w:tcPr>
          <w:p>
            <w:pPr>
              <w:pStyle w:val="967"/>
              <w:numPr>
                <w:ilvl w:val="0"/>
                <w:numId w:val="4"/>
              </w:numPr>
              <w:pBdr/>
              <w:spacing w:after="0" w:line="240" w:lineRule="auto"/>
              <w:ind w:firstLine="0" w:left="0"/>
              <w:jc w:val="center"/>
              <w:rPr>
                <w:rFonts w:ascii="Times New Roman" w:hAnsi="Times New Roman" w:eastAsia="Times New Roman"/>
                <w:sz w:val="20"/>
                <w:szCs w:val="20"/>
              </w:rPr>
            </w:pPr>
            <w:r>
              <w:rPr>
                <w:rFonts w:ascii="Times New Roman" w:hAnsi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  <w:r>
              <w:rPr>
                <w:rFonts w:ascii="Times New Roman" w:hAnsi="Times New Roman" w:eastAsia="Times New Roman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95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46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979"/>
                <w:sz w:val="20"/>
                <w:szCs w:val="20"/>
              </w:rPr>
            </w:pPr>
            <w:r>
              <w:rPr>
                <w:rStyle w:val="979"/>
                <w:sz w:val="20"/>
                <w:szCs w:val="20"/>
              </w:rPr>
              <w:t xml:space="preserve">Упаковка</w:t>
            </w:r>
            <w:r>
              <w:rPr>
                <w:rStyle w:val="979"/>
                <w:sz w:val="20"/>
                <w:szCs w:val="20"/>
              </w:rPr>
            </w:r>
            <w:r>
              <w:rPr>
                <w:rStyle w:val="979"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38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024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  <w:lang w:val="en-US"/>
              </w:rPr>
              <w:t xml:space="preserve">32.99.53.121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881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-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pBdr/>
        <w:spacing/>
        <w:ind w:firstLine="284"/>
        <w:contextualSpacing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284"/>
        <w:contextualSpacing w:val="true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Функциональные, технические и качественные характери</w:t>
      </w:r>
      <w:r>
        <w:rPr>
          <w:b/>
          <w:bCs/>
          <w:sz w:val="20"/>
          <w:szCs w:val="20"/>
        </w:rPr>
        <w:t xml:space="preserve">сти</w:t>
      </w:r>
      <w:r>
        <w:rPr>
          <w:b/>
          <w:bCs/>
          <w:sz w:val="20"/>
          <w:szCs w:val="20"/>
        </w:rPr>
        <w:t xml:space="preserve">ки, 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которые не могут изменяться</w:t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Bdr/>
        <w:spacing/>
        <w:ind/>
        <w:contextualSpacing w:val="true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  <w:r>
        <w:rPr>
          <w:b/>
          <w:bCs/>
          <w:sz w:val="20"/>
          <w:szCs w:val="20"/>
        </w:rPr>
      </w:r>
    </w:p>
    <w:p>
      <w:pPr>
        <w:pBdr/>
        <w:spacing/>
        <w:ind w:firstLine="567"/>
        <w:contextualSpacing w:val="true"/>
        <w:rPr>
          <w:b/>
          <w:bCs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  <w:shd w:val="clear" w:color="auto" w:fill="ffffff"/>
        </w:rPr>
        <w:t xml:space="preserve">1. </w:t>
      </w:r>
      <w:r>
        <w:rPr>
          <w:b/>
          <w:sz w:val="20"/>
          <w:szCs w:val="20"/>
          <w:shd w:val="clear" w:color="auto" w:fill="ffffff"/>
        </w:rPr>
        <w:t xml:space="preserve">Набор зубов для учебной модели челюсти для студентов из пластмассы </w:t>
      </w:r>
      <w:r>
        <w:rPr>
          <w:b/>
          <w:sz w:val="20"/>
          <w:szCs w:val="20"/>
          <w:shd w:val="clear" w:color="auto" w:fill="ffffff"/>
          <w:lang w:val="en-US"/>
        </w:rPr>
        <w:t xml:space="preserve">AD</w:t>
      </w:r>
      <w:r>
        <w:rPr>
          <w:b/>
          <w:sz w:val="20"/>
          <w:szCs w:val="20"/>
          <w:shd w:val="clear" w:color="auto" w:fill="ffffff"/>
        </w:rPr>
        <w:t xml:space="preserve">-</w:t>
      </w:r>
      <w:r>
        <w:rPr>
          <w:b/>
          <w:sz w:val="20"/>
          <w:szCs w:val="20"/>
          <w:shd w:val="clear" w:color="auto" w:fill="ffffff"/>
          <w:lang w:val="en-US"/>
        </w:rPr>
        <w:t xml:space="preserve">J</w:t>
      </w:r>
      <w:r>
        <w:rPr>
          <w:b/>
          <w:sz w:val="20"/>
          <w:szCs w:val="20"/>
          <w:shd w:val="clear" w:color="auto" w:fill="ffffff"/>
        </w:rPr>
        <w:t xml:space="preserve"> 01  </w:t>
      </w:r>
      <w:r>
        <w:rPr>
          <w:b/>
          <w:color w:val="000000" w:themeColor="text1"/>
          <w:sz w:val="20"/>
          <w:szCs w:val="20"/>
          <w:shd w:val="clear" w:color="auto" w:fill="ffffff"/>
        </w:rPr>
        <w:t xml:space="preserve"> – 25 упаковок</w:t>
      </w:r>
      <w:r>
        <w:rPr>
          <w:b/>
          <w:bCs/>
          <w:color w:val="000000" w:themeColor="text1"/>
          <w:sz w:val="20"/>
          <w:szCs w:val="20"/>
        </w:rPr>
      </w:r>
      <w:r>
        <w:rPr>
          <w:b/>
          <w:bCs/>
          <w:color w:val="000000" w:themeColor="text1"/>
          <w:sz w:val="20"/>
          <w:szCs w:val="20"/>
        </w:rPr>
      </w:r>
    </w:p>
    <w:tbl>
      <w:tblPr>
        <w:tblInd w:w="108" w:type="dxa"/>
        <w:tblW w:w="4893" w:type="pct"/>
        <w:tblBorders/>
        <w:tblLayout w:type="fixed"/>
        <w:tblLook w:val="0000" w:firstRow="0" w:lastRow="0" w:firstColumn="0" w:lastColumn="0" w:noHBand="0" w:noVBand="0"/>
      </w:tblPr>
      <w:tblGrid>
        <w:gridCol w:w="992"/>
        <w:gridCol w:w="6610"/>
        <w:gridCol w:w="2596"/>
      </w:tblGrid>
      <w:tr>
        <w:trPr>
          <w:trHeight w:val="700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товара, товарный знак, характеристики товара, параметры товара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4" w:space="0"/>
              <w:left w:val="single" w:color="auto" w:sz="4" w:space="0"/>
              <w:right w:val="single" w:color="000000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Требуемое значение,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величина параметра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2"/>
            <w:tcBorders>
              <w:top w:val="single" w:color="auto" w:sz="4" w:space="0"/>
              <w:left w:val="single" w:color="000000" w:sz="4" w:space="0"/>
              <w:bottom w:val="single" w:color="000000" w:sz="4" w:space="0"/>
            </w:tcBorders>
            <w:tcW w:w="760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Общие сведения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в соответствии с техническим паспортом и/или руководством по эксплуатации  и/или этикеткой производителя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Страна происхождения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1.3.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Назначение: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для установки в </w:t>
            </w:r>
            <w:r>
              <w:rPr>
                <w:sz w:val="20"/>
                <w:szCs w:val="20"/>
                <w:shd w:val="clear" w:color="auto" w:fill="ffffff"/>
              </w:rPr>
              <w:t xml:space="preserve">модель челюсти учебную с зубами Арма Дентал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AD</w:t>
            </w:r>
            <w:r>
              <w:rPr>
                <w:sz w:val="20"/>
                <w:szCs w:val="20"/>
                <w:shd w:val="clear" w:color="auto" w:fill="ffffff"/>
              </w:rPr>
              <w:t xml:space="preserve">-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J</w:t>
            </w:r>
            <w:r>
              <w:rPr>
                <w:sz w:val="20"/>
                <w:szCs w:val="20"/>
                <w:shd w:val="clear" w:color="auto" w:fill="ffffff"/>
              </w:rPr>
              <w:t xml:space="preserve"> 01 </w:t>
            </w:r>
            <w:r>
              <w:rPr>
                <w:color w:val="333333"/>
                <w:sz w:val="20"/>
                <w:szCs w:val="20"/>
                <w:shd w:val="clear" w:color="auto" w:fill="ffffff"/>
              </w:rPr>
              <w:t xml:space="preserve">для 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освоения и совершенствования навыков лечения клинических случаев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  <w:shd w:val="clear" w:color="auto" w:fill="ffffff"/>
              </w:rPr>
              <w:t xml:space="preserve">Наличие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199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2.Технические характеристики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Реалистичность размера, строения зубочелюстному аппарату  взрослого человека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 </w:t>
            </w:r>
            <w:r>
              <w:rPr>
                <w:sz w:val="20"/>
                <w:szCs w:val="20"/>
              </w:rPr>
              <w:t xml:space="preserve">тип крепления зубов к челюсти: винтовой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</w:t>
            </w: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полимерный материал по твердости и термостойкости  идентичен эмали человека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 </w:t>
            </w:r>
            <w:r>
              <w:rPr>
                <w:sz w:val="20"/>
                <w:szCs w:val="20"/>
              </w:rPr>
              <w:t xml:space="preserve">передний верхний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 </w:t>
            </w:r>
            <w:r>
              <w:rPr>
                <w:sz w:val="20"/>
                <w:szCs w:val="20"/>
              </w:rPr>
              <w:t xml:space="preserve">передний нижний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 </w:t>
            </w:r>
            <w:r>
              <w:rPr>
                <w:sz w:val="20"/>
                <w:szCs w:val="20"/>
              </w:rPr>
              <w:t xml:space="preserve">жевательный верхний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left" w:leader="none" w:pos="1144"/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Сменные зубы: </w:t>
            </w:r>
            <w:r>
              <w:rPr>
                <w:sz w:val="20"/>
                <w:szCs w:val="20"/>
              </w:rPr>
              <w:t xml:space="preserve">жевательный нижний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Реалистичная анатомическая структура зубов: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Реалистичная анатомическая структура зубов: резцов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2.10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Реалистичная анатомическая структура зубов: клыков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2.11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Реалистичная анатомическая структура зубов: премоляров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153"/>
                <w:tab w:val="right" w:leader="none" w:pos="8306"/>
              </w:tabs>
              <w:spacing/>
              <w:ind w:firstLine="1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2.12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tabs>
                <w:tab w:val="center" w:leader="none" w:pos="4677"/>
                <w:tab w:val="right" w:leader="none" w:pos="9355"/>
              </w:tabs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ar-SA"/>
              </w:rPr>
              <w:t xml:space="preserve">Реалистичная анатомическая структура зубов: моляров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2.13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Отработка навыков: Гигиена полости рта и зубов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Отработка навыков: Препарирование зубов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2.15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Отработка навыков: Пломбирование зубов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Отработка навыков: Имитация удаления зубов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  <w:shd w:val="clear" w:color="auto" w:fill="ffffff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  <w:r>
              <w:rPr>
                <w:bCs/>
                <w:sz w:val="20"/>
                <w:szCs w:val="20"/>
                <w:shd w:val="clear" w:color="auto" w:fill="ffffff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2.17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/>
              </w:rPr>
              <w:t xml:space="preserve">Совместимость с моделью челюсти учебной с зубами Арма Дентал 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AD</w:t>
            </w:r>
            <w:r>
              <w:rPr>
                <w:sz w:val="20"/>
                <w:szCs w:val="20"/>
                <w:shd w:val="clear" w:color="auto" w:fill="ffffff"/>
              </w:rPr>
              <w:t xml:space="preserve">-</w:t>
            </w:r>
            <w:r>
              <w:rPr>
                <w:sz w:val="20"/>
                <w:szCs w:val="20"/>
                <w:shd w:val="clear" w:color="auto" w:fill="ffffff"/>
                <w:lang w:val="en-US"/>
              </w:rPr>
              <w:t xml:space="preserve">J</w:t>
            </w:r>
            <w:r>
              <w:rPr>
                <w:sz w:val="20"/>
                <w:szCs w:val="20"/>
                <w:shd w:val="clear" w:color="auto" w:fill="ffffff"/>
              </w:rPr>
              <w:t xml:space="preserve"> 01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Наличие</w: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поставки: Передний верхний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поставки: Передний нижний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поставки: Жевательный верхний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поставки: Жевательный нижний ряд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92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992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2.22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6610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Комплект поставки: Винты для фиксации зубов: Штука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2596" w:type="dxa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</w:r>
          </w:p>
        </w:tc>
      </w:tr>
    </w:tbl>
    <w:p>
      <w:pPr>
        <w:pBdr/>
        <w:spacing/>
        <w:ind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142" w:left="284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</w:t>
      </w:r>
      <w:r>
        <w:rPr>
          <w:b/>
          <w:sz w:val="20"/>
          <w:szCs w:val="20"/>
        </w:rPr>
        <w:t xml:space="preserve">спытаний Требования к упаковке, маркировке (этикеткам), подтверждению соответствия, процессам и методам производства в соответствии с требованиями технических регламентов, стандартов, технических условий, в отношении проведения испытаний, методов испытаний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567" w:left="284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Безопасность Товара должна соответствовать требованиям технических регламентов, ГОСТ, действующих на территории Российской Федерации.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567"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Товар должен поставляться в оригинальной завод</w:t>
      </w:r>
      <w:r>
        <w:rPr>
          <w:sz w:val="20"/>
          <w:szCs w:val="20"/>
        </w:rPr>
        <w:t xml:space="preserve">ской упаковке, соответствующей характеру поставляемого Товара и способу транспортировки, обеспечивающей защиту товара от внешних воздействующих факторов (в т.ч. климатических, механических) при транспортировании, хранении и погрузочно-разгрузочных работах.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567"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Мар</w:t>
      </w:r>
      <w:r>
        <w:rPr>
          <w:sz w:val="20"/>
          <w:szCs w:val="20"/>
        </w:rPr>
        <w:t xml:space="preserve">кировка товара и тары (упаковки) товара, в том числе транспортной, должна содержать информацию согласно требованиям действующего законодательства Российской Федерации: наименование изделия, наименование фирмы-изготовителя, адрес изготовителя, дату выпуска.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709"/>
        <w:contextualSpacing w:val="true"/>
        <w:rPr>
          <w:sz w:val="20"/>
          <w:szCs w:val="20"/>
        </w:rPr>
      </w:pPr>
      <w:r>
        <w:rPr>
          <w:sz w:val="20"/>
          <w:szCs w:val="20"/>
          <w:lang w:eastAsia="zh-CN"/>
        </w:rPr>
        <w:t xml:space="preserve">Прослеживание товара в системе «Честный знак»: Маркировка товара согласно действующему законодательству Российской Федерации.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81"/>
        <w:pBdr/>
        <w:spacing/>
        <w:ind/>
        <w:rPr/>
      </w:pPr>
      <w:r/>
      <w:r/>
    </w:p>
    <w:tbl>
      <w:tblPr>
        <w:jc w:val="center"/>
        <w:tblW w:w="4809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1359"/>
        <w:gridCol w:w="6806"/>
        <w:gridCol w:w="1858"/>
      </w:tblGrid>
      <w:tr>
        <w:trPr>
          <w:jc w:val="center"/>
          <w:trHeight w:val="20"/>
        </w:trPr>
        <w:tc>
          <w:tcPr>
            <w:gridSpan w:val="3"/>
            <w:shd w:val="clear" w:color="auto" w:fill="auto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1.Требования к документам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339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Паспорт и/или руководство и/или этикетка по эксплуатации на русском языке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2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1.2.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3395" w:type="pct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Документ, подтверждающий качество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2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jc w:val="center"/>
          <w:trHeight w:val="20"/>
        </w:trPr>
        <w:tc>
          <w:tcPr>
            <w:gridSpan w:val="3"/>
            <w:shd w:val="clear" w:color="auto" w:fill="auto"/>
            <w:tcBorders/>
            <w:tcW w:w="5000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 xml:space="preserve">2. Требования к упаковке и маркировке </w:t>
            </w:r>
            <w:r>
              <w:rPr>
                <w:sz w:val="20"/>
                <w:szCs w:val="20"/>
                <w:vertAlign w:val="superscript"/>
              </w:rPr>
            </w:r>
            <w:r>
              <w:rPr>
                <w:sz w:val="20"/>
                <w:szCs w:val="20"/>
                <w:vertAlign w:val="superscript"/>
              </w:rPr>
            </w:r>
          </w:p>
        </w:tc>
      </w:tr>
      <w:tr>
        <w:trPr>
          <w:jc w:val="center"/>
          <w:trHeight w:val="20"/>
        </w:trPr>
        <w:tc>
          <w:tcPr>
            <w:shd w:val="clear" w:color="auto" w:fill="auto"/>
            <w:tcBorders/>
            <w:tcW w:w="67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2.1.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3395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Маркировка наименования изделия на упаковке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shd w:val="clear" w:color="auto" w:fill="auto"/>
            <w:tcBorders/>
            <w:tcW w:w="927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Наличие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Bdr/>
        <w:spacing/>
        <w:ind/>
        <w:contextualSpacing w:val="true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709" w:left="142"/>
        <w:contextualSpacing w:val="true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Требования к году (месяцу) изготовления товара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spacing/>
        <w:ind w:firstLine="709" w:left="142"/>
        <w:contextualSpacing w:val="true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Остаточный срок годности – не менее 12 месяцев с даты поставки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 w:firstLine="709" w:left="142"/>
        <w:contextualSpacing w:val="true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tabs>
          <w:tab w:val="left" w:leader="none" w:pos="0"/>
        </w:tabs>
        <w:spacing/>
        <w:ind w:right="-1" w:firstLine="709" w:left="142"/>
        <w:jc w:val="both"/>
        <w:outlineLvl w:val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Примечание: </w:t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p>
      <w:pPr>
        <w:pBdr/>
        <w:tabs>
          <w:tab w:val="left" w:leader="none" w:pos="0"/>
        </w:tabs>
        <w:spacing/>
        <w:ind w:right="-1" w:firstLine="709" w:left="14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Во всех случаях, когда в Технической части или в приложениях к ней (при наличии) имеются ссылки на конкретные стандарт</w:t>
      </w:r>
      <w:r>
        <w:rPr>
          <w:sz w:val="16"/>
          <w:szCs w:val="16"/>
        </w:rPr>
        <w:t xml:space="preserve">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</w:t>
      </w:r>
      <w:r>
        <w:rPr>
          <w:sz w:val="16"/>
          <w:szCs w:val="16"/>
        </w:rPr>
        <w:t xml:space="preserve">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Bdr/>
        <w:spacing/>
        <w:ind w:firstLine="709" w:left="142"/>
        <w:rPr>
          <w:sz w:val="18"/>
          <w:szCs w:val="18"/>
        </w:rPr>
      </w:pPr>
      <w:r>
        <w:rPr>
          <w:sz w:val="18"/>
          <w:szCs w:val="18"/>
        </w:rPr>
      </w:r>
      <w:r>
        <w:rPr>
          <w:sz w:val="18"/>
          <w:szCs w:val="18"/>
        </w:rPr>
      </w:r>
      <w:r>
        <w:rPr>
          <w:sz w:val="18"/>
          <w:szCs w:val="18"/>
        </w:rPr>
      </w:r>
    </w:p>
    <w:p>
      <w:pPr>
        <w:pBdr/>
        <w:spacing/>
        <w:ind/>
        <w:contextualSpacing w:val="true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</w:r>
      <w:r>
        <w:rPr>
          <w:b/>
          <w:sz w:val="20"/>
          <w:szCs w:val="20"/>
        </w:rPr>
      </w:r>
      <w:r>
        <w:rPr>
          <w:b/>
          <w:sz w:val="20"/>
          <w:szCs w:val="20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50"/>
        <w:gridCol w:w="4690"/>
      </w:tblGrid>
      <w:tr>
        <w:trPr>
          <w:trHeight w:val="470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5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/______________/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</w:t>
            </w:r>
            <w:r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  <w:lang w:eastAsia="ar-SA"/>
              </w:rPr>
              <w:t xml:space="preserve"> 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ageBreakBefore w:val="true"/>
        <w:pBdr/>
        <w:spacing/>
        <w:ind/>
        <w:contextualSpacing w:val="true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№ 3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</w:t>
      </w:r>
      <w:r>
        <w:rPr>
          <w:sz w:val="20"/>
          <w:szCs w:val="20"/>
        </w:rPr>
        <w:t xml:space="preserve">Контракту </w:t>
      </w:r>
      <w:r>
        <w:rPr>
          <w:sz w:val="20"/>
          <w:szCs w:val="20"/>
        </w:rPr>
        <w:t xml:space="preserve">№ </w:t>
      </w:r>
      <w:r>
        <w:rPr>
          <w:sz w:val="20"/>
          <w:szCs w:val="20"/>
        </w:rPr>
        <w:t xml:space="preserve">_______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от </w:t>
      </w:r>
      <w:r>
        <w:rPr>
          <w:sz w:val="20"/>
          <w:szCs w:val="20"/>
        </w:rPr>
        <w:t xml:space="preserve">«</w:t>
      </w:r>
      <w:r>
        <w:rPr>
          <w:sz w:val="20"/>
          <w:szCs w:val="20"/>
        </w:rPr>
        <w:t xml:space="preserve">____</w:t>
      </w:r>
      <w:r>
        <w:rPr>
          <w:sz w:val="20"/>
          <w:szCs w:val="20"/>
        </w:rPr>
        <w:t xml:space="preserve">»</w:t>
      </w:r>
      <w:r>
        <w:rPr>
          <w:sz w:val="20"/>
          <w:szCs w:val="20"/>
        </w:rPr>
        <w:t xml:space="preserve"> ______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sz w:val="20"/>
          <w:szCs w:val="20"/>
        </w:rPr>
      </w:pPr>
      <w:r/>
      <w:bookmarkStart w:id="11" w:name="P513"/>
      <w:r/>
      <w:bookmarkEnd w:id="11"/>
      <w:r>
        <w:rPr>
          <w:sz w:val="20"/>
          <w:szCs w:val="20"/>
        </w:rPr>
        <w:t xml:space="preserve">ОТГРУЗОЧНАЯ РАЗНАРЯДКА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(ПЛАН РАСПРЕДЕЛЕНИЯ)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center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Mar>
          <w:left w:w="28" w:type="dxa"/>
          <w:top w:w="28" w:type="dxa"/>
          <w:right w:w="28" w:type="dxa"/>
          <w:bottom w:w="28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000" w:firstRow="0" w:lastRow="0" w:firstColumn="0" w:lastColumn="0" w:noHBand="0" w:noVBand="0"/>
      </w:tblPr>
      <w:tblGrid>
        <w:gridCol w:w="468"/>
        <w:gridCol w:w="4605"/>
        <w:gridCol w:w="1131"/>
        <w:gridCol w:w="1063"/>
        <w:gridCol w:w="1726"/>
        <w:gridCol w:w="1268"/>
      </w:tblGrid>
      <w:tr>
        <w:trPr>
          <w:trHeight w:val="20"/>
        </w:trPr>
        <w:tc>
          <w:tcPr>
            <w:tcBorders/>
            <w:tcW w:w="228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44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Товара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551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Единицы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518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в единицах измерения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841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Получатель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618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доставки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0"/>
        </w:trPr>
        <w:tc>
          <w:tcPr>
            <w:tcBorders/>
            <w:tcW w:w="22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2244" w:type="pct"/>
            <w:textDirection w:val="lrTb"/>
            <w:noWrap w:val="false"/>
          </w:tcPr>
          <w:p>
            <w:pPr>
              <w:pBdr/>
              <w:tabs>
                <w:tab w:val="left" w:leader="none" w:pos="1275"/>
              </w:tabs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55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Style w:val="979"/>
                <w:color w:val="000000"/>
                <w:sz w:val="20"/>
                <w:szCs w:val="20"/>
              </w:rPr>
            </w:pPr>
            <w:r>
              <w:rPr>
                <w:rStyle w:val="979"/>
                <w:color w:val="000000"/>
                <w:sz w:val="20"/>
                <w:szCs w:val="20"/>
              </w:rPr>
              <w:t xml:space="preserve">Упаковка</w:t>
            </w:r>
            <w:r>
              <w:rPr>
                <w:rStyle w:val="979"/>
                <w:color w:val="000000"/>
                <w:sz w:val="20"/>
                <w:szCs w:val="20"/>
              </w:rPr>
            </w:r>
            <w:r>
              <w:rPr>
                <w:rStyle w:val="979"/>
                <w:color w:val="000000"/>
                <w:sz w:val="20"/>
                <w:szCs w:val="20"/>
              </w:rPr>
            </w:r>
          </w:p>
        </w:tc>
        <w:tc>
          <w:tcPr>
            <w:tcBorders/>
            <w:tcW w:w="518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841" w:type="pct"/>
            <w:vAlign w:val="center"/>
            <w:textDirection w:val="lrTb"/>
            <w:noWrap w:val="false"/>
          </w:tcPr>
          <w:p>
            <w:pPr>
              <w:pBdr/>
              <w:spacing/>
              <w:ind/>
              <w:contextualSpacing w:val="true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Склад</w:t>
            </w:r>
            <w:r>
              <w:rPr>
                <w:rFonts w:eastAsia="Calibri"/>
                <w:sz w:val="20"/>
                <w:szCs w:val="20"/>
              </w:rPr>
            </w:r>
            <w:r>
              <w:rPr>
                <w:rFonts w:eastAsia="Calibri"/>
                <w:sz w:val="20"/>
                <w:szCs w:val="20"/>
              </w:rPr>
            </w:r>
          </w:p>
        </w:tc>
        <w:tc>
          <w:tcPr>
            <w:tcBorders/>
            <w:tcW w:w="618" w:type="pct"/>
            <w:vAlign w:val="center"/>
            <w:textDirection w:val="lrTb"/>
            <w:noWrap w:val="false"/>
          </w:tcPr>
          <w:p>
            <w:pPr>
              <w:widowControl w:val="false"/>
              <w:pBdr/>
              <w:spacing/>
              <w:ind/>
              <w:contextualSpacing w:val="true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 xml:space="preserve">680000, Хабаровский край, г. Хабаровск, ул.  </w:t>
            </w:r>
            <w:r>
              <w:rPr>
                <w:sz w:val="20"/>
                <w:szCs w:val="20"/>
              </w:rPr>
              <w:t xml:space="preserve">ул.  </w:t>
            </w:r>
            <w:r>
              <w:rPr>
                <w:sz w:val="20"/>
                <w:szCs w:val="20"/>
              </w:rPr>
              <w:t xml:space="preserve">Муравьева Амурского, 35</w:t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/>
                <w:sz w:val="20"/>
                <w:szCs w:val="20"/>
              </w:rPr>
            </w:r>
          </w:p>
        </w:tc>
      </w:tr>
    </w:tbl>
    <w:p>
      <w:pPr>
        <w:widowControl w:val="false"/>
        <w:pBdr/>
        <w:tabs>
          <w:tab w:val="left" w:leader="none" w:pos="9180"/>
        </w:tabs>
        <w:spacing/>
        <w:ind/>
        <w:contextualSpacing w:val="true"/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both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450"/>
        <w:gridCol w:w="4690"/>
      </w:tblGrid>
      <w:tr>
        <w:trPr>
          <w:trHeight w:val="470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5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/______________/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_____________</w:t>
            </w:r>
            <w:r>
              <w:rPr>
                <w:sz w:val="20"/>
                <w:szCs w:val="20"/>
                <w:lang w:eastAsia="ar-SA"/>
              </w:rPr>
              <w:t xml:space="preserve"> 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  <w:sectPr>
          <w:footnotePr/>
          <w:endnotePr/>
          <w:type w:val="nextPage"/>
          <w:pgSz w:h="16838" w:orient="portrait" w:w="11906"/>
          <w:pgMar w:top="567" w:right="567" w:bottom="851" w:left="1134" w:header="709" w:footer="709" w:gutter="0"/>
          <w:cols w:num="1" w:sep="0" w:space="708" w:equalWidth="1"/>
        </w:sect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Приложение № 4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Контракту № </w:t>
      </w:r>
      <w:r>
        <w:rPr>
          <w:sz w:val="20"/>
          <w:szCs w:val="20"/>
        </w:rPr>
        <w:t xml:space="preserve">_____</w:t>
      </w:r>
      <w:r>
        <w:rPr>
          <w:sz w:val="20"/>
          <w:szCs w:val="20"/>
        </w:rPr>
        <w:t xml:space="preserve"> от "______" ___________ 202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 г.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Образец </w:t>
      </w:r>
      <w:r>
        <w:rPr>
          <w:rFonts w:ascii="Times New Roman" w:hAnsi="Times New Roman" w:cs="Times New Roman"/>
          <w:b/>
          <w:sz w:val="20"/>
        </w:rPr>
      </w:r>
      <w:r>
        <w:rPr>
          <w:rFonts w:ascii="Times New Roman" w:hAnsi="Times New Roman" w:cs="Times New Roman"/>
          <w:b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</w:r>
      <w:r>
        <w:rPr>
          <w:rFonts w:ascii="Times New Roman" w:hAnsi="Times New Roman" w:cs="Times New Roman"/>
          <w:b/>
          <w:sz w:val="20"/>
        </w:rPr>
      </w:r>
      <w:r>
        <w:rPr>
          <w:rFonts w:ascii="Times New Roman" w:hAnsi="Times New Roman" w:cs="Times New Roman"/>
          <w:b/>
          <w:sz w:val="20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center"/>
        <w:rPr>
          <w:rFonts w:ascii="Times New Roman" w:hAnsi="Times New Roman" w:cs="Times New Roman"/>
          <w:b/>
        </w:rPr>
      </w:pPr>
      <w:r/>
      <w:bookmarkStart w:id="12" w:name="P623"/>
      <w:r/>
      <w:bookmarkEnd w:id="12"/>
      <w:r>
        <w:rPr>
          <w:rFonts w:ascii="Times New Roman" w:hAnsi="Times New Roman" w:cs="Times New Roman"/>
          <w:b/>
        </w:rPr>
        <w:t xml:space="preserve">СВОДНЫЙ РЕЕСТР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ТОВАРНЫХ НАКЛАДНЫХ НА ПОСТАВКУ ТОВАРА</w:t>
      </w:r>
      <w:r>
        <w:rPr>
          <w:rFonts w:ascii="Times New Roman" w:hAnsi="Times New Roman" w:cs="Times New Roman"/>
          <w:b/>
        </w:rPr>
      </w:r>
      <w:r>
        <w:rPr>
          <w:rFonts w:ascii="Times New Roman" w:hAnsi="Times New Roman" w:cs="Times New Roman"/>
          <w:b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"__" ________ 20__ г. № 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(предоставляется при необходимости)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По Контракту от "__" ______ 20__ г. № 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Поставщик ИНН/КПП 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Сводный счет от "__" __________ 20__ г. № 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tbl>
      <w:tblPr>
        <w:tblInd w:w="62" w:type="dxa"/>
        <w:tblW w:w="0" w:type="auto"/>
        <w:tblCellMar>
          <w:left w:w="62" w:type="dxa"/>
          <w:top w:w="102" w:type="dxa"/>
          <w:right w:w="62" w:type="dxa"/>
          <w:bottom w:w="102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737"/>
        <w:gridCol w:w="1191"/>
        <w:gridCol w:w="1701"/>
        <w:gridCol w:w="624"/>
        <w:gridCol w:w="794"/>
        <w:gridCol w:w="1020"/>
        <w:gridCol w:w="1020"/>
        <w:gridCol w:w="1361"/>
      </w:tblGrid>
      <w:tr>
        <w:trPr/>
        <w:tc>
          <w:tcPr>
            <w:tcBorders/>
            <w:tcW w:w="567" w:type="dxa"/>
            <w:vMerge w:val="restart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№п/п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gridSpan w:val="3"/>
            <w:tcBorders/>
            <w:tcW w:w="3629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Получатель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gridSpan w:val="2"/>
            <w:tcBorders/>
            <w:tcW w:w="1418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Накладная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Количество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vMerge w:val="restart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Цена за ед., руб.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361" w:type="dxa"/>
            <w:vMerge w:val="restart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Стоимость, руб.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567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73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ИНН/ КПП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19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/>
            <w:hyperlink r:id="rId15" w:tooltip="consultantplus://offline/ref=E905B4E6CBBADE0EE52117383EC529A589BC0A56EF66F201042ABE1112J6z3D" w:history="1">
              <w:r>
                <w:rPr>
                  <w:rFonts w:ascii="Times New Roman" w:hAnsi="Times New Roman" w:cs="Times New Roman"/>
                  <w:sz w:val="20"/>
                </w:rPr>
                <w:t xml:space="preserve">ОКАТО</w:t>
              </w:r>
            </w:hyperlink>
            <w:r/>
            <w:hyperlink r:id="rId16" w:tooltip="consultantplus://offline/ref=E905B4E6CBBADE0EE52117383EC529A58ABA015CEB6EF201042ABE1112J6z3D" w:history="1">
              <w:r>
                <w:rPr>
                  <w:rFonts w:ascii="Times New Roman" w:hAnsi="Times New Roman" w:cs="Times New Roman"/>
                  <w:sz w:val="20"/>
                </w:rPr>
                <w:t xml:space="preserve">(ОКТМО)</w:t>
              </w:r>
            </w:hyperlink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62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Дата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9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Номер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020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1361" w:type="dxa"/>
            <w:vMerge w:val="continue"/>
            <w:textDirection w:val="lrTb"/>
            <w:noWrap w:val="false"/>
          </w:tcPr>
          <w:p>
            <w:pPr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1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3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2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19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3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4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62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5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9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6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7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8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36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9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3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19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62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9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36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56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37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19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70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62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79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36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gridSpan w:val="6"/>
            <w:tcBorders/>
            <w:tcW w:w="561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ИТОГО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02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36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62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Поставщика                               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2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Подпись, расшифровка подписи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2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М.П. (при наличии)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157"/>
        <w:gridCol w:w="4432"/>
      </w:tblGrid>
      <w:tr>
        <w:trPr>
          <w:trHeight w:val="470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5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/______________/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</w:t>
            </w:r>
            <w:r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  <w:lang w:eastAsia="ar-SA"/>
              </w:rPr>
              <w:t xml:space="preserve"> 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 w:after="200" w:line="276" w:lineRule="auto"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outlineLvl w:val="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outlineLvl w:val="1"/>
        <w:rPr>
          <w:sz w:val="20"/>
          <w:szCs w:val="20"/>
        </w:rPr>
      </w:pPr>
      <w:r>
        <w:rPr>
          <w:sz w:val="20"/>
          <w:szCs w:val="20"/>
        </w:rPr>
        <w:t xml:space="preserve">Приложение № 5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Контракту № </w:t>
      </w:r>
      <w:r>
        <w:rPr>
          <w:sz w:val="20"/>
          <w:szCs w:val="20"/>
        </w:rPr>
        <w:t xml:space="preserve">_____</w:t>
      </w:r>
      <w:r>
        <w:rPr>
          <w:sz w:val="20"/>
          <w:szCs w:val="20"/>
        </w:rPr>
        <w:t xml:space="preserve">от "______" ___________ 202</w:t>
      </w:r>
      <w:r>
        <w:rPr>
          <w:sz w:val="20"/>
          <w:szCs w:val="20"/>
        </w:rPr>
        <w:t xml:space="preserve">6</w:t>
      </w:r>
      <w:bookmarkStart w:id="13" w:name="_GoBack"/>
      <w:r/>
      <w:bookmarkEnd w:id="13"/>
      <w:r>
        <w:rPr>
          <w:sz w:val="20"/>
          <w:szCs w:val="20"/>
        </w:rPr>
        <w:t xml:space="preserve"> г.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widowControl w:val="false"/>
        <w:pBdr/>
        <w:tabs>
          <w:tab w:val="left" w:leader="none" w:pos="9923"/>
        </w:tabs>
        <w:spacing/>
        <w:ind/>
        <w:contextualSpacing w:val="true"/>
        <w:jc w:val="right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  <w:t xml:space="preserve">Образец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  <w:szCs w:val="20"/>
          <w:highlight w:val="none"/>
        </w:rPr>
      </w:r>
    </w:p>
    <w:p w14:paraId="151B1CCE"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highlight w:val="none"/>
        </w:rPr>
      </w:r>
      <w:r>
        <w:rPr>
          <w:rFonts w:ascii="Times New Roman" w:hAnsi="Times New Roman" w:cs="Times New Roman"/>
          <w:sz w:val="20"/>
          <w:highlight w:val="none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center"/>
        <w:rPr>
          <w:rFonts w:ascii="Times New Roman" w:hAnsi="Times New Roman" w:cs="Times New Roman"/>
        </w:rPr>
      </w:pPr>
      <w:r/>
      <w:bookmarkStart w:id="14" w:name="P692"/>
      <w:r/>
      <w:bookmarkEnd w:id="14"/>
      <w:r>
        <w:rPr>
          <w:rFonts w:ascii="Times New Roman" w:hAnsi="Times New Roman" w:cs="Times New Roman"/>
        </w:rPr>
        <w:t xml:space="preserve">АКТ СВЕРКИ РАСЧЕТОВ            ____________________________________________________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и __________________________________________________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(Контракт от "__" ____________ 20__ г. № ____)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Сальдо на ___________ ____________                 Раздел 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(дата)      (сумма)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tbl>
      <w:tblPr>
        <w:tblInd w:w="62" w:type="dxa"/>
        <w:tblW w:w="0" w:type="auto"/>
        <w:tblCellMar>
          <w:left w:w="62" w:type="dxa"/>
          <w:top w:w="102" w:type="dxa"/>
          <w:right w:w="62" w:type="dxa"/>
          <w:bottom w:w="102" w:type="dxa"/>
        </w:tblCellMar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00" w:firstRow="0" w:lastRow="0" w:firstColumn="0" w:lastColumn="0" w:noHBand="0" w:noVBand="0"/>
      </w:tblPr>
      <w:tblGrid>
        <w:gridCol w:w="2860"/>
        <w:gridCol w:w="2041"/>
        <w:gridCol w:w="1960"/>
        <w:gridCol w:w="2154"/>
      </w:tblGrid>
      <w:tr>
        <w:trPr/>
        <w:tc>
          <w:tcPr>
            <w:gridSpan w:val="2"/>
            <w:tcBorders/>
            <w:tcW w:w="490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Заказчика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gridSpan w:val="2"/>
            <w:tcBorders/>
            <w:tcW w:w="411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Наименование Поставщика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28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платежных поручений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04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Сумма, руб.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9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№ акта, дата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15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Сумма, руб.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28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04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9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15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28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04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9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15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28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04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9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15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  <w:tr>
        <w:trPr/>
        <w:tc>
          <w:tcPr>
            <w:tcBorders/>
            <w:tcW w:w="28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Итого:</w: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041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1960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  <w:tc>
          <w:tcPr>
            <w:tcBorders/>
            <w:tcW w:w="2154" w:type="dxa"/>
            <w:textDirection w:val="lrTb"/>
            <w:noWrap w:val="false"/>
          </w:tcPr>
          <w:p>
            <w:pPr>
              <w:pStyle w:val="959"/>
              <w:pBdr/>
              <w:tabs>
                <w:tab w:val="left" w:leader="none" w:pos="9923"/>
              </w:tabs>
              <w:spacing/>
              <w:ind/>
              <w:contextualSpacing w:val="true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</w:r>
          </w:p>
        </w:tc>
      </w:tr>
    </w:tbl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Сальдо на ___________ 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(дата)     (сумма)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пользу 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Заказчик                                                                     Поставщик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________________________                          ____________  _________________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(подпись)    (расшифровка подписи)                                       (подпись)   (расшифровка подписи)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Главный бухгалтер                                                               Главный бухгалтер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 ________________________                               ____________  _______________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61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(подпись)    (расшифровка подписи)                                             (подпись)   (расшифровка подписи)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959"/>
        <w:pBdr/>
        <w:tabs>
          <w:tab w:val="left" w:leader="none" w:pos="9923"/>
        </w:tabs>
        <w:spacing/>
        <w:ind/>
        <w:contextualSpacing w:val="true"/>
        <w:jc w:val="both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tbl>
      <w:tblPr>
        <w:tblW w:w="4865" w:type="pct"/>
        <w:tblBorders/>
        <w:tblLook w:val="01E0" w:firstRow="1" w:lastRow="1" w:firstColumn="1" w:lastColumn="1" w:noHBand="0" w:noVBand="0"/>
      </w:tblPr>
      <w:tblGrid>
        <w:gridCol w:w="5157"/>
        <w:gridCol w:w="4432"/>
      </w:tblGrid>
      <w:tr>
        <w:trPr>
          <w:trHeight w:val="470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Заказчик: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Поставщик: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keepNext w:val="true"/>
              <w:keepLines w:val="true"/>
              <w:pBdr/>
              <w:spacing/>
              <w:ind w:right="360"/>
              <w:contextualSpacing w:val="true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</w:tc>
      </w:tr>
      <w:tr>
        <w:trPr>
          <w:trHeight w:val="235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______________________ </w:t>
            </w:r>
            <w:r>
              <w:rPr>
                <w:sz w:val="20"/>
                <w:szCs w:val="20"/>
              </w:rPr>
              <w:t xml:space="preserve">/______________/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__________________ /</w:t>
            </w:r>
            <w:r>
              <w:rPr>
                <w:sz w:val="20"/>
                <w:szCs w:val="20"/>
              </w:rPr>
              <w:t xml:space="preserve"> _____________</w:t>
            </w:r>
            <w:r>
              <w:rPr>
                <w:sz w:val="20"/>
                <w:szCs w:val="20"/>
                <w:lang w:eastAsia="ar-SA"/>
              </w:rPr>
              <w:t xml:space="preserve"> /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rPr>
          <w:trHeight w:val="267"/>
        </w:trPr>
        <w:tc>
          <w:tcPr>
            <w:tcBorders/>
            <w:tcW w:w="545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  <w:tc>
          <w:tcPr>
            <w:tcBorders/>
            <w:tcW w:w="4690" w:type="dxa"/>
            <w:textDirection w:val="lrTb"/>
            <w:noWrap w:val="false"/>
          </w:tcPr>
          <w:p>
            <w:pPr>
              <w:pBdr/>
              <w:spacing/>
              <w:ind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Подпись, печать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</w:tc>
      </w:tr>
    </w:tbl>
    <w:p>
      <w:pPr>
        <w:pStyle w:val="959"/>
        <w:pBdr/>
        <w:tabs>
          <w:tab w:val="left" w:leader="none" w:pos="9923"/>
        </w:tabs>
        <w:spacing/>
        <w:ind/>
        <w:contextualSpacing w:val="true"/>
        <w:outlineLvl w:val="1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bookmarkEnd w:id="0"/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Bdr/>
        <w:spacing/>
        <w:ind/>
        <w:rPr/>
      </w:pPr>
      <w:r/>
      <w:r/>
    </w:p>
    <w:sectPr>
      <w:footerReference w:type="default" r:id="rId9"/>
      <w:footnotePr/>
      <w:endnotePr/>
      <w:type w:val="nextPage"/>
      <w:pgSz w:h="16838" w:orient="portrait" w:w="11906"/>
      <w:pgMar w:top="709" w:right="566" w:bottom="709" w:left="1701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jaVu Sans">
    <w:panose1 w:val="020B0603030804020204"/>
  </w:font>
  <w:font w:name="Segoe UI">
    <w:panose1 w:val="020B0502040504020204"/>
  </w:font>
  <w:font w:name="Lucida Sans Unicode">
    <w:panose1 w:val="020B0502040504020204"/>
  </w:font>
  <w:font w:name="Tahoma">
    <w:panose1 w:val="020B0604030504040204"/>
  </w:font>
  <w:font w:name="Courier New">
    <w:panose1 w:val="020704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64"/>
      <w:pBdr/>
      <w:spacing/>
      <w:ind/>
      <w:jc w:val="center"/>
      <w:rPr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13</w:t>
    </w:r>
    <w:r>
      <w:fldChar w:fldCharType="end"/>
    </w:r>
    <w:r/>
  </w:p>
  <w:p>
    <w:pPr>
      <w:pStyle w:val="964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663DE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">
    <w:nsid w:val="07864180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">
    <w:nsid w:val="0B5737E1"/>
    <w:lvl w:ilvl="0">
      <w:isLgl w:val="false"/>
      <w:lvlJc w:val="left"/>
      <w:lvlText w:val="%1"/>
      <w:numFmt w:val="decimal"/>
      <w:pPr>
        <w:pBdr/>
        <w:spacing/>
        <w:ind w:hanging="360" w:left="540"/>
      </w:pPr>
      <w:rPr>
        <w:rFonts w:hint="default"/>
      </w:rPr>
      <w:start w:val="10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3">
    <w:nsid w:val="0F531C8D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4">
    <w:nsid w:val="16420A46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5">
    <w:nsid w:val="1DE51F5B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6">
    <w:nsid w:val="2098224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3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7">
    <w:nsid w:val="22640C31"/>
    <w:lvl w:ilvl="0">
      <w:isLgl w:val="false"/>
      <w:lvlJc w:val="left"/>
      <w:lvlText w:val="%1."/>
      <w:numFmt w:val="decimal"/>
      <w:pPr>
        <w:pBdr/>
        <w:spacing/>
        <w:ind w:hanging="360" w:left="100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2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44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16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8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0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2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04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764"/>
      </w:pPr>
      <w:rPr/>
      <w:start w:val="1"/>
      <w:suff w:val="tab"/>
    </w:lvl>
  </w:abstractNum>
  <w:abstractNum w:abstractNumId="8">
    <w:nsid w:val="23953BE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9">
    <w:nsid w:val="2D415AE3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18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0">
    <w:nsid w:val="303F2F14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1">
    <w:nsid w:val="350362D9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2">
    <w:nsid w:val="365051ED"/>
    <w:lvl w:ilvl="0">
      <w:isLgl w:val="false"/>
      <w:lvlJc w:val="left"/>
      <w:lvlText w:val="%1."/>
      <w:numFmt w:val="decimal"/>
      <w:pPr>
        <w:pBdr/>
        <w:spacing/>
        <w:ind w:hanging="360" w:left="786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3">
    <w:nsid w:val="3C9909BE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14">
    <w:nsid w:val="3CC03FE8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5">
    <w:nsid w:val="3F960FE9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6">
    <w:nsid w:val="416B7863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17">
    <w:nsid w:val="4F345134"/>
    <w:lvl w:ilvl="0">
      <w:isLgl w:val="false"/>
      <w:lvlJc w:val="left"/>
      <w:lvlText w:val="%1."/>
      <w:numFmt w:val="decimal"/>
      <w:pPr>
        <w:pBdr/>
        <w:spacing/>
        <w:ind w:hanging="360" w:left="36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8">
    <w:nsid w:val="596C3BE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19">
    <w:nsid w:val="5A7575FF"/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0">
    <w:nsid w:val="5E5A6CB7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1">
    <w:nsid w:val="5EF53182"/>
    <w:lvl w:ilvl="0">
      <w:isLgl w:val="false"/>
      <w:lvlJc w:val="left"/>
      <w:lvlText w:val="%1."/>
      <w:numFmt w:val="decimal"/>
      <w:pPr>
        <w:pBdr/>
        <w:spacing/>
        <w:ind w:hanging="360" w:left="36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08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80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52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24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39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68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40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120"/>
      </w:pPr>
      <w:rPr/>
      <w:start w:val="1"/>
      <w:suff w:val="tab"/>
    </w:lvl>
  </w:abstractNum>
  <w:abstractNum w:abstractNumId="22">
    <w:nsid w:val="644624EF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7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3">
    <w:nsid w:val="67881DA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4">
    <w:nsid w:val="6C28173C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25">
    <w:nsid w:val="6F5A1045"/>
    <w:lvl w:ilvl="0">
      <w:isLgl w:val="false"/>
      <w:lvlJc w:val="left"/>
      <w:lvlText w:val="%1."/>
      <w:numFmt w:val="decimal"/>
      <w:pPr>
        <w:pBdr/>
        <w:spacing/>
        <w:ind w:hanging="360" w:left="540"/>
      </w:pPr>
      <w:rPr>
        <w:rFonts w:hint="default"/>
      </w:rPr>
      <w:start w:val="9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26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198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70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42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14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86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58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300"/>
      </w:pPr>
      <w:rPr/>
      <w:start w:val="1"/>
      <w:suff w:val="tab"/>
    </w:lvl>
  </w:abstractNum>
  <w:abstractNum w:abstractNumId="26">
    <w:nsid w:val="71620EA5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abstractNum w:abstractNumId="27">
    <w:nsid w:val="7F8C6252"/>
    <w:lvl w:ilvl="0">
      <w:isLgl w:val="false"/>
      <w:lvlJc w:val="left"/>
      <w:lvlText w:val="%1."/>
      <w:numFmt w:val="decimal"/>
      <w:pPr>
        <w:pBdr/>
        <w:spacing/>
        <w:ind w:hanging="360" w:left="644"/>
      </w:pPr>
      <w:rPr>
        <w:rFonts w:hint="default"/>
        <w:b/>
      </w:rPr>
      <w:start w:val="15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364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084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04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24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244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4964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684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04"/>
      </w:pPr>
      <w:rPr/>
      <w:start w:val="1"/>
      <w:suff w:val="tab"/>
    </w:lvl>
  </w:abstractNum>
  <w:num w:numId="1">
    <w:abstractNumId w:val="14"/>
  </w:num>
  <w:num w:numId="2">
    <w:abstractNumId w:val="21"/>
  </w:num>
  <w:num w:numId="3">
    <w:abstractNumId w:val="19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</w:num>
  <w:num w:numId="6">
    <w:abstractNumId w:val="24"/>
  </w:num>
  <w:num w:numId="7">
    <w:abstractNumId w:val="17"/>
  </w:num>
  <w:num w:numId="8">
    <w:abstractNumId w:val="12"/>
  </w:num>
  <w:num w:numId="9">
    <w:abstractNumId w:val="6"/>
  </w:num>
  <w:num w:numId="10">
    <w:abstractNumId w:val="0"/>
  </w:num>
  <w:num w:numId="11">
    <w:abstractNumId w:val="22"/>
  </w:num>
  <w:num w:numId="12">
    <w:abstractNumId w:val="27"/>
  </w:num>
  <w:num w:numId="13">
    <w:abstractNumId w:val="9"/>
  </w:num>
  <w:num w:numId="14">
    <w:abstractNumId w:val="1"/>
  </w:num>
  <w:num w:numId="15">
    <w:abstractNumId w:val="5"/>
  </w:num>
  <w:num w:numId="16">
    <w:abstractNumId w:val="8"/>
  </w:num>
  <w:num w:numId="17">
    <w:abstractNumId w:val="26"/>
  </w:num>
  <w:num w:numId="18">
    <w:abstractNumId w:val="3"/>
  </w:num>
  <w:num w:numId="19">
    <w:abstractNumId w:val="4"/>
  </w:num>
  <w:num w:numId="20">
    <w:abstractNumId w:val="18"/>
  </w:num>
  <w:num w:numId="21">
    <w:abstractNumId w:val="7"/>
  </w:num>
  <w:num w:numId="22">
    <w:abstractNumId w:val="16"/>
  </w:num>
  <w:num w:numId="23">
    <w:abstractNumId w:val="13"/>
  </w:num>
  <w:num w:numId="24">
    <w:abstractNumId w:val="25"/>
  </w:num>
  <w:num w:numId="25">
    <w:abstractNumId w:val="2"/>
  </w:num>
  <w:num w:numId="26">
    <w:abstractNumId w:val="10"/>
  </w:num>
  <w:num w:numId="27">
    <w:abstractNumId w:val="15"/>
  </w:num>
  <w:num w:numId="28">
    <w:abstractNumId w:val="11"/>
  </w:num>
  <w:num w:numId="2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76">
    <w:name w:val="Table Grid Light"/>
    <w:basedOn w:val="9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Plain Table 1"/>
    <w:basedOn w:val="9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Plain Table 2"/>
    <w:basedOn w:val="95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Plain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Plain Table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Plain Table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1 Light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1 Light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1 Light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1 Light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1 Light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1 Light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1 Light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2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2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2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2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2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2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3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3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3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3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3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3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4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4 - Accent 1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4 - Accent 2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4 - Accent 3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4 - Accent 4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4 - Accent 5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4 - Accent 6"/>
    <w:basedOn w:val="95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5 Dark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5 Dark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5 Dark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5 Dark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5 Dark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5 Dark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5 Dark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6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6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6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Grid Table 6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Grid Table 6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Grid Table 6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Grid Table 6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7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Grid Table 7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Grid Table 7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Grid Table 7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Grid Table 7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Grid Table 7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Grid Table 7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1 Light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1 Light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1 Light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1 Light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1 Light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1 Light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1 Light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2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2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2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2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2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2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3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3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3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3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3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3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4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4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4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4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4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4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5 Dark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5 Dark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5 Dark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5 Dark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5 Dark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5 Dark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5 Dark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6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6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6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st Table 6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st Table 6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st Table 6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st Table 6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7 Colorful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st Table 7 Colorful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st Table 7 Colorful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st Table 7 Colorful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List Table 7 Colorful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List Table 7 Colorful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List Table 7 Colorful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ned - Accent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Lined - Accent 1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Lined - Accent 2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Lined - Accent 3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Lined - Accent 4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Lined - Accent 5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Lined - Accent 6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1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2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3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Bordered &amp; Lined - Accent 4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>
    <w:name w:val="Bordered &amp; Lined - Accent 5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Bordered &amp; Lined - Accent 6"/>
    <w:basedOn w:val="95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Bordered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Bordered - Accent 1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Bordered - Accent 2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Bordered - Accent 3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Bordered - Accent 4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Bordered - Accent 5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Bordered - Accent 6"/>
    <w:basedOn w:val="95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01">
    <w:name w:val="Heading 4"/>
    <w:basedOn w:val="950"/>
    <w:next w:val="950"/>
    <w:link w:val="91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902">
    <w:name w:val="Heading 5"/>
    <w:basedOn w:val="950"/>
    <w:next w:val="950"/>
    <w:link w:val="91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903">
    <w:name w:val="Heading 6"/>
    <w:basedOn w:val="950"/>
    <w:next w:val="950"/>
    <w:link w:val="91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904">
    <w:name w:val="Heading 7"/>
    <w:basedOn w:val="950"/>
    <w:next w:val="950"/>
    <w:link w:val="91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905">
    <w:name w:val="Heading 8"/>
    <w:basedOn w:val="950"/>
    <w:next w:val="950"/>
    <w:link w:val="91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906">
    <w:name w:val="Heading 9"/>
    <w:basedOn w:val="950"/>
    <w:next w:val="950"/>
    <w:link w:val="91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907">
    <w:name w:val="Heading 1 Char"/>
    <w:basedOn w:val="954"/>
    <w:link w:val="9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908">
    <w:name w:val="Heading 2 Char"/>
    <w:basedOn w:val="954"/>
    <w:link w:val="9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909">
    <w:name w:val="Heading 3 Char"/>
    <w:basedOn w:val="954"/>
    <w:link w:val="95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910">
    <w:name w:val="Heading 4 Char"/>
    <w:basedOn w:val="954"/>
    <w:link w:val="90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911">
    <w:name w:val="Heading 5 Char"/>
    <w:basedOn w:val="954"/>
    <w:link w:val="90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12">
    <w:name w:val="Heading 6 Char"/>
    <w:basedOn w:val="954"/>
    <w:link w:val="90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13">
    <w:name w:val="Heading 7 Char"/>
    <w:basedOn w:val="954"/>
    <w:link w:val="90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14">
    <w:name w:val="Heading 8 Char"/>
    <w:basedOn w:val="954"/>
    <w:link w:val="90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5">
    <w:name w:val="Heading 9 Char"/>
    <w:basedOn w:val="954"/>
    <w:link w:val="90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16">
    <w:name w:val="Title Char"/>
    <w:basedOn w:val="954"/>
    <w:link w:val="98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17">
    <w:name w:val="Subtitle Char"/>
    <w:basedOn w:val="954"/>
    <w:link w:val="98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18">
    <w:name w:val="Quote"/>
    <w:basedOn w:val="950"/>
    <w:next w:val="950"/>
    <w:link w:val="91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19">
    <w:name w:val="Quote Char"/>
    <w:basedOn w:val="954"/>
    <w:link w:val="91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20">
    <w:name w:val="Intense Emphasis"/>
    <w:basedOn w:val="95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21">
    <w:name w:val="Intense Quote"/>
    <w:basedOn w:val="950"/>
    <w:next w:val="950"/>
    <w:link w:val="922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22">
    <w:name w:val="Intense Quote Char"/>
    <w:basedOn w:val="954"/>
    <w:link w:val="92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23">
    <w:name w:val="Intense Reference"/>
    <w:basedOn w:val="95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924">
    <w:name w:val="Subtle Emphasis"/>
    <w:basedOn w:val="95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25">
    <w:name w:val="Emphasis"/>
    <w:basedOn w:val="954"/>
    <w:uiPriority w:val="20"/>
    <w:qFormat/>
    <w:pPr>
      <w:pBdr/>
      <w:spacing/>
      <w:ind/>
    </w:pPr>
    <w:rPr>
      <w:i/>
      <w:iCs/>
    </w:rPr>
  </w:style>
  <w:style w:type="character" w:styleId="926">
    <w:name w:val="Subtle Reference"/>
    <w:basedOn w:val="95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27">
    <w:name w:val="Book Title"/>
    <w:basedOn w:val="954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928">
    <w:name w:val="Header Char"/>
    <w:basedOn w:val="954"/>
    <w:link w:val="969"/>
    <w:uiPriority w:val="99"/>
    <w:pPr>
      <w:pBdr/>
      <w:spacing/>
      <w:ind/>
    </w:pPr>
  </w:style>
  <w:style w:type="character" w:styleId="929">
    <w:name w:val="Footer Char"/>
    <w:basedOn w:val="954"/>
    <w:link w:val="964"/>
    <w:uiPriority w:val="99"/>
    <w:pPr>
      <w:pBdr/>
      <w:spacing/>
      <w:ind/>
    </w:pPr>
  </w:style>
  <w:style w:type="paragraph" w:styleId="930">
    <w:name w:val="Caption"/>
    <w:basedOn w:val="950"/>
    <w:next w:val="95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31">
    <w:name w:val="footnote text"/>
    <w:basedOn w:val="950"/>
    <w:link w:val="93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2">
    <w:name w:val="Footnote Text Char"/>
    <w:basedOn w:val="954"/>
    <w:link w:val="931"/>
    <w:uiPriority w:val="99"/>
    <w:semiHidden/>
    <w:pPr>
      <w:pBdr/>
      <w:spacing/>
      <w:ind/>
    </w:pPr>
    <w:rPr>
      <w:sz w:val="20"/>
      <w:szCs w:val="20"/>
    </w:rPr>
  </w:style>
  <w:style w:type="character" w:styleId="933">
    <w:name w:val="footnote reference"/>
    <w:basedOn w:val="954"/>
    <w:uiPriority w:val="99"/>
    <w:semiHidden/>
    <w:unhideWhenUsed/>
    <w:pPr>
      <w:pBdr/>
      <w:spacing/>
      <w:ind/>
    </w:pPr>
    <w:rPr>
      <w:vertAlign w:val="superscript"/>
    </w:rPr>
  </w:style>
  <w:style w:type="paragraph" w:styleId="934">
    <w:name w:val="endnote text"/>
    <w:basedOn w:val="950"/>
    <w:link w:val="93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35">
    <w:name w:val="Endnote Text Char"/>
    <w:basedOn w:val="954"/>
    <w:link w:val="934"/>
    <w:uiPriority w:val="99"/>
    <w:semiHidden/>
    <w:pPr>
      <w:pBdr/>
      <w:spacing/>
      <w:ind/>
    </w:pPr>
    <w:rPr>
      <w:sz w:val="20"/>
      <w:szCs w:val="20"/>
    </w:rPr>
  </w:style>
  <w:style w:type="character" w:styleId="936">
    <w:name w:val="endnote reference"/>
    <w:basedOn w:val="954"/>
    <w:uiPriority w:val="99"/>
    <w:semiHidden/>
    <w:unhideWhenUsed/>
    <w:pPr>
      <w:pBdr/>
      <w:spacing/>
      <w:ind/>
    </w:pPr>
    <w:rPr>
      <w:vertAlign w:val="superscript"/>
    </w:rPr>
  </w:style>
  <w:style w:type="character" w:styleId="937">
    <w:name w:val="FollowedHyperlink"/>
    <w:basedOn w:val="95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8">
    <w:name w:val="toc 1"/>
    <w:basedOn w:val="950"/>
    <w:next w:val="950"/>
    <w:uiPriority w:val="39"/>
    <w:unhideWhenUsed/>
    <w:pPr>
      <w:pBdr/>
      <w:spacing w:after="100"/>
      <w:ind/>
    </w:pPr>
  </w:style>
  <w:style w:type="paragraph" w:styleId="939">
    <w:name w:val="toc 2"/>
    <w:basedOn w:val="950"/>
    <w:next w:val="950"/>
    <w:uiPriority w:val="39"/>
    <w:unhideWhenUsed/>
    <w:pPr>
      <w:pBdr/>
      <w:spacing w:after="100"/>
      <w:ind w:left="220"/>
    </w:pPr>
  </w:style>
  <w:style w:type="paragraph" w:styleId="940">
    <w:name w:val="toc 3"/>
    <w:basedOn w:val="950"/>
    <w:next w:val="950"/>
    <w:uiPriority w:val="39"/>
    <w:unhideWhenUsed/>
    <w:pPr>
      <w:pBdr/>
      <w:spacing w:after="100"/>
      <w:ind w:left="440"/>
    </w:pPr>
  </w:style>
  <w:style w:type="paragraph" w:styleId="941">
    <w:name w:val="toc 4"/>
    <w:basedOn w:val="950"/>
    <w:next w:val="950"/>
    <w:uiPriority w:val="39"/>
    <w:unhideWhenUsed/>
    <w:pPr>
      <w:pBdr/>
      <w:spacing w:after="100"/>
      <w:ind w:left="660"/>
    </w:pPr>
  </w:style>
  <w:style w:type="paragraph" w:styleId="942">
    <w:name w:val="toc 5"/>
    <w:basedOn w:val="950"/>
    <w:next w:val="950"/>
    <w:uiPriority w:val="39"/>
    <w:unhideWhenUsed/>
    <w:pPr>
      <w:pBdr/>
      <w:spacing w:after="100"/>
      <w:ind w:left="880"/>
    </w:pPr>
  </w:style>
  <w:style w:type="paragraph" w:styleId="943">
    <w:name w:val="toc 6"/>
    <w:basedOn w:val="950"/>
    <w:next w:val="950"/>
    <w:uiPriority w:val="39"/>
    <w:unhideWhenUsed/>
    <w:pPr>
      <w:pBdr/>
      <w:spacing w:after="100"/>
      <w:ind w:left="1100"/>
    </w:pPr>
  </w:style>
  <w:style w:type="paragraph" w:styleId="944">
    <w:name w:val="toc 7"/>
    <w:basedOn w:val="950"/>
    <w:next w:val="950"/>
    <w:uiPriority w:val="39"/>
    <w:unhideWhenUsed/>
    <w:pPr>
      <w:pBdr/>
      <w:spacing w:after="100"/>
      <w:ind w:left="1320"/>
    </w:pPr>
  </w:style>
  <w:style w:type="paragraph" w:styleId="945">
    <w:name w:val="toc 8"/>
    <w:basedOn w:val="950"/>
    <w:next w:val="950"/>
    <w:uiPriority w:val="39"/>
    <w:unhideWhenUsed/>
    <w:pPr>
      <w:pBdr/>
      <w:spacing w:after="100"/>
      <w:ind w:left="1540"/>
    </w:pPr>
  </w:style>
  <w:style w:type="paragraph" w:styleId="946">
    <w:name w:val="toc 9"/>
    <w:basedOn w:val="950"/>
    <w:next w:val="950"/>
    <w:uiPriority w:val="39"/>
    <w:unhideWhenUsed/>
    <w:pPr>
      <w:pBdr/>
      <w:spacing w:after="100"/>
      <w:ind w:left="1760"/>
    </w:pPr>
  </w:style>
  <w:style w:type="character" w:styleId="947">
    <w:name w:val="Placeholder Text"/>
    <w:basedOn w:val="954"/>
    <w:uiPriority w:val="99"/>
    <w:semiHidden/>
    <w:pPr>
      <w:pBdr/>
      <w:spacing/>
      <w:ind/>
    </w:pPr>
    <w:rPr>
      <w:color w:val="666666"/>
    </w:rPr>
  </w:style>
  <w:style w:type="paragraph" w:styleId="948">
    <w:name w:val="TOC Heading"/>
    <w:uiPriority w:val="39"/>
    <w:unhideWhenUsed/>
    <w:pPr>
      <w:pBdr/>
      <w:spacing/>
      <w:ind/>
    </w:pPr>
  </w:style>
  <w:style w:type="paragraph" w:styleId="949">
    <w:name w:val="table of figures"/>
    <w:basedOn w:val="950"/>
    <w:next w:val="950"/>
    <w:uiPriority w:val="99"/>
    <w:unhideWhenUsed/>
    <w:pPr>
      <w:pBdr/>
      <w:spacing w:after="0" w:afterAutospacing="0"/>
      <w:ind/>
    </w:pPr>
  </w:style>
  <w:style w:type="paragraph" w:styleId="950" w:default="1">
    <w:name w:val="Normal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51">
    <w:name w:val="Heading 1"/>
    <w:basedOn w:val="950"/>
    <w:next w:val="950"/>
    <w:link w:val="957"/>
    <w:uiPriority w:val="9"/>
    <w:qFormat/>
    <w:pPr>
      <w:keepNext w:val="true"/>
      <w:keepLines w:val="true"/>
      <w:pBdr/>
      <w:spacing w:before="480" w:line="276" w:lineRule="auto"/>
      <w:ind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952">
    <w:name w:val="Heading 2"/>
    <w:basedOn w:val="950"/>
    <w:next w:val="950"/>
    <w:link w:val="978"/>
    <w:uiPriority w:val="9"/>
    <w:semiHidden/>
    <w:unhideWhenUsed/>
    <w:qFormat/>
    <w:pPr>
      <w:keepNext w:val="true"/>
      <w:keepLines w:val="true"/>
      <w:pBdr/>
      <w:spacing w:before="200"/>
      <w:ind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953">
    <w:name w:val="Heading 3"/>
    <w:basedOn w:val="950"/>
    <w:link w:val="958"/>
    <w:uiPriority w:val="9"/>
    <w:qFormat/>
    <w:pPr>
      <w:pBdr/>
      <w:spacing w:after="100" w:afterAutospacing="1" w:before="100" w:beforeAutospacing="1"/>
      <w:ind/>
      <w:outlineLvl w:val="2"/>
    </w:pPr>
    <w:rPr>
      <w:b/>
      <w:bCs/>
      <w:sz w:val="27"/>
      <w:szCs w:val="27"/>
    </w:rPr>
  </w:style>
  <w:style w:type="character" w:styleId="954" w:default="1">
    <w:name w:val="Default Paragraph Font"/>
    <w:uiPriority w:val="1"/>
    <w:semiHidden/>
    <w:unhideWhenUsed/>
    <w:pPr>
      <w:pBdr/>
      <w:spacing/>
      <w:ind/>
    </w:pPr>
  </w:style>
  <w:style w:type="table" w:styleId="95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56" w:default="1">
    <w:name w:val="No List"/>
    <w:uiPriority w:val="99"/>
    <w:semiHidden/>
    <w:unhideWhenUsed/>
    <w:pPr>
      <w:pBdr/>
      <w:spacing/>
      <w:ind/>
    </w:pPr>
  </w:style>
  <w:style w:type="character" w:styleId="957" w:customStyle="1">
    <w:name w:val="Заголовок 1 Знак"/>
    <w:basedOn w:val="954"/>
    <w:link w:val="951"/>
    <w:uiPriority w:val="9"/>
    <w:pPr>
      <w:pBdr/>
      <w:spacing/>
      <w:ind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958" w:customStyle="1">
    <w:name w:val="Заголовок 3 Знак"/>
    <w:basedOn w:val="954"/>
    <w:link w:val="953"/>
    <w:uiPriority w:val="9"/>
    <w:pPr>
      <w:pBdr/>
      <w:spacing/>
      <w:ind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959" w:customStyle="1">
    <w:name w:val="ConsPlusNormal"/>
    <w:link w:val="960"/>
    <w:qFormat/>
    <w:pPr>
      <w:widowControl w:val="false"/>
      <w:pBdr/>
      <w:spacing w:after="0" w:line="240" w:lineRule="auto"/>
      <w:ind/>
    </w:pPr>
    <w:rPr>
      <w:rFonts w:ascii="Calibri" w:hAnsi="Calibri" w:eastAsia="Times New Roman" w:cs="Calibri"/>
      <w:szCs w:val="20"/>
      <w:lang w:eastAsia="ru-RU"/>
    </w:rPr>
  </w:style>
  <w:style w:type="character" w:styleId="960" w:customStyle="1">
    <w:name w:val="ConsPlusNormal Знак"/>
    <w:link w:val="959"/>
    <w:uiPriority w:val="99"/>
    <w:pPr>
      <w:pBdr/>
      <w:spacing/>
      <w:ind/>
    </w:pPr>
    <w:rPr>
      <w:rFonts w:ascii="Calibri" w:hAnsi="Calibri" w:eastAsia="Times New Roman" w:cs="Calibri"/>
      <w:szCs w:val="20"/>
      <w:lang w:eastAsia="ru-RU"/>
    </w:rPr>
  </w:style>
  <w:style w:type="paragraph" w:styleId="961" w:customStyle="1">
    <w:name w:val="ConsPlusNonformat"/>
    <w:pPr>
      <w:widowControl w:val="false"/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962" w:customStyle="1">
    <w:name w:val="ConsPlusCell"/>
    <w:pPr>
      <w:widowControl w:val="false"/>
      <w:pBdr/>
      <w:spacing w:after="0" w:line="240" w:lineRule="auto"/>
      <w:ind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963">
    <w:name w:val="Hyperlink"/>
    <w:pPr>
      <w:pBdr/>
      <w:spacing/>
      <w:ind/>
    </w:pPr>
    <w:rPr>
      <w:rFonts w:cs="Times New Roman"/>
      <w:color w:val="0000ff"/>
      <w:u w:val="single"/>
    </w:rPr>
  </w:style>
  <w:style w:type="paragraph" w:styleId="964">
    <w:name w:val="Footer"/>
    <w:basedOn w:val="950"/>
    <w:link w:val="965"/>
    <w:uiPriority w:val="99"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65" w:customStyle="1">
    <w:name w:val="Нижний колонтитул Знак"/>
    <w:basedOn w:val="954"/>
    <w:link w:val="964"/>
    <w:uiPriority w:val="99"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66" w:customStyle="1">
    <w:name w:val="section__title"/>
    <w:basedOn w:val="954"/>
    <w:pPr>
      <w:pBdr/>
      <w:spacing/>
      <w:ind/>
    </w:pPr>
  </w:style>
  <w:style w:type="paragraph" w:styleId="967">
    <w:name w:val="List Paragraph"/>
    <w:basedOn w:val="950"/>
    <w:link w:val="980"/>
    <w:uiPriority w:val="34"/>
    <w:qFormat/>
    <w:pPr>
      <w:pBdr/>
      <w:spacing w:after="200" w:line="276" w:lineRule="auto"/>
      <w:ind w:left="720"/>
      <w:contextualSpacing w:val="true"/>
    </w:pPr>
    <w:rPr>
      <w:rFonts w:ascii="Calibri" w:hAnsi="Calibri" w:eastAsia="Calibri"/>
      <w:sz w:val="22"/>
      <w:szCs w:val="22"/>
      <w:lang w:eastAsia="en-US"/>
    </w:rPr>
  </w:style>
  <w:style w:type="character" w:styleId="968" w:customStyle="1">
    <w:name w:val="section__info"/>
    <w:basedOn w:val="954"/>
    <w:pPr>
      <w:pBdr/>
      <w:spacing/>
      <w:ind/>
    </w:pPr>
  </w:style>
  <w:style w:type="paragraph" w:styleId="969">
    <w:name w:val="Header"/>
    <w:basedOn w:val="950"/>
    <w:link w:val="970"/>
    <w:uiPriority w:val="99"/>
    <w:semiHidden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70" w:customStyle="1">
    <w:name w:val="Верхний колонтитул Знак"/>
    <w:basedOn w:val="954"/>
    <w:link w:val="969"/>
    <w:uiPriority w:val="99"/>
    <w:semiHidden/>
    <w:pPr>
      <w:pBdr/>
      <w:spacing/>
      <w:ind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971" w:customStyle="1">
    <w:name w:val="Интернет-ссылка"/>
    <w:uiPriority w:val="99"/>
    <w:pPr>
      <w:pBdr/>
      <w:spacing/>
      <w:ind/>
    </w:pPr>
    <w:rPr>
      <w:rFonts w:cs="Times New Roman"/>
      <w:color w:val="0000ff"/>
      <w:u w:val="single"/>
    </w:rPr>
  </w:style>
  <w:style w:type="paragraph" w:styleId="972">
    <w:name w:val="No Spacing"/>
    <w:link w:val="977"/>
    <w:uiPriority w:val="1"/>
    <w:qFormat/>
    <w:pPr>
      <w:pBdr/>
      <w:spacing w:after="0" w:line="240" w:lineRule="auto"/>
      <w:ind/>
    </w:pPr>
    <w:rPr>
      <w:rFonts w:ascii="Calibri" w:hAnsi="Calibri" w:eastAsia="Calibri" w:cs="Times New Roman"/>
    </w:rPr>
  </w:style>
  <w:style w:type="paragraph" w:styleId="973">
    <w:name w:val="Body Text Indent 3"/>
    <w:basedOn w:val="950"/>
    <w:link w:val="974"/>
    <w:uiPriority w:val="99"/>
    <w:semiHidden/>
    <w:unhideWhenUsed/>
    <w:pPr>
      <w:pBdr/>
      <w:spacing w:after="120" w:line="276" w:lineRule="auto"/>
      <w:ind w:left="283"/>
    </w:pPr>
    <w:rPr>
      <w:rFonts w:ascii="Calibri" w:hAnsi="Calibri" w:eastAsia="Calibri"/>
      <w:sz w:val="16"/>
      <w:szCs w:val="16"/>
      <w:lang w:eastAsia="en-US"/>
    </w:rPr>
  </w:style>
  <w:style w:type="character" w:styleId="974" w:customStyle="1">
    <w:name w:val="Основной текст с отступом 3 Знак"/>
    <w:basedOn w:val="954"/>
    <w:link w:val="973"/>
    <w:uiPriority w:val="99"/>
    <w:semiHidden/>
    <w:pPr>
      <w:pBdr/>
      <w:spacing/>
      <w:ind/>
    </w:pPr>
    <w:rPr>
      <w:rFonts w:ascii="Calibri" w:hAnsi="Calibri" w:eastAsia="Calibri" w:cs="Times New Roman"/>
      <w:sz w:val="16"/>
      <w:szCs w:val="16"/>
    </w:rPr>
  </w:style>
  <w:style w:type="character" w:styleId="975" w:customStyle="1">
    <w:name w:val="copy_target"/>
    <w:basedOn w:val="954"/>
    <w:pPr>
      <w:pBdr/>
      <w:spacing/>
      <w:ind/>
    </w:pPr>
  </w:style>
  <w:style w:type="table" w:styleId="976">
    <w:name w:val="Table Grid"/>
    <w:basedOn w:val="955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77" w:customStyle="1">
    <w:name w:val="Без интервала Знак"/>
    <w:basedOn w:val="954"/>
    <w:link w:val="972"/>
    <w:uiPriority w:val="1"/>
    <w:pPr>
      <w:pBdr/>
      <w:spacing/>
      <w:ind/>
    </w:pPr>
    <w:rPr>
      <w:rFonts w:ascii="Calibri" w:hAnsi="Calibri" w:eastAsia="Calibri" w:cs="Times New Roman"/>
    </w:rPr>
  </w:style>
  <w:style w:type="character" w:styleId="978" w:customStyle="1">
    <w:name w:val="Заголовок 2 Знак"/>
    <w:basedOn w:val="954"/>
    <w:link w:val="952"/>
    <w:uiPriority w:val="9"/>
    <w:semiHidden/>
    <w:pPr>
      <w:pBdr/>
      <w:spacing/>
      <w:ind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eastAsia="ru-RU"/>
    </w:rPr>
  </w:style>
  <w:style w:type="character" w:styleId="979" w:customStyle="1">
    <w:name w:val="cardmaininfo__title"/>
    <w:basedOn w:val="954"/>
    <w:pPr>
      <w:pBdr/>
      <w:spacing/>
      <w:ind/>
    </w:pPr>
  </w:style>
  <w:style w:type="character" w:styleId="980" w:customStyle="1">
    <w:name w:val="Абзац списка Знак"/>
    <w:link w:val="967"/>
    <w:uiPriority w:val="34"/>
    <w:qFormat/>
    <w:pPr>
      <w:pBdr/>
      <w:spacing/>
      <w:ind/>
    </w:pPr>
    <w:rPr>
      <w:rFonts w:ascii="Calibri" w:hAnsi="Calibri" w:eastAsia="Calibri" w:cs="Times New Roman"/>
    </w:rPr>
  </w:style>
  <w:style w:type="paragraph" w:styleId="981" w:customStyle="1">
    <w:name w:val="222"/>
    <w:basedOn w:val="950"/>
    <w:qFormat/>
    <w:pPr>
      <w:pBdr/>
      <w:spacing/>
      <w:ind w:left="851"/>
    </w:pPr>
    <w:rPr>
      <w:sz w:val="20"/>
      <w:szCs w:val="20"/>
    </w:rPr>
  </w:style>
  <w:style w:type="paragraph" w:styleId="982" w:customStyle="1">
    <w:name w:val="headertext"/>
    <w:basedOn w:val="950"/>
    <w:pPr>
      <w:pBdr/>
      <w:spacing w:after="100" w:afterAutospacing="1" w:before="100" w:beforeAutospacing="1"/>
      <w:ind/>
    </w:pPr>
  </w:style>
  <w:style w:type="paragraph" w:styleId="983">
    <w:name w:val="Title"/>
    <w:basedOn w:val="950"/>
    <w:link w:val="984"/>
    <w:qFormat/>
    <w:pPr>
      <w:pBdr/>
      <w:spacing/>
      <w:ind w:left="-900"/>
      <w:jc w:val="center"/>
    </w:pPr>
    <w:rPr>
      <w:b/>
      <w:sz w:val="28"/>
      <w:szCs w:val="20"/>
    </w:rPr>
  </w:style>
  <w:style w:type="character" w:styleId="984" w:customStyle="1">
    <w:name w:val="Заголовок Знак"/>
    <w:basedOn w:val="954"/>
    <w:link w:val="983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85">
    <w:name w:val="Body Text"/>
    <w:basedOn w:val="950"/>
    <w:link w:val="986"/>
    <w:pPr>
      <w:pBdr/>
      <w:spacing/>
      <w:ind/>
      <w:jc w:val="center"/>
    </w:pPr>
    <w:rPr>
      <w:sz w:val="22"/>
      <w:szCs w:val="20"/>
      <w:lang w:val="en-US"/>
    </w:rPr>
  </w:style>
  <w:style w:type="character" w:styleId="986" w:customStyle="1">
    <w:name w:val="Основной текст Знак"/>
    <w:basedOn w:val="954"/>
    <w:link w:val="985"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987">
    <w:name w:val="Subtitle"/>
    <w:basedOn w:val="950"/>
    <w:link w:val="988"/>
    <w:qFormat/>
    <w:pPr>
      <w:pBdr/>
      <w:tabs>
        <w:tab w:val="left" w:leader="none" w:pos="6804"/>
      </w:tabs>
      <w:spacing/>
      <w:ind/>
    </w:pPr>
    <w:rPr>
      <w:b/>
      <w:color w:val="000000"/>
      <w:sz w:val="16"/>
      <w:szCs w:val="20"/>
    </w:rPr>
  </w:style>
  <w:style w:type="character" w:styleId="988" w:customStyle="1">
    <w:name w:val="Подзаголовок Знак"/>
    <w:basedOn w:val="954"/>
    <w:link w:val="987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989" w:customStyle="1">
    <w:name w:val="Абзац списка1"/>
    <w:basedOn w:val="950"/>
    <w:pPr>
      <w:pBdr/>
      <w:spacing/>
      <w:ind w:left="720"/>
      <w:contextualSpacing w:val="true"/>
    </w:pPr>
  </w:style>
  <w:style w:type="paragraph" w:styleId="990" w:customStyle="1">
    <w:name w:val="Содержимое таблицы"/>
    <w:basedOn w:val="950"/>
    <w:pPr>
      <w:widowControl w:val="false"/>
      <w:suppressLineNumbers w:val="true"/>
      <w:pBdr/>
      <w:spacing/>
      <w:ind/>
    </w:pPr>
    <w:rPr>
      <w:rFonts w:eastAsia="Lucida Sans Unicode" w:cs="Tahoma"/>
      <w:lang w:eastAsia="hi-IN" w:bidi="hi-IN"/>
    </w:rPr>
  </w:style>
  <w:style w:type="paragraph" w:styleId="991" w:customStyle="1">
    <w:name w:val="Заголовок таблицы"/>
    <w:basedOn w:val="990"/>
    <w:pPr>
      <w:pBdr/>
      <w:spacing/>
      <w:ind/>
      <w:jc w:val="center"/>
    </w:pPr>
    <w:rPr>
      <w:b/>
      <w:bCs/>
    </w:rPr>
  </w:style>
  <w:style w:type="character" w:styleId="992" w:customStyle="1">
    <w:name w:val="pinkbg1"/>
    <w:basedOn w:val="954"/>
    <w:pPr>
      <w:pBdr/>
      <w:spacing/>
      <w:ind/>
    </w:pPr>
    <w:rPr>
      <w:shd w:val="clear" w:color="auto" w:fill="fdd7c9"/>
    </w:rPr>
  </w:style>
  <w:style w:type="paragraph" w:styleId="993" w:customStyle="1">
    <w:name w:val="Знак Знак Знак Знак"/>
    <w:basedOn w:val="950"/>
    <w:pPr>
      <w:pBdr/>
      <w:spacing w:after="100" w:afterAutospacing="1" w:before="100" w:beforeAutospacing="1"/>
      <w:ind/>
    </w:pPr>
    <w:rPr>
      <w:rFonts w:ascii="Tahoma" w:hAnsi="Tahoma"/>
      <w:sz w:val="20"/>
      <w:szCs w:val="20"/>
      <w:lang w:val="en-US" w:eastAsia="en-US"/>
    </w:rPr>
  </w:style>
  <w:style w:type="paragraph" w:styleId="994">
    <w:name w:val="Balloon Text"/>
    <w:basedOn w:val="950"/>
    <w:link w:val="995"/>
    <w:uiPriority w:val="99"/>
    <w:semiHidden/>
    <w:unhideWhenUsed/>
    <w:pPr>
      <w:pBdr/>
      <w:spacing/>
      <w:ind/>
    </w:pPr>
    <w:rPr>
      <w:rFonts w:ascii="Segoe UI" w:hAnsi="Segoe UI" w:eastAsia="Calibri" w:cs="Segoe UI"/>
      <w:sz w:val="18"/>
      <w:szCs w:val="18"/>
      <w:lang w:eastAsia="en-US"/>
    </w:rPr>
  </w:style>
  <w:style w:type="character" w:styleId="995" w:customStyle="1">
    <w:name w:val="Текст выноски Знак"/>
    <w:basedOn w:val="954"/>
    <w:link w:val="994"/>
    <w:uiPriority w:val="99"/>
    <w:semiHidden/>
    <w:pPr>
      <w:pBdr/>
      <w:spacing/>
      <w:ind/>
    </w:pPr>
    <w:rPr>
      <w:rFonts w:ascii="Segoe UI" w:hAnsi="Segoe UI" w:eastAsia="Calibri" w:cs="Segoe UI"/>
      <w:sz w:val="18"/>
      <w:szCs w:val="18"/>
    </w:rPr>
  </w:style>
  <w:style w:type="character" w:styleId="996" w:customStyle="1">
    <w:name w:val="apple-style-span"/>
    <w:basedOn w:val="954"/>
    <w:pPr>
      <w:pBdr/>
      <w:spacing/>
      <w:ind/>
    </w:pPr>
  </w:style>
  <w:style w:type="paragraph" w:styleId="997">
    <w:name w:val="Normal (Web)"/>
    <w:basedOn w:val="950"/>
    <w:uiPriority w:val="99"/>
    <w:pPr>
      <w:pBdr/>
      <w:spacing w:after="200" w:line="276" w:lineRule="auto"/>
      <w:ind/>
    </w:pPr>
    <w:rPr>
      <w:lang w:eastAsia="en-US"/>
    </w:rPr>
  </w:style>
  <w:style w:type="character" w:styleId="998" w:customStyle="1">
    <w:name w:val="apple-converted-space"/>
    <w:basedOn w:val="954"/>
    <w:pPr>
      <w:pBdr/>
      <w:spacing/>
      <w:ind/>
    </w:pPr>
  </w:style>
  <w:style w:type="paragraph" w:styleId="999">
    <w:name w:val="Body Text Indent"/>
    <w:basedOn w:val="950"/>
    <w:link w:val="1000"/>
    <w:pPr>
      <w:pBdr/>
      <w:spacing w:after="120"/>
      <w:ind w:left="283"/>
    </w:pPr>
    <w:rPr>
      <w:rFonts w:eastAsia="Calibri"/>
    </w:rPr>
  </w:style>
  <w:style w:type="character" w:styleId="1000" w:customStyle="1">
    <w:name w:val="Основной текст с отступом Знак"/>
    <w:basedOn w:val="954"/>
    <w:link w:val="999"/>
    <w:pPr>
      <w:pBdr/>
      <w:spacing/>
      <w:ind/>
    </w:pPr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1001">
    <w:name w:val="Strong"/>
    <w:basedOn w:val="954"/>
    <w:uiPriority w:val="22"/>
    <w:qFormat/>
    <w:pPr>
      <w:pBdr/>
      <w:spacing/>
      <w:ind/>
    </w:pPr>
    <w:rPr>
      <w:b/>
      <w:bCs/>
    </w:rPr>
  </w:style>
  <w:style w:type="character" w:styleId="1002" w:customStyle="1">
    <w:name w:val="cardmaininfo__content"/>
    <w:basedOn w:val="954"/>
    <w:pPr>
      <w:pBdr/>
      <w:spacing/>
      <w:ind/>
    </w:pPr>
  </w:style>
  <w:style w:type="paragraph" w:styleId="1003" w:customStyle="1">
    <w:name w:val="111"/>
    <w:basedOn w:val="950"/>
    <w:link w:val="1004"/>
    <w:uiPriority w:val="99"/>
    <w:pPr>
      <w:pBdr/>
      <w:spacing/>
      <w:ind/>
    </w:pPr>
    <w:rPr>
      <w:sz w:val="20"/>
      <w:szCs w:val="20"/>
    </w:rPr>
  </w:style>
  <w:style w:type="character" w:styleId="1004" w:customStyle="1">
    <w:name w:val="111 Знак"/>
    <w:basedOn w:val="954"/>
    <w:link w:val="1003"/>
    <w:uiPriority w:val="99"/>
    <w:pPr>
      <w:pBdr/>
      <w:spacing/>
      <w:ind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1005" w:customStyle="1">
    <w:name w:val="fontstyle3"/>
    <w:basedOn w:val="954"/>
    <w:pPr>
      <w:pBdr/>
      <w:spacing/>
      <w:ind/>
    </w:pPr>
  </w:style>
  <w:style w:type="character" w:styleId="1006" w:customStyle="1">
    <w:name w:val="fontstyle1"/>
    <w:basedOn w:val="954"/>
    <w:pPr>
      <w:pBdr/>
      <w:spacing/>
      <w:ind/>
    </w:pPr>
  </w:style>
  <w:style w:type="character" w:styleId="1007" w:customStyle="1">
    <w:name w:val="section__info2"/>
    <w:basedOn w:val="954"/>
    <w:pPr>
      <w:pBdr/>
      <w:spacing/>
      <w:ind/>
    </w:pPr>
    <w:rPr>
      <w:vanish w:val="0"/>
    </w:rPr>
  </w:style>
  <w:style w:type="paragraph" w:styleId="1008" w:customStyle="1">
    <w:name w:val="Standard 2"/>
    <w:uiPriority w:val="99"/>
    <w:qFormat/>
    <w:pPr>
      <w:widowControl w:val="false"/>
      <w:suppressLineNumbers w:val="true"/>
      <w:pBdr/>
      <w:spacing w:after="0" w:line="240" w:lineRule="auto"/>
      <w:ind/>
      <w:contextualSpacing w:val="true"/>
      <w:jc w:val="both"/>
    </w:pPr>
    <w:rPr>
      <w:rFonts w:ascii="Times New Roman" w:hAnsi="Times New Roman" w:eastAsia="DejaVu Sans" w:cs="DejaVu Sans"/>
      <w:sz w:val="24"/>
      <w:szCs w:val="24"/>
      <w:lang w:eastAsia="zh-CN" w:bidi="hi-IN"/>
    </w:rPr>
  </w:style>
  <w:style w:type="paragraph" w:styleId="1009" w:customStyle="1">
    <w:name w:val="Standard"/>
    <w:qFormat/>
    <w:pPr>
      <w:pBdr/>
      <w:spacing w:after="0" w:line="240" w:lineRule="auto"/>
      <w:ind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character" w:styleId="1010" w:customStyle="1">
    <w:name w:val="cardmaininfo__purchaselink"/>
    <w:basedOn w:val="954"/>
    <w:pPr>
      <w:pBdr/>
      <w:spacing/>
      <w:ind/>
    </w:pPr>
  </w:style>
  <w:style w:type="paragraph" w:styleId="1011">
    <w:name w:val="Document Map"/>
    <w:basedOn w:val="950"/>
    <w:link w:val="1012"/>
    <w:uiPriority w:val="99"/>
    <w:semiHidden/>
    <w:unhideWhenUsed/>
    <w:pPr>
      <w:pBdr/>
      <w:spacing/>
      <w:ind/>
    </w:pPr>
    <w:rPr>
      <w:rFonts w:ascii="Tahoma" w:hAnsi="Tahoma" w:eastAsia="Calibri" w:cs="Tahoma"/>
      <w:sz w:val="16"/>
      <w:szCs w:val="16"/>
      <w:lang w:eastAsia="en-US"/>
    </w:rPr>
  </w:style>
  <w:style w:type="character" w:styleId="1012" w:customStyle="1">
    <w:name w:val="Схема документа Знак"/>
    <w:basedOn w:val="954"/>
    <w:link w:val="1011"/>
    <w:uiPriority w:val="99"/>
    <w:semiHidden/>
    <w:pPr>
      <w:pBdr/>
      <w:spacing/>
      <w:ind/>
    </w:pPr>
    <w:rPr>
      <w:rFonts w:ascii="Tahoma" w:hAnsi="Tahoma" w:eastAsia="Calibri" w:cs="Tahoma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s://zakupki.gov.ru/epz/orderplan/pg2020/specialPurchase/special-purchase-info.html?plan-number=202603221000038001&amp;position-number=202603221000038001000006&amp;version=0" TargetMode="External"/><Relationship Id="rId11" Type="http://schemas.openxmlformats.org/officeDocument/2006/relationships/hyperlink" Target="https://login.consultant.ru/link/?req=doc&amp;base=RZB&amp;n=465243&amp;dst=1668" TargetMode="External"/><Relationship Id="rId12" Type="http://schemas.openxmlformats.org/officeDocument/2006/relationships/hyperlink" Target="https://login.consultant.ru/link/?req=doc&amp;base=RZB&amp;n=465243&amp;dst=1668" TargetMode="External"/><Relationship Id="rId13" Type="http://schemas.openxmlformats.org/officeDocument/2006/relationships/hyperlink" Target="https://login.consultant.ru/link/?req=doc&amp;base=RZB&amp;n=465243&amp;dst=1668" TargetMode="External"/><Relationship Id="rId14" Type="http://schemas.openxmlformats.org/officeDocument/2006/relationships/hyperlink" Target="https://login.consultant.ru/link/?req=doc&amp;base=RZB&amp;n=465243&amp;dst=1668" TargetMode="External"/><Relationship Id="rId15" Type="http://schemas.openxmlformats.org/officeDocument/2006/relationships/hyperlink" Target="consultantplus://offline/ref=E905B4E6CBBADE0EE52117383EC529A589BC0A56EF66F201042ABE1112J6z3D" TargetMode="External"/><Relationship Id="rId16" Type="http://schemas.openxmlformats.org/officeDocument/2006/relationships/hyperlink" Target="consultantplus://offline/ref=E905B4E6CBBADE0EE52117383EC529A58ABA015CEB6EF201042ABE1112J6z3D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davydova_gp</dc:creator>
  <cp:revision>9</cp:revision>
  <dcterms:created xsi:type="dcterms:W3CDTF">2025-07-07T06:37:00Z</dcterms:created>
  <dcterms:modified xsi:type="dcterms:W3CDTF">2026-08-06T23:17:36Z</dcterms:modified>
</cp:coreProperties>
</file>