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PT Serif" w:hAnsi="PT Serif"/>
          <w:b/>
          <w:bCs/>
          <w:sz w:val="28"/>
          <w:szCs w:val="28"/>
        </w:rPr>
        <w:t>Техническое задание</w:t>
      </w:r>
    </w:p>
    <w:tbl>
      <w:tblPr>
        <w:tblW w:w="9405" w:type="dxa"/>
        <w:jc w:val="left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045"/>
        <w:gridCol w:w="5855"/>
      </w:tblGrid>
      <w:tr>
        <w:trPr>
          <w:trHeight w:val="413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Serif" w:hAnsi="PT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Наименование и описание объекта закупки,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ОКПД (КТРУ)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22"/>
              <w:shd w:val="clear" w:fill="auto"/>
              <w:spacing w:lineRule="exact" w:line="240" w:before="0" w:after="192"/>
              <w:ind w:firstLine="737" w:right="220"/>
              <w:jc w:val="both"/>
              <w:rPr>
                <w:rFonts w:ascii="PT Serif" w:hAnsi="PT Serif"/>
                <w:color w:val="000000"/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Оказание услуг по комплексной утилизации и вывозу товарно-материальных ценностей.</w:t>
            </w:r>
          </w:p>
          <w:p>
            <w:pPr>
              <w:pStyle w:val="22"/>
              <w:shd w:val="clear" w:fill="auto"/>
              <w:spacing w:lineRule="exact" w:line="240" w:before="0" w:after="226"/>
              <w:ind w:firstLine="737" w:left="0"/>
              <w:jc w:val="both"/>
              <w:rPr/>
            </w:pPr>
            <w:r>
              <w:rPr>
                <w:sz w:val="20"/>
                <w:szCs w:val="20"/>
              </w:rPr>
              <w:t xml:space="preserve">ОКПД: </w:t>
            </w:r>
            <w:r>
              <w:rPr>
                <w:rFonts w:eastAsia="Times New Roman" w:cs="Times New Roman" w:ascii="PT Serif" w:hAnsi="PT Serif"/>
                <w:color w:val="000000"/>
                <w:sz w:val="20"/>
                <w:szCs w:val="20"/>
                <w:lang w:eastAsia="ru-RU" w:bidi="ru-RU"/>
              </w:rPr>
              <w:t xml:space="preserve">38.22.19.000 </w:t>
            </w:r>
            <w:r>
              <w:rPr>
                <w:sz w:val="20"/>
                <w:szCs w:val="20"/>
              </w:rPr>
              <w:t>-</w:t>
            </w:r>
            <w:r>
              <w:rPr>
                <w:rFonts w:eastAsia="Times New Roman" w:cs="Times New Roman" w:ascii="PT Serif" w:hAnsi="PT Serif"/>
                <w:color w:val="000000"/>
                <w:sz w:val="20"/>
                <w:szCs w:val="20"/>
                <w:lang w:eastAsia="ru-RU" w:bidi="ru-RU"/>
              </w:rPr>
              <w:t>Услуги по переработке прочих опасных отходов</w:t>
            </w:r>
          </w:p>
        </w:tc>
      </w:tr>
      <w:tr>
        <w:trPr>
          <w:trHeight w:val="413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Количество/объем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ind w:hanging="113" w:left="-113" w:right="57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0"/>
                <w:szCs w:val="20"/>
              </w:rPr>
              <w:t>Перечень представлен в приложении 1 к данному техническому заданию.</w:t>
            </w:r>
          </w:p>
        </w:tc>
      </w:tr>
      <w:tr>
        <w:trPr>
          <w:trHeight w:val="888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Требование к качеству 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ind w:hanging="113" w:left="-113" w:right="57"/>
              <w:jc w:val="center"/>
              <w:rPr>
                <w:rFonts w:ascii="PT Serif" w:hAnsi="PT Serif" w:cs="Times New Roman"/>
                <w:b/>
                <w:color w:val="FF0000"/>
              </w:rPr>
            </w:pPr>
            <w:bookmarkStart w:id="0" w:name="bookmark22"/>
            <w:r>
              <w:rPr>
                <w:rStyle w:val="21"/>
                <w:rFonts w:cs="Times New Roman" w:ascii="PT Serif" w:hAnsi="PT Serif"/>
                <w:b w:val="false"/>
                <w:bCs w:val="false"/>
                <w:color w:val="000000"/>
                <w:sz w:val="20"/>
                <w:szCs w:val="20"/>
              </w:rPr>
              <w:t>Исполнитель оказывает услуги в соответствии с действующим законодательством, регламентирующим вопросы утилизации, утвержденным на данный вид услу</w:t>
            </w:r>
            <w:bookmarkEnd w:id="0"/>
            <w:r>
              <w:rPr>
                <w:rStyle w:val="21"/>
                <w:rFonts w:cs="Times New Roman" w:ascii="PT Serif" w:hAnsi="PT Serif"/>
                <w:b w:val="false"/>
                <w:bCs w:val="false"/>
                <w:color w:val="000000"/>
                <w:sz w:val="20"/>
                <w:szCs w:val="20"/>
              </w:rPr>
              <w:t>г.</w:t>
            </w:r>
          </w:p>
          <w:p>
            <w:pPr>
              <w:pStyle w:val="22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2546" w:leader="none"/>
                <w:tab w:val="left" w:pos="7212" w:leader="none"/>
                <w:tab w:val="left" w:pos="7684" w:leader="none"/>
              </w:tabs>
              <w:spacing w:lineRule="exact" w:line="270" w:before="0" w:after="0"/>
              <w:ind w:hanging="0" w:left="116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</w:r>
          </w:p>
        </w:tc>
      </w:tr>
      <w:tr>
        <w:trPr>
          <w:trHeight w:val="45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Требования к техническим характеристикам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386" w:leader="none"/>
                <w:tab w:val="left" w:pos="6052" w:leader="none"/>
                <w:tab w:val="left" w:pos="6524" w:leader="none"/>
              </w:tabs>
              <w:spacing w:lineRule="exact" w:line="270" w:before="0" w:after="0"/>
              <w:ind w:firstLine="737" w:left="0" w:right="11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Федеральный закон от 24.06.1998г. № 89-ФЗ «Об отходах производства и потребления»;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361" w:leader="none"/>
              </w:tabs>
              <w:spacing w:lineRule="exact" w:line="270" w:before="0" w:after="0"/>
              <w:ind w:firstLine="737" w:left="0" w:right="11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Федеральный закон от 26.03.1998г. № 41-ФЗ «О драгоценных металлах и драгоценных камнях»;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386" w:leader="none"/>
              </w:tabs>
              <w:spacing w:lineRule="exact" w:line="270" w:before="0" w:after="0"/>
              <w:ind w:firstLine="737" w:left="0" w:right="113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Постановление Правительства РФ от 26 декабря 2020 г. № 2290 «О лицензировании деятельности по сбору, транспортированию, обработке, утилизации, обезвреживанию, размещению отходов I - IV классов опасности»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/>
              <w:ind w:firstLine="737" w:left="0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Правительства РФ от 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      </w:r>
          </w:p>
          <w:p>
            <w:pPr>
              <w:pStyle w:val="22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2586" w:leader="none"/>
              </w:tabs>
              <w:spacing w:lineRule="exact" w:line="270" w:before="0" w:after="0"/>
              <w:ind w:hanging="0" w:left="116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Требования к функциональным характеристикам (потребительским свойствам)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426" w:leader="none"/>
              </w:tabs>
              <w:spacing w:lineRule="exact" w:line="270" w:before="0" w:after="0"/>
              <w:ind w:firstLine="737" w:left="0" w:right="113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Постановления Правительства РФ от 25.06.1992 № 431 «О порядке сбора, приемки и переработки лома и отходов драгоценных металлов и драгоценных камней», иных нормативных правовых актов Российской Федерации, регламентирующих данный вид деятельности;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430" w:leader="none"/>
              </w:tabs>
              <w:spacing w:lineRule="exact" w:line="270" w:before="0" w:after="0"/>
              <w:ind w:firstLine="737" w:left="0" w:right="113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Постановления Правительства РФ № 731 от 28.09.2000 «Об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430" w:leader="none"/>
              </w:tabs>
              <w:spacing w:lineRule="exact" w:line="270" w:before="0" w:after="0"/>
              <w:ind w:firstLine="737" w:left="0" w:right="113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Федерального закона Российской Федерации от 10.01.2002 № 7-ФЗ «Об охране окружающей среды».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430" w:leader="none"/>
              </w:tabs>
              <w:spacing w:lineRule="exact" w:line="270" w:before="0" w:after="0"/>
              <w:ind w:firstLine="737" w:left="0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 xml:space="preserve">Постановление Правительства РФ от 12.09.2020 </w:t>
            </w:r>
            <w:r>
              <w:rPr>
                <w:sz w:val="20"/>
                <w:szCs w:val="20"/>
                <w:lang w:val="en-US" w:bidi="en-US"/>
              </w:rPr>
              <w:t>N</w:t>
            </w:r>
            <w:r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eastAsia="ru-RU" w:bidi="ru-RU"/>
              </w:rPr>
              <w:t>1418 «О лицензировании отдельных видов деятельности, связанных с драгоценными металлами и драгоценными камнями»</w:t>
            </w:r>
          </w:p>
          <w:p>
            <w:pPr>
              <w:pStyle w:val="22"/>
              <w:shd w:val="clear" w:fill="auto"/>
              <w:spacing w:lineRule="exact" w:line="270" w:before="0" w:after="0"/>
              <w:ind w:hanging="0" w:left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</w:r>
          </w:p>
        </w:tc>
      </w:tr>
      <w:tr>
        <w:trPr>
          <w:trHeight w:val="400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Требования к объему гарантий качества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Indent"/>
              <w:widowControl w:val="false"/>
              <w:snapToGrid w:val="false"/>
              <w:spacing w:before="0" w:after="0"/>
              <w:ind w:hanging="0" w:left="0" w:right="0"/>
              <w:jc w:val="both"/>
              <w:rPr>
                <w:rFonts w:ascii="PT Serif" w:hAnsi="PT Serif"/>
                <w:b/>
                <w:color w:val="FF0000"/>
                <w:sz w:val="22"/>
                <w:szCs w:val="22"/>
              </w:rPr>
            </w:pPr>
            <w:r>
              <w:rPr>
                <w:rFonts w:ascii="PT Serif" w:hAnsi="PT Serif"/>
                <w:b w:val="false"/>
                <w:bCs w:val="false"/>
                <w:color w:val="000000"/>
                <w:sz w:val="20"/>
                <w:szCs w:val="20"/>
              </w:rPr>
              <w:t xml:space="preserve">Исполнитель гарантирует, что всё оборудование утилизировано в полном объёме в  соответствии с </w:t>
            </w:r>
            <w:r>
              <w:rPr>
                <w:rStyle w:val="21"/>
                <w:rFonts w:ascii="PT Serif" w:hAnsi="PT Serif"/>
                <w:b w:val="false"/>
                <w:bCs w:val="false"/>
                <w:sz w:val="20"/>
                <w:szCs w:val="20"/>
              </w:rPr>
              <w:t>действующим законодательством, регламентирующим вопросы утилизации, утвержденным на данный вид услуг.</w:t>
            </w:r>
          </w:p>
        </w:tc>
      </w:tr>
      <w:tr>
        <w:trPr>
          <w:trHeight w:val="684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pacing w:val="-4"/>
                <w:sz w:val="20"/>
                <w:szCs w:val="20"/>
              </w:rPr>
              <w:t xml:space="preserve">Место </w:t>
            </w: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поставки товаров (выполнения работ, оказания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578" w:leader="none"/>
              </w:tabs>
              <w:spacing w:lineRule="exact" w:line="240" w:before="0" w:after="191"/>
              <w:ind w:firstLine="737" w:left="0" w:right="113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По месту нахождения исполнителя.</w:t>
            </w:r>
          </w:p>
        </w:tc>
      </w:tr>
      <w:tr>
        <w:trPr>
          <w:trHeight w:val="684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pacing w:val="-4"/>
                <w:sz w:val="20"/>
                <w:szCs w:val="20"/>
              </w:rPr>
              <w:t xml:space="preserve">Срок/периодичность </w:t>
            </w: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поставки товаров (выполнения работ, оказания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113"/>
              <w:jc w:val="both"/>
              <w:rPr/>
            </w:pPr>
            <w:r>
              <w:rPr>
                <w:rFonts w:ascii="PT Serif" w:hAnsi="PT Serif"/>
                <w:color w:val="000000"/>
                <w:sz w:val="20"/>
                <w:szCs w:val="20"/>
                <w:shd w:fill="auto" w:val="clear"/>
                <w:lang w:eastAsia="ru-RU" w:bidi="ru-RU"/>
              </w:rPr>
              <w:t>Погрузка Оборудования, подлежащего утилизации, осуществляется посредством работников Исполнителя на транспорт Исполнителя из помещения, находящегося по адресу г. Иркутск, ул. Байкальская, д.206, этаж 5</w:t>
            </w:r>
            <w:r>
              <w:rPr>
                <w:rStyle w:val="21"/>
                <w:rFonts w:ascii="PT Serif" w:hAnsi="PT Serif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Style w:val="21"/>
                <w:rFonts w:ascii="PT Serif" w:hAnsi="PT Serif"/>
                <w:b w:val="false"/>
                <w:color w:val="000000"/>
                <w:sz w:val="20"/>
                <w:szCs w:val="20"/>
                <w:shd w:fill="auto" w:val="clear"/>
              </w:rPr>
              <w:t>(в здании есть лифт)</w:t>
            </w:r>
            <w:r>
              <w:rPr>
                <w:rStyle w:val="21"/>
                <w:rFonts w:ascii="PT Serif" w:hAnsi="PT Serif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Style w:val="21"/>
                <w:rFonts w:ascii="PT Serif" w:hAnsi="PT Serif"/>
                <w:color w:val="000000"/>
                <w:sz w:val="20"/>
                <w:szCs w:val="20"/>
                <w:u w:val="single"/>
              </w:rPr>
              <w:t>в течение 15 (пятнадцати) рабочих дней</w:t>
            </w:r>
            <w:r>
              <w:rPr>
                <w:rStyle w:val="21"/>
                <w:rFonts w:ascii="PT Serif" w:hAnsi="PT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с момента заключения контракта.</w:t>
            </w:r>
          </w:p>
        </w:tc>
      </w:tr>
      <w:tr>
        <w:trPr>
          <w:trHeight w:val="439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</w:rPr>
            </w:pPr>
            <w:r>
              <w:rPr>
                <w:rFonts w:cs="Times New Roman" w:ascii="PT Serif" w:hAnsi="PT Serif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Serif" w:hAnsi="PT Serif" w:cs="Times New Roman"/>
                <w:b/>
                <w:color w:val="FF0000"/>
                <w:spacing w:val="-4"/>
                <w:sz w:val="24"/>
                <w:szCs w:val="24"/>
              </w:rPr>
            </w:pPr>
            <w:r>
              <w:rPr>
                <w:rFonts w:cs="Times New Roman" w:ascii="PT Serif" w:hAnsi="PT Serif"/>
                <w:b/>
                <w:color w:val="000000"/>
                <w:spacing w:val="-4"/>
                <w:sz w:val="20"/>
                <w:szCs w:val="20"/>
              </w:rPr>
              <w:t>Дополнительные требования/особые условия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22"/>
              <w:numPr>
                <w:ilvl w:val="0"/>
                <w:numId w:val="3"/>
              </w:numPr>
              <w:shd w:val="clear" w:fill="auto"/>
              <w:spacing w:lineRule="exact" w:line="270" w:before="0" w:after="0"/>
              <w:ind w:firstLine="737" w:left="0"/>
              <w:jc w:val="both"/>
              <w:rPr>
                <w:color w:val="000000"/>
                <w:lang w:eastAsia="ru-RU" w:bidi="ru-RU"/>
              </w:rPr>
            </w:pPr>
            <w:r>
              <w:rPr>
                <w:rStyle w:val="21"/>
                <w:rFonts w:ascii="PT Serif" w:hAnsi="PT Serif"/>
                <w:sz w:val="20"/>
                <w:szCs w:val="20"/>
              </w:rPr>
              <w:t xml:space="preserve">Исполнитель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 xml:space="preserve">обеспечивает сдачу имущества Заказчика для обезвреживания и размещения лицу, обладающему лицензией на осуществление деятельности по сбору, транспортированию, обработке, утилизации, обезвреживанию, размещению отходов 1 - IV классов опасности (на основании п. 30 ч. 1 ст. 12 Федерального закона от 04.05.2011 </w:t>
            </w:r>
            <w:r>
              <w:rPr>
                <w:rFonts w:ascii="PT Serif" w:hAnsi="PT Serif"/>
                <w:color w:val="000000"/>
                <w:sz w:val="20"/>
                <w:szCs w:val="20"/>
                <w:lang w:val="en-US" w:bidi="en-US"/>
              </w:rPr>
              <w:t>N</w:t>
            </w:r>
            <w:r>
              <w:rPr>
                <w:rFonts w:ascii="PT Serif" w:hAnsi="PT Serif"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99-ФЗ "О лицензировании отдельных видов деятельности").</w:t>
            </w:r>
          </w:p>
          <w:p>
            <w:pPr>
              <w:pStyle w:val="22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Соблюдение требований настоящего пункта подтверждается предоставлением Исполнителем в ходе исполнения контракта Заказчику копий следующих документов: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361" w:leader="none"/>
              </w:tabs>
              <w:spacing w:lineRule="exact" w:line="274" w:before="0" w:after="0"/>
              <w:ind w:hanging="0" w:left="0" w:right="113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лицензии на осуществление деятельности по сбору, транспортированию, обработке, утилизации, обезвреживанию и размещению отходов I - IV классов опасности (на основании п. 30 ч. 1 ст. 12 Федерального закона от 04.05.2011 № 99-ФЗ «О лицензировании отдельных видов деятельности");</w:t>
            </w:r>
          </w:p>
          <w:p>
            <w:pPr>
              <w:pStyle w:val="22"/>
              <w:widowControl w:val="false"/>
              <w:numPr>
                <w:ilvl w:val="0"/>
                <w:numId w:val="0"/>
              </w:numPr>
              <w:shd w:val="clear" w:fill="auto"/>
              <w:tabs>
                <w:tab w:val="clear" w:pos="709"/>
                <w:tab w:val="left" w:pos="1361" w:leader="none"/>
              </w:tabs>
              <w:spacing w:lineRule="exact" w:line="274" w:before="0" w:after="0"/>
              <w:ind w:hanging="0" w:left="0" w:right="113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выписки из реестра Федеральной службы по надзору в сфере природопользования РОСПРИРОДНАДЗОР о действующих лицензиях;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tabs>
                <w:tab w:val="clear" w:pos="709"/>
                <w:tab w:val="left" w:pos="1185" w:leader="none"/>
              </w:tabs>
              <w:suppressAutoHyphens w:val="true"/>
              <w:bidi w:val="0"/>
              <w:spacing w:lineRule="exact" w:line="274" w:before="0" w:after="0"/>
              <w:ind w:hanging="0" w:left="0" w:right="113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свидетельства о постановке на специальный учет, выданное Российской государственной пробирной палатой при Министерстве финансов Российской Федерации.</w:t>
            </w:r>
          </w:p>
          <w:p>
            <w:pPr>
              <w:pStyle w:val="22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Срок свидетельства не должен истекать ранее окончания срока исполнения контракта.</w:t>
            </w:r>
          </w:p>
          <w:p>
            <w:pPr>
              <w:pStyle w:val="22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/>
              <w:jc w:val="both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/>
                <w:sz w:val="20"/>
                <w:szCs w:val="20"/>
              </w:rPr>
              <w:t>Исполнитель производит возврат денежных средств в размере 100% от вырученных средств полученных от реализации драгоценного металла путем перечисления на расчетный счет Заказчика в течение 15 календарных дней с момента получения Паспорта расчета аффинажного завода.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227"/>
              <w:jc w:val="both"/>
              <w:rPr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 xml:space="preserve">По окончанию оказания услуг по проведению утилизации оргтехники и оборудования. Исполнитель </w:t>
            </w:r>
            <w:r>
              <w:rPr>
                <w:rStyle w:val="21"/>
                <w:rFonts w:ascii="PT Serif" w:hAnsi="PT Serif"/>
                <w:color w:val="000000"/>
                <w:sz w:val="20"/>
                <w:szCs w:val="20"/>
                <w:u w:val="single"/>
              </w:rPr>
              <w:t>оформляет Акт утилизации технических средств</w:t>
            </w:r>
            <w:r>
              <w:rPr>
                <w:rStyle w:val="21"/>
                <w:rFonts w:ascii="PT Serif" w:hAnsi="PT Serif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подписывает его и направляет Заказчику.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340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Исполнитель предоставляет Заказчику Паспорт расчет о содержании драгоценных металлов, подготовленный на основании статистических данных.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hanging="0" w:left="0" w:right="340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Исполнитель осуществляет аффинаж драгоценных металлов на уполномоченных предприятиях, перечень которых утвержден Постановлением Правительства Российской Федерации № 972 от 17.08.1998 (ред. от 08.06.2021) (при наличии), с соблюдением требований законодательства Российской Федерации.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340"/>
              <w:jc w:val="both"/>
              <w:rPr>
                <w:rFonts w:ascii="PT Serif" w:hAnsi="PT Serif"/>
                <w:color w:val="000000"/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Передача Оборудования, подлежащего утилизации, от Заказчика Исполнителю оформляется актом приема-передачи технических средств на утилизацию в 2 (двух) экземплярах и подписывается уполномоченными лицами Заказчика и Исполнителя. В акте приема-передачи технических средств на утилизацию указывается наименование и инвентарный номер(если имеется).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340"/>
              <w:jc w:val="both"/>
              <w:rPr>
                <w:rFonts w:ascii="PT Serif" w:hAnsi="PT Serif"/>
                <w:color w:val="000000"/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С момента передачи Оборудования (Приложение 1) ответственность за сохранность их переходит Исполнителю.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340"/>
              <w:jc w:val="both"/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Исполнитель производит переработку лома и отходов.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340"/>
              <w:jc w:val="both"/>
              <w:rPr>
                <w:color w:val="000000"/>
                <w:lang w:eastAsia="ru-RU" w:bidi="ru-RU"/>
              </w:rPr>
            </w:pPr>
            <w:r>
              <w:rPr>
                <w:rFonts w:eastAsia="Andale Sans UI" w:ascii="PT Serif" w:hAnsi="PT Serif"/>
                <w:color w:val="000000"/>
                <w:sz w:val="20"/>
                <w:szCs w:val="20"/>
                <w:shd w:fill="FFFFFF" w:val="clear"/>
              </w:rPr>
              <w:t xml:space="preserve">Исполнитель в случае наличия в утилизируемом сырье драгоценных металлов предоставляет Заказчику паспорт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 w:bidi="ru-RU"/>
              </w:rPr>
              <w:t>расчет аффинажного завода (может готовиться заводом в течении 6 месяцев).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120" w:after="160"/>
              <w:ind w:firstLine="737" w:left="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PT Serif" w:hAnsi="PT Serif"/>
                <w:color w:val="000000"/>
                <w:sz w:val="20"/>
                <w:szCs w:val="20"/>
              </w:rPr>
              <w:t>По результатам утилизации Заказчик должен получить:</w:t>
            </w:r>
          </w:p>
          <w:p>
            <w:pPr>
              <w:pStyle w:val="ListParagraph"/>
              <w:numPr>
                <w:ilvl w:val="0"/>
                <w:numId w:val="3"/>
              </w:numPr>
              <w:ind w:firstLine="737"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PT Serif" w:hAnsi="PT Serif"/>
                <w:color w:val="000000"/>
                <w:sz w:val="20"/>
                <w:szCs w:val="20"/>
              </w:rPr>
              <w:t>Акт приема-передачи технических средств на утилизацию;</w:t>
            </w:r>
          </w:p>
          <w:p>
            <w:pPr>
              <w:pStyle w:val="ListParagraph"/>
              <w:numPr>
                <w:ilvl w:val="0"/>
                <w:numId w:val="3"/>
              </w:numPr>
              <w:ind w:firstLine="737"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PT Serif" w:hAnsi="PT Serif"/>
                <w:color w:val="000000"/>
                <w:sz w:val="20"/>
                <w:szCs w:val="20"/>
              </w:rPr>
              <w:t>Паспорт расчет о содержании драгоценных металлов, подготовленный на основании статистических данных;</w:t>
            </w:r>
          </w:p>
          <w:p>
            <w:pPr>
              <w:pStyle w:val="ListParagraph"/>
              <w:numPr>
                <w:ilvl w:val="0"/>
                <w:numId w:val="3"/>
              </w:numPr>
              <w:ind w:firstLine="737"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PT Serif" w:hAnsi="PT Serif"/>
                <w:color w:val="000000"/>
                <w:sz w:val="20"/>
                <w:szCs w:val="20"/>
              </w:rPr>
              <w:t>Акт об утилизации технических средств;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0" w:left="720"/>
              <w:jc w:val="both"/>
              <w:rPr>
                <w:rFonts w:ascii="Times New Roman" w:hAnsi="Times New Roman" w:eastAsia="Andale Sans UI" w:cs="Times New Roman"/>
                <w:sz w:val="22"/>
                <w:szCs w:val="22"/>
                <w:shd w:fill="FFFFFF" w:val="clear"/>
              </w:rPr>
            </w:pPr>
            <w:r>
              <w:rPr>
                <w:rFonts w:eastAsia="Andale Sans UI" w:cs="Times New Roman" w:ascii="PT Serif" w:hAnsi="PT Serif"/>
                <w:color w:val="000000"/>
                <w:sz w:val="20"/>
                <w:szCs w:val="20"/>
                <w:shd w:fill="FFFFFF" w:val="clear"/>
              </w:rPr>
              <w:t>Паспорт расчет аффинажного завода (при наличии драг металлов).</w:t>
            </w:r>
          </w:p>
          <w:p>
            <w:pPr>
              <w:pStyle w:val="22"/>
              <w:widowControl w:val="false"/>
              <w:numPr>
                <w:ilvl w:val="0"/>
                <w:numId w:val="3"/>
              </w:numPr>
              <w:shd w:val="clear" w:fill="auto"/>
              <w:spacing w:lineRule="exact" w:line="274" w:before="0" w:after="0"/>
              <w:ind w:firstLine="737" w:left="0" w:right="454"/>
              <w:jc w:val="both"/>
              <w:rPr>
                <w:rFonts w:eastAsia="Andale Sans UI"/>
                <w:shd w:fill="FFFFFF" w:val="clear"/>
              </w:rPr>
            </w:pPr>
            <w:r>
              <w:rPr>
                <w:rFonts w:eastAsia="Andale Sans UI" w:ascii="PT Serif" w:hAnsi="PT Serif"/>
                <w:color w:val="000000"/>
                <w:sz w:val="20"/>
                <w:szCs w:val="20"/>
                <w:shd w:fill="FFFFFF" w:val="clear"/>
              </w:rPr>
              <w:t>Указанные документы подтверждают, что имущество не вывезено на несанкционированные свалки и не захоронено на полигонах ТБО без переработки.</w:t>
            </w:r>
          </w:p>
        </w:tc>
      </w:tr>
    </w:tbl>
    <w:p>
      <w:pPr>
        <w:pStyle w:val="Normal"/>
        <w:spacing w:before="240" w:after="200"/>
        <w:jc w:val="right"/>
        <w:rPr>
          <w:rFonts w:ascii="PT Serif" w:hAnsi="PT Serif" w:cs="Times New Roman"/>
          <w:color w:val="FF0000"/>
        </w:rPr>
      </w:pPr>
      <w:r>
        <w:rPr>
          <w:rFonts w:cs="Times New Roman" w:ascii="PT Serif" w:hAnsi="PT Serif"/>
          <w:color w:val="000000"/>
        </w:rPr>
        <w:t>___</w:t>
      </w:r>
      <w:r>
        <w:rPr>
          <w:rFonts w:cs="Times New Roman" w:ascii="PT Serif" w:hAnsi="PT Serif"/>
          <w:color w:val="000000"/>
          <w:sz w:val="24"/>
          <w:szCs w:val="24"/>
        </w:rPr>
        <w:t>______________________________ /________________/</w:t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eastAsia="Times New Roman" w:cs="Times New Roman" w:ascii="PT Serif" w:hAnsi="PT Serif"/>
          <w:color w:val="000000"/>
          <w:sz w:val="24"/>
          <w:szCs w:val="24"/>
          <w:vertAlign w:val="superscript"/>
        </w:rPr>
        <w:t xml:space="preserve">     </w:t>
      </w:r>
      <w:r>
        <w:rPr>
          <w:rFonts w:cs="Times New Roman" w:ascii="PT Serif" w:hAnsi="PT Serif"/>
          <w:color w:val="000000"/>
          <w:sz w:val="24"/>
          <w:szCs w:val="24"/>
          <w:vertAlign w:val="superscript"/>
        </w:rPr>
        <w:t xml:space="preserve">(Инициатор закупки) </w:t>
        <w:tab/>
        <w:tab/>
        <w:tab/>
        <w:t>(подпись)</w:t>
        <w:tab/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ind w:firstLine="708" w:left="2124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spacing w:lineRule="auto" w:line="240"/>
        <w:ind w:hanging="2098" w:left="2098" w:right="0"/>
        <w:jc w:val="center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p>
      <w:pPr>
        <w:pStyle w:val="Normal"/>
        <w:spacing w:lineRule="auto" w:line="240"/>
        <w:ind w:hanging="2098" w:left="2098" w:right="0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000000"/>
          <w:sz w:val="24"/>
          <w:szCs w:val="24"/>
        </w:rPr>
        <w:t>Приложение 1</w:t>
      </w:r>
    </w:p>
    <w:p>
      <w:pPr>
        <w:pStyle w:val="Normal"/>
        <w:spacing w:lineRule="auto" w:line="240"/>
        <w:ind w:hanging="2098" w:left="2098" w:right="0"/>
        <w:jc w:val="right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tbl>
      <w:tblPr>
        <w:tblW w:w="8470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6"/>
        <w:gridCol w:w="5279"/>
        <w:gridCol w:w="2505"/>
      </w:tblGrid>
      <w:tr>
        <w:trPr>
          <w:trHeight w:val="791" w:hRule="atLeast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№</w:t>
            </w:r>
            <w:r>
              <w:rPr>
                <w:rFonts w:ascii="PT Astra Sans" w:hAnsi="PT Astra Sans"/>
              </w:rPr>
              <w:br/>
              <w:t>п/п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Наименование объекта федерального имущества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Инвентарный</w:t>
              <w:br/>
              <w:t>номер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Мышь LOGITECH "S96" оптич. PS/2 оем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1040420248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Мышь оптическая с ковриком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1040423278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Мышь оптическая с ковриком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1040423279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Клавиатура проводная USB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МЗ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Клавиатура P/S2.(Gnius KB06XE или подобная)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1040423265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Клавиатура P/S2.(Gnius KB06XE или подобная)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1040423266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Мышь оптическая с ковриком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1040423280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Мышь оптическая с ковриком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1040423281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АРМ 1 Системный блок и Монитор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1040442459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АРМ Администратора ИБ# 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1040442421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ЖК - телевизор SUPRA STV - LC3201/82cм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1040423612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Клавиатура проводная USB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МЗ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Модуль памяти (флеш карта)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1040420862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Модуль памяти (флеш карта)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1040420874а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Модуль памяти (флеш карта)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1040420878а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BenQ GW2250M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1040442429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Samsung SCX - 4828FN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1040424832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1101340603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WorkCentre 3615DN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1101340557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1040424569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2015D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1040423569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 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1040423787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 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1040423927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1040423728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1040423763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1040423811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Ризограф Risograph CR - 1610 (S2458EP)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1040420318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Серверы базы данных / Aguarius Servr TS301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1040420345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Серверы базы данных ИБ/ Aguarius Servr TS301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1040420346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Телевизор PHILIPS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1040424606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Телевизор PHILIPS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1040424609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21.3611101365883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Настольный персональный компьютер (моноблок) ГРАВИТОН М40И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110134000000460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Acer TM5744-384G32Mnkk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1040442395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"OLDI computers LT590"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1101340090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"OLDI computers LT590"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1101340091</w:t>
            </w:r>
          </w:p>
        </w:tc>
      </w:tr>
      <w:tr>
        <w:trPr>
          <w:trHeight w:val="641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Acer EME510 Cel T1400/1G/120/DVD/WiFi/VHB/15.4"wxga"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1040423715</w:t>
            </w:r>
          </w:p>
        </w:tc>
      </w:tr>
      <w:tr>
        <w:trPr>
          <w:trHeight w:val="582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Acer EME510 Cel T1400/1G/120/DVD/WiFi/VHB/15.4"wxga"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1040423695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"БАСТИОН"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1101340382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"БАСТИОН"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1101340383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"БАСТИОН"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1101340384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"БАСТИОН"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1101340385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"БАСТИОН"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1101340386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Ноутбук "БАСТИОН"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1101340387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1040423843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1040423849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Е1200,память,клавиатура,мышь)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1040423944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Е1200,память,клавиатура.мышь)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1040423983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Рабочая станция (процессор Е1200,память,клавиатура.мышь)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1040423938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ЖК - телевизор SUPRA STV - LC3201/82cм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1040423616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Samsung ML - 2850D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1040424841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LJ 2015D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1040423674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LaserJet P1505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1040423647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2015D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1040423568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LJ 2015D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1040423670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Kyocеra ECOSYS M2040dn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Kyocеra ECOSYS M2040dn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Kyocеra ECOSYS M2040dn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1101340584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21.3611101365884</w:t>
            </w:r>
          </w:p>
        </w:tc>
      </w:tr>
      <w:tr>
        <w:trPr>
          <w:trHeight w:val="28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21.3611101365885</w:t>
            </w:r>
          </w:p>
        </w:tc>
      </w:tr>
      <w:tr>
        <w:trPr>
          <w:trHeight w:val="34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21.3611101365879</w:t>
            </w:r>
          </w:p>
        </w:tc>
      </w:tr>
      <w:tr>
        <w:trPr>
          <w:trHeight w:val="298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 (Тип-2)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21.3611101365889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Многофункциональное устройство (МФУ, ТИП-1) Pantum М7300FDN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21.3611101365198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Многофункциональное устройство (МФУ, ТИП-1) Pantum М7300FDN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21.3611101365203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Многофункциональное устройство (МФУ, ТИП-1) Pantum М7300FDN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21.3611101365200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Многофункциональное устройство (МФУ, ТИП-1) Pantum М7300FDN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21.3611101365223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Многофункциональное устройство (МФУ) Pantum BМ5100FDW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110134000000844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WorkCentre 3615DN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WorkCentre 3615DN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WorkCentre 3615DN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1101340554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1101340588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1101340592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1101340594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Xerox VersaLink B405DN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1101340607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#2 XEROX WorkCentre 3550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1040442390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Kyocera FS - 3040MFP+1102MF3NLO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1101340050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лазерноре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1101340514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"Aguarius Mnb Elt T474"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1101340657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1101340515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Lime 3Logic LimeMi3049&gt;23.8", i3. H410.8Gb. 256Gb. SSD. DVD. No OS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21.3611101365458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Lime 3Logic LimeMi3049&gt;23.8", i3. H410.8Gb. 256Gb. SSD. DVD. No OS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21.3611101365518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Lime 3Logic LimeMi3049&gt;23.8", i3. H410.8Gb. 256Gb. SSD. DVD. No OS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21.3611101365460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Lime 3Logic LimeMi3049&gt;23.8", i3. H410.8Gb. 256Gb. SSD. DVD. No OS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21.3611101365462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Lime 3Logic LimeMi3049&gt;23.8", i3. H410.8Gb. 256Gb. SSD. DVD. No OS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21.3611101365496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Lime 3Logic LimeMi3049&gt;23.8", i3. H410.8Gb. 256Gb. SSD. DVD. No OS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21.3611101365526</w:t>
            </w:r>
          </w:p>
        </w:tc>
      </w:tr>
      <w:tr>
        <w:trPr>
          <w:trHeight w:val="34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1101340229</w:t>
            </w:r>
          </w:p>
        </w:tc>
      </w:tr>
      <w:tr>
        <w:trPr>
          <w:trHeight w:val="328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1101340238</w:t>
            </w:r>
          </w:p>
        </w:tc>
      </w:tr>
      <w:tr>
        <w:trPr>
          <w:trHeight w:val="31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1101340105</w:t>
            </w:r>
          </w:p>
        </w:tc>
      </w:tr>
      <w:tr>
        <w:trPr>
          <w:trHeight w:val="34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1101340113</w:t>
            </w:r>
          </w:p>
        </w:tc>
      </w:tr>
      <w:tr>
        <w:trPr>
          <w:trHeight w:val="31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1101340120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1101340123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1101340146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1101340153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1101340181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1101340184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1101340187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1101340197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1101340199</w:t>
            </w:r>
          </w:p>
        </w:tc>
      </w:tr>
      <w:tr>
        <w:trPr>
          <w:trHeight w:val="31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1101340221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1101340226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1101340227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1101340232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BenQ GW2250M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1040442423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BenQ GW2250M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1040442442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BenQ GW2250M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1040442422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BenQ GW2250M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1040442437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LCD 17" Acer V 173b"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1040424196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LCD 17" Acer V 173b"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1040424209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LCD 17" Acer V 173b"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1040424169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LCD 17" Acer V 173b"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1040424248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Монитор LCD 17" Acer V 173b"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1040424149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Сканер Panasonic KV - SS081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1101340404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Сканер Panasonic KV - SS081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1101340406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Сканер Panasonic KV - SS081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1101340416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Сканер Panasonic KV - SS081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1101340423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Сканер Panasonic KV - SS081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1101340424</w:t>
            </w:r>
          </w:p>
        </w:tc>
      </w:tr>
      <w:tr>
        <w:trPr>
          <w:trHeight w:val="313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Сканер Panasonic KV - SS081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1101340429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Системный блок Aguarius Pro P30 S58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1040442408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Системный блок Aguarius Pro P30 S58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Системный блок Aguarius Pro P30 S58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1040442413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Системный блок Aguarius Pro P30 S58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1040442419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1040424549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1040424537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1040424561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1040424567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1040424544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1040424541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1040424536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1040424545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1040424560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1040424568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1040424555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1040424543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1040424594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Плеер DVD Toshiba SD - 590STR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1040424547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Многофункциональное устройство (МФУ, ТИП-1) Pantum М7300FDN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21.3611101365210</w:t>
            </w:r>
          </w:p>
        </w:tc>
      </w:tr>
      <w:tr>
        <w:trPr>
          <w:trHeight w:val="537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LaserJet P1505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1040423663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МФУ Kyocera FS - 3040MFP+1102MF3NLO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1101340025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158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1101340215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159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1101340201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160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161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162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"Oldi computers OL24ST"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1101340127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163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Моноблок "Aguarius Mnb Elt T474"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1101340676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164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Сканер Panasonic KV - SS081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1101340428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LaserJet P1505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1040423652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166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Принтер лазерный НР LaserJet Pro M201dw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1101340278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167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USB-токен JaCarta-2 PK1/ГОСТ. Сертификат ФСТЭК России. Сертификат ФСБ России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б/н — 56 штук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ind w:hanging="2098" w:left="2098" w:right="0"/>
        <w:jc w:val="center"/>
        <w:rPr>
          <w:rFonts w:ascii="PT Serif" w:hAnsi="PT Serif" w:cs="Times New Roman"/>
          <w:color w:val="FF0000"/>
          <w:sz w:val="24"/>
          <w:szCs w:val="24"/>
          <w:vertAlign w:val="superscript"/>
        </w:rPr>
      </w:pPr>
      <w:r>
        <w:rPr>
          <w:rFonts w:cs="Times New Roman" w:ascii="PT Serif" w:hAnsi="PT Serif"/>
          <w:color w:val="FF0000"/>
          <w:sz w:val="24"/>
          <w:szCs w:val="24"/>
          <w:vertAlign w:val="superscrip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Serif">
    <w:charset w:val="01"/>
    <w:family w:val="roman"/>
    <w:pitch w:val="default"/>
  </w:font>
  <w:font w:name="PT Astra San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character" w:styleId="DefaultParagraphFont">
    <w:name w:val="Default Paragraph Font"/>
    <w:qFormat/>
    <w:rPr/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shd w:fill="FFFFFF" w:val="clear"/>
    </w:rPr>
  </w:style>
  <w:style w:type="character" w:styleId="21">
    <w:name w:val="Основной текст (2) + Полужирный"/>
    <w:basedOn w:val="2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lef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left="0" w:right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left="0" w:right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left="0" w:right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left="0" w:right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left="0" w:right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user18"/>
    <w:pPr>
      <w:ind w:hanging="0" w:left="0" w:right="0"/>
    </w:pPr>
    <w:rPr/>
  </w:style>
  <w:style w:type="paragraph" w:styleId="Index1">
    <w:name w:val="index 1"/>
    <w:basedOn w:val="user19"/>
    <w:pPr>
      <w:ind w:hanging="0" w:left="0" w:right="0"/>
    </w:pPr>
    <w:rPr/>
  </w:style>
  <w:style w:type="paragraph" w:styleId="Index2">
    <w:name w:val="index 2"/>
    <w:basedOn w:val="user19"/>
    <w:pPr>
      <w:ind w:hanging="0" w:left="0" w:right="0"/>
    </w:pPr>
    <w:rPr/>
  </w:style>
  <w:style w:type="paragraph" w:styleId="Index3">
    <w:name w:val="index 3"/>
    <w:basedOn w:val="user19"/>
    <w:pPr>
      <w:ind w:hanging="0" w:left="0" w:right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left="0" w:right="0"/>
    </w:pPr>
    <w:rPr/>
  </w:style>
  <w:style w:type="paragraph" w:styleId="TOCHeading">
    <w:name w:val="TOC Heading"/>
    <w:basedOn w:val="user18"/>
    <w:next w:val="TOC1"/>
    <w:qFormat/>
    <w:pPr>
      <w:ind w:hanging="0" w:left="0" w:right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5">
    <w:name w:val="Заголовок списка объектов (user)"/>
    <w:basedOn w:val="user18"/>
    <w:qFormat/>
    <w:pPr>
      <w:ind w:hanging="0" w:left="0" w:right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6">
    <w:name w:val="Заголовок списка таблиц (user)"/>
    <w:basedOn w:val="user18"/>
    <w:qFormat/>
    <w:pPr>
      <w:ind w:hanging="0" w:left="0" w:right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user18"/>
    <w:pPr>
      <w:ind w:hanging="0" w:left="0" w:right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left="0" w:right="0"/>
    </w:pPr>
    <w:rPr/>
  </w:style>
  <w:style w:type="paragraph" w:styleId="user42">
    <w:name w:val="Заголовок списка (user)"/>
    <w:basedOn w:val="Normal"/>
    <w:next w:val="user41"/>
    <w:qFormat/>
    <w:pPr>
      <w:ind w:hanging="0" w:left="0" w:right="0"/>
    </w:pPr>
    <w:rPr/>
  </w:style>
  <w:style w:type="paragraph" w:styleId="Style10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11">
    <w:name w:val="Исполнитель документа"/>
    <w:basedOn w:val="Normal"/>
    <w:qFormat/>
    <w:pPr>
      <w:jc w:val="lef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left="0" w:right="0"/>
      <w:jc w:val="center"/>
    </w:pPr>
    <w:rPr/>
  </w:style>
  <w:style w:type="paragraph" w:styleId="22">
    <w:name w:val="Основной текст (2)"/>
    <w:basedOn w:val="Normal"/>
    <w:qFormat/>
    <w:pPr>
      <w:widowControl w:val="false"/>
      <w:shd w:val="clear" w:fill="FFFFFF"/>
      <w:spacing w:lineRule="atLeast" w:line="0" w:before="0" w:after="60"/>
      <w:jc w:val="right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qFormat/>
    <w:pPr>
      <w:suppressAutoHyphens w:val="true"/>
      <w:spacing w:lineRule="auto" w:line="240" w:before="0" w:after="0"/>
      <w:ind w:hanging="0" w:left="720"/>
    </w:pPr>
    <w:rPr>
      <w:sz w:val="24"/>
      <w:szCs w:val="24"/>
      <w:lang w:eastAsia="ar-SA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4">
    <w:name w:val="Нумерованный а)"/>
    <w:qFormat/>
  </w:style>
  <w:style w:type="numbering" w:styleId="Style15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LibreOffice/25.2.6.2$Linux_X86_64 LibreOffice_project/520$Build-2</Application>
  <AppVersion>15.0000</AppVersion>
  <Pages>8</Pages>
  <Words>1913</Words>
  <Characters>12869</Characters>
  <CharactersWithSpaces>14231</CharactersWithSpaces>
  <Paragraphs>563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2026-04-20T13:32:15Z</dcterms:created>
  <dc:creator/>
  <dc:description/>
  <dc:language>ru-RU</dc:language>
  <cp:lastModifiedBy/>
  <cp:lastPrinted>2026-04-20T14:51:35Z</cp:lastPrinted>
  <dcterms:modified xsi:type="dcterms:W3CDTF">2026-05-20T15:42:43Z</dcterms:modified>
  <cp:revision>11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