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2A0E494B"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754D22">
        <w:rPr>
          <w:rFonts w:ascii="Times New Roman" w:eastAsia="Times New Roman" w:hAnsi="Times New Roman" w:cs="Times New Roman"/>
          <w:b/>
          <w:sz w:val="24"/>
          <w:szCs w:val="24"/>
          <w:lang w:eastAsia="ar-SA"/>
        </w:rPr>
        <w:t>177</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7826CC" w:rsidR="00080777" w:rsidRPr="00F57D74" w:rsidRDefault="007B7402" w:rsidP="0094642F">
      <w:pPr>
        <w:spacing w:line="240" w:lineRule="auto"/>
        <w:jc w:val="both"/>
        <w:rPr>
          <w:rFonts w:ascii="Times New Roman" w:eastAsia="Arial" w:hAnsi="Times New Roman" w:cs="Times New Roman"/>
          <w:sz w:val="24"/>
          <w:szCs w:val="24"/>
          <w:lang w:eastAsia="ru-RU"/>
        </w:rPr>
      </w:pPr>
      <w:r w:rsidRPr="007B7402">
        <w:rPr>
          <w:rFonts w:ascii="Times New Roman" w:eastAsia="Times New Roman" w:hAnsi="Times New Roman" w:cs="Times New Roman"/>
          <w:sz w:val="24"/>
          <w:szCs w:val="24"/>
          <w:lang w:eastAsia="ar-SA"/>
        </w:rPr>
        <w:tab/>
      </w:r>
      <w:r w:rsidRPr="00F57D7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F57D74">
        <w:rPr>
          <w:rFonts w:ascii="Times New Roman" w:eastAsia="Times New Roman" w:hAnsi="Times New Roman" w:cs="Times New Roman"/>
          <w:b/>
          <w:sz w:val="24"/>
          <w:szCs w:val="24"/>
          <w:lang w:eastAsia="ru-RU"/>
        </w:rPr>
        <w:t xml:space="preserve"> (РГАТУ имени П.А.</w:t>
      </w:r>
      <w:r w:rsidR="00841F6B" w:rsidRPr="00F57D74">
        <w:rPr>
          <w:rFonts w:ascii="Times New Roman" w:eastAsia="Times New Roman" w:hAnsi="Times New Roman" w:cs="Times New Roman"/>
          <w:b/>
          <w:sz w:val="24"/>
          <w:szCs w:val="24"/>
          <w:lang w:eastAsia="ru-RU"/>
        </w:rPr>
        <w:t xml:space="preserve"> </w:t>
      </w:r>
      <w:r w:rsidRPr="00F57D74">
        <w:rPr>
          <w:rFonts w:ascii="Times New Roman" w:eastAsia="Times New Roman" w:hAnsi="Times New Roman" w:cs="Times New Roman"/>
          <w:b/>
          <w:sz w:val="24"/>
          <w:szCs w:val="24"/>
          <w:lang w:eastAsia="ru-RU"/>
        </w:rPr>
        <w:t>Соловьева)</w:t>
      </w:r>
      <w:r w:rsidRPr="00F57D74">
        <w:rPr>
          <w:rFonts w:ascii="Times New Roman" w:eastAsia="SimSun" w:hAnsi="Times New Roman" w:cs="Times New Roman"/>
          <w:color w:val="000000"/>
          <w:sz w:val="24"/>
          <w:szCs w:val="24"/>
        </w:rPr>
        <w:t xml:space="preserve"> </w:t>
      </w:r>
      <w:r w:rsidR="00387111" w:rsidRPr="00F57D74">
        <w:rPr>
          <w:rFonts w:ascii="Times New Roman" w:eastAsia="Times New Roman" w:hAnsi="Times New Roman" w:cs="Times New Roman"/>
          <w:sz w:val="24"/>
          <w:szCs w:val="24"/>
          <w:lang w:eastAsia="zh-CN"/>
        </w:rPr>
        <w:t xml:space="preserve">в лице </w:t>
      </w:r>
      <w:r w:rsidR="00465870" w:rsidRPr="00F57D74">
        <w:rPr>
          <w:rFonts w:ascii="Times New Roman" w:eastAsia="Arial" w:hAnsi="Times New Roman" w:cs="Times New Roman"/>
          <w:sz w:val="24"/>
          <w:szCs w:val="24"/>
          <w:lang w:eastAsia="ru-RU"/>
        </w:rPr>
        <w:t xml:space="preserve">Проректора по </w:t>
      </w:r>
      <w:proofErr w:type="spellStart"/>
      <w:r w:rsidR="00465870" w:rsidRPr="00F57D74">
        <w:rPr>
          <w:rFonts w:ascii="Times New Roman" w:eastAsia="Arial" w:hAnsi="Times New Roman" w:cs="Times New Roman"/>
          <w:sz w:val="24"/>
          <w:szCs w:val="24"/>
          <w:lang w:eastAsia="ru-RU"/>
        </w:rPr>
        <w:t>ИРиУК</w:t>
      </w:r>
      <w:proofErr w:type="spellEnd"/>
      <w:r w:rsidR="00465870" w:rsidRPr="00F57D74">
        <w:rPr>
          <w:rFonts w:ascii="Times New Roman" w:eastAsia="Arial" w:hAnsi="Times New Roman" w:cs="Times New Roman"/>
          <w:sz w:val="24"/>
          <w:szCs w:val="24"/>
          <w:lang w:eastAsia="ru-RU"/>
        </w:rPr>
        <w:t xml:space="preserve"> Головкина Сергея Михайловича</w:t>
      </w:r>
      <w:r w:rsidR="00387111" w:rsidRPr="00F57D74">
        <w:rPr>
          <w:rFonts w:ascii="Times New Roman" w:eastAsia="Arial" w:hAnsi="Times New Roman" w:cs="Times New Roman"/>
          <w:sz w:val="24"/>
          <w:szCs w:val="24"/>
          <w:lang w:eastAsia="ru-RU"/>
        </w:rPr>
        <w:t xml:space="preserve">, действующего на основании доверенности </w:t>
      </w:r>
      <w:r w:rsidR="003F6084" w:rsidRPr="00F57D74">
        <w:rPr>
          <w:rFonts w:ascii="Times New Roman" w:eastAsia="Arial" w:hAnsi="Times New Roman" w:cs="Times New Roman"/>
          <w:sz w:val="24"/>
          <w:szCs w:val="24"/>
          <w:lang w:eastAsia="ru-RU"/>
        </w:rPr>
        <w:t>№22 от 14.04.2026 года</w:t>
      </w:r>
      <w:r w:rsidR="00465870" w:rsidRPr="00F57D74">
        <w:rPr>
          <w:rFonts w:ascii="Times New Roman" w:eastAsia="Arial" w:hAnsi="Times New Roman" w:cs="Times New Roman"/>
          <w:sz w:val="24"/>
          <w:szCs w:val="24"/>
          <w:lang w:eastAsia="ru-RU"/>
        </w:rPr>
        <w:t xml:space="preserve"> </w:t>
      </w:r>
      <w:r w:rsidR="003F6084" w:rsidRPr="00F57D74">
        <w:rPr>
          <w:rFonts w:ascii="Times New Roman" w:eastAsia="Arial" w:hAnsi="Times New Roman" w:cs="Times New Roman"/>
          <w:sz w:val="24"/>
          <w:szCs w:val="24"/>
          <w:lang w:eastAsia="ru-RU"/>
        </w:rPr>
        <w:t xml:space="preserve"> </w:t>
      </w:r>
      <w:r w:rsidR="00387111" w:rsidRPr="00F57D74">
        <w:rPr>
          <w:rFonts w:ascii="Times New Roman" w:eastAsia="Arial"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 xml:space="preserve">далее именуемый «Заказчик» и </w:t>
      </w:r>
      <w:r w:rsidR="00AA6070">
        <w:rPr>
          <w:rFonts w:ascii="Times New Roman" w:hAnsi="Times New Roman" w:cs="Times New Roman"/>
          <w:b/>
          <w:color w:val="000000"/>
          <w:sz w:val="24"/>
          <w:szCs w:val="24"/>
        </w:rPr>
        <w:t>_____________________________________</w:t>
      </w:r>
      <w:r w:rsidR="00F57D74" w:rsidRPr="00F57D74">
        <w:rPr>
          <w:rFonts w:ascii="Times New Roman" w:eastAsia="Times New Roman" w:hAnsi="Times New Roman" w:cs="Times New Roman"/>
          <w:bCs/>
          <w:sz w:val="24"/>
          <w:szCs w:val="24"/>
          <w:lang w:eastAsia="ru-RU"/>
        </w:rPr>
        <w:t xml:space="preserve"> </w:t>
      </w:r>
      <w:r w:rsidR="00465870" w:rsidRPr="00F57D74">
        <w:rPr>
          <w:rFonts w:ascii="Times New Roman" w:eastAsia="Times New Roman" w:hAnsi="Times New Roman" w:cs="Times New Roman"/>
          <w:bCs/>
          <w:sz w:val="24"/>
          <w:szCs w:val="24"/>
          <w:lang w:eastAsia="ru-RU"/>
        </w:rPr>
        <w:t>действующий на основании</w:t>
      </w:r>
      <w:r w:rsidR="00F57D74" w:rsidRPr="00F57D74">
        <w:rPr>
          <w:rFonts w:ascii="Times New Roman" w:eastAsia="Times New Roman" w:hAnsi="Times New Roman" w:cs="Times New Roman"/>
          <w:bCs/>
          <w:sz w:val="24"/>
          <w:szCs w:val="24"/>
          <w:lang w:eastAsia="ru-RU"/>
        </w:rPr>
        <w:t xml:space="preserve"> </w:t>
      </w:r>
      <w:r w:rsidR="00AA6070">
        <w:rPr>
          <w:rFonts w:ascii="Times New Roman" w:eastAsia="Times New Roman" w:hAnsi="Times New Roman" w:cs="Times New Roman"/>
          <w:bCs/>
          <w:sz w:val="24"/>
          <w:szCs w:val="24"/>
          <w:lang w:eastAsia="ru-RU"/>
        </w:rPr>
        <w:t>__________________</w:t>
      </w:r>
      <w:r w:rsidR="00465870" w:rsidRPr="00F57D74">
        <w:rPr>
          <w:rFonts w:ascii="Times New Roman" w:eastAsia="Times New Roman" w:hAnsi="Times New Roman" w:cs="Times New Roman"/>
          <w:sz w:val="24"/>
          <w:szCs w:val="24"/>
          <w:lang w:eastAsia="ru-RU"/>
        </w:rPr>
        <w:t>,</w:t>
      </w:r>
      <w:r w:rsidR="003F6084" w:rsidRPr="00F57D74">
        <w:rPr>
          <w:rFonts w:ascii="Times New Roman" w:eastAsia="Times New Roman"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именуемый в дальнейшем  «</w:t>
      </w:r>
      <w:r w:rsidR="006F7D33" w:rsidRPr="00F57D74">
        <w:rPr>
          <w:rFonts w:ascii="Times New Roman" w:eastAsia="Times New Roman" w:hAnsi="Times New Roman" w:cs="Times New Roman"/>
          <w:sz w:val="24"/>
          <w:szCs w:val="24"/>
          <w:lang w:eastAsia="ru-RU"/>
        </w:rPr>
        <w:t>Поставщик</w:t>
      </w:r>
      <w:r w:rsidRPr="00F57D74">
        <w:rPr>
          <w:rFonts w:ascii="Times New Roman" w:eastAsia="Times New Roman" w:hAnsi="Times New Roman" w:cs="Times New Roman"/>
          <w:sz w:val="24"/>
          <w:szCs w:val="24"/>
          <w:lang w:eastAsia="ru-RU"/>
        </w:rPr>
        <w:t xml:space="preserve">», с другой стороны,  </w:t>
      </w:r>
      <w:r w:rsidRPr="00F57D74">
        <w:rPr>
          <w:rFonts w:ascii="Times New Roman" w:eastAsia="Calibri" w:hAnsi="Times New Roman" w:cs="Times New Roman"/>
          <w:sz w:val="24"/>
          <w:szCs w:val="24"/>
          <w:lang w:eastAsia="ru-RU"/>
        </w:rPr>
        <w:t xml:space="preserve">на основании п. </w:t>
      </w:r>
      <w:r w:rsidR="00AA6070">
        <w:rPr>
          <w:rFonts w:ascii="Times New Roman" w:eastAsia="Calibri" w:hAnsi="Times New Roman" w:cs="Times New Roman"/>
          <w:sz w:val="24"/>
          <w:szCs w:val="24"/>
          <w:lang w:eastAsia="ru-RU"/>
        </w:rPr>
        <w:t>4</w:t>
      </w:r>
      <w:r w:rsidRPr="00F57D7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F57D74">
        <w:rPr>
          <w:rFonts w:ascii="Times New Roman" w:eastAsia="Calibri" w:hAnsi="Times New Roman" w:cs="Times New Roman"/>
          <w:sz w:val="24"/>
          <w:szCs w:val="24"/>
          <w:lang w:eastAsia="ru-RU"/>
        </w:rPr>
        <w:t>услуг</w:t>
      </w:r>
      <w:r w:rsidRPr="00F57D7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0767701D"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754D22">
        <w:rPr>
          <w:rFonts w:ascii="Times New Roman" w:eastAsia="Times New Roman" w:hAnsi="Times New Roman" w:cs="Times New Roman"/>
          <w:sz w:val="24"/>
          <w:szCs w:val="24"/>
          <w:lang w:eastAsia="ru-RU"/>
        </w:rPr>
        <w:t>бланочную продукцию</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36D97AFC" w:rsidR="00B96EF6" w:rsidRPr="00B96EF6" w:rsidRDefault="00BA0C10" w:rsidP="00465870">
      <w:pPr>
        <w:pStyle w:val="aa"/>
        <w:numPr>
          <w:ilvl w:val="1"/>
          <w:numId w:val="8"/>
        </w:numPr>
        <w:tabs>
          <w:tab w:val="left" w:pos="993"/>
        </w:tabs>
        <w:spacing w:after="0" w:line="240" w:lineRule="auto"/>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w:t>
      </w:r>
      <w:proofErr w:type="gramStart"/>
      <w:r w:rsidRPr="00B96EF6">
        <w:rPr>
          <w:rFonts w:ascii="Times New Roman" w:eastAsia="MS Mincho" w:hAnsi="Times New Roman" w:cs="Times New Roman"/>
          <w:sz w:val="24"/>
          <w:szCs w:val="28"/>
          <w:lang w:eastAsia="ru-RU"/>
        </w:rPr>
        <w:t xml:space="preserve">составляет </w:t>
      </w:r>
      <w:r w:rsid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_</w:t>
      </w:r>
      <w:proofErr w:type="gramEnd"/>
      <w:r w:rsidR="00AA6070">
        <w:rPr>
          <w:rFonts w:ascii="Times New Roman" w:eastAsia="MS Mincho" w:hAnsi="Times New Roman" w:cs="Times New Roman"/>
          <w:sz w:val="24"/>
          <w:szCs w:val="28"/>
          <w:lang w:eastAsia="ru-RU"/>
        </w:rPr>
        <w:t>____________________</w:t>
      </w:r>
      <w:r w:rsidR="00F57D74" w:rsidRPr="00F57D74">
        <w:rPr>
          <w:rFonts w:ascii="Times New Roman" w:eastAsia="MS Mincho" w:hAnsi="Times New Roman" w:cs="Times New Roman"/>
          <w:sz w:val="24"/>
          <w:szCs w:val="28"/>
          <w:lang w:eastAsia="ru-RU"/>
        </w:rPr>
        <w:t>, в том числе НДС</w:t>
      </w:r>
      <w:r w:rsidR="00AA6070">
        <w:rPr>
          <w:rFonts w:ascii="Times New Roman" w:eastAsia="MS Mincho" w:hAnsi="Times New Roman" w:cs="Times New Roman"/>
          <w:sz w:val="24"/>
          <w:szCs w:val="28"/>
          <w:lang w:eastAsia="ru-RU"/>
        </w:rPr>
        <w:t xml:space="preserve"> </w:t>
      </w:r>
      <w:r w:rsidR="00F57D74">
        <w:rPr>
          <w:rFonts w:ascii="Times New Roman" w:eastAsia="MS Mincho" w:hAnsi="Times New Roman" w:cs="Times New Roman"/>
          <w:sz w:val="24"/>
          <w:szCs w:val="28"/>
          <w:lang w:eastAsia="ru-RU"/>
        </w:rPr>
        <w:t>%</w:t>
      </w:r>
      <w:r w:rsidR="00F57D74" w:rsidRP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lastRenderedPageBreak/>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2C0DD1A6"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841F6B">
        <w:rPr>
          <w:rFonts w:ascii="Times New Roman" w:eastAsia="Times New Roman" w:hAnsi="Times New Roman" w:cs="Times New Roman"/>
          <w:b/>
          <w:sz w:val="24"/>
          <w:szCs w:val="28"/>
          <w:lang w:eastAsia="ru-RU"/>
        </w:rPr>
        <w:t xml:space="preserve">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sz w:val="24"/>
          <w:szCs w:val="24"/>
          <w:lang w:eastAsia="ru-RU"/>
        </w:rPr>
        <w:t>Пушкина</w:t>
      </w:r>
      <w:r w:rsidR="00017CD1" w:rsidRPr="00841F6B">
        <w:rPr>
          <w:rFonts w:ascii="Times New Roman" w:eastAsia="Arial" w:hAnsi="Times New Roman" w:cs="Times New Roman"/>
          <w:b/>
          <w:sz w:val="24"/>
          <w:szCs w:val="24"/>
          <w:lang w:eastAsia="ru-RU"/>
        </w:rPr>
        <w:t xml:space="preserve"> д. </w:t>
      </w:r>
      <w:r w:rsidR="008572BB">
        <w:rPr>
          <w:rFonts w:ascii="Times New Roman" w:eastAsia="Arial" w:hAnsi="Times New Roman" w:cs="Times New Roman"/>
          <w:b/>
          <w:sz w:val="24"/>
          <w:szCs w:val="24"/>
          <w:lang w:eastAsia="ru-RU"/>
        </w:rPr>
        <w:t>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665ACA">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665ACA">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D5455BC"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 xml:space="preserve">заведующая </w:t>
      </w:r>
      <w:proofErr w:type="gramStart"/>
      <w:r w:rsidR="008572BB">
        <w:rPr>
          <w:rFonts w:ascii="Times New Roman" w:eastAsia="Times New Roman" w:hAnsi="Times New Roman" w:cs="Times New Roman"/>
          <w:b/>
          <w:i/>
          <w:sz w:val="24"/>
          <w:szCs w:val="28"/>
          <w:u w:val="single"/>
          <w:lang w:eastAsia="ru-RU"/>
        </w:rPr>
        <w:t xml:space="preserve">складом </w:t>
      </w:r>
      <w:r w:rsidR="00750B46">
        <w:rPr>
          <w:rFonts w:ascii="Times New Roman" w:eastAsia="Times New Roman" w:hAnsi="Times New Roman" w:cs="Times New Roman"/>
          <w:b/>
          <w:i/>
          <w:sz w:val="24"/>
          <w:szCs w:val="28"/>
          <w:u w:val="single"/>
          <w:lang w:eastAsia="ru-RU"/>
        </w:rPr>
        <w:t xml:space="preserve"> </w:t>
      </w:r>
      <w:proofErr w:type="spellStart"/>
      <w:r w:rsidR="008572BB">
        <w:rPr>
          <w:rFonts w:ascii="Times New Roman" w:eastAsia="Times New Roman" w:hAnsi="Times New Roman" w:cs="Times New Roman"/>
          <w:b/>
          <w:i/>
          <w:sz w:val="24"/>
          <w:szCs w:val="28"/>
          <w:u w:val="single"/>
          <w:lang w:eastAsia="ru-RU"/>
        </w:rPr>
        <w:t>Мешкалова</w:t>
      </w:r>
      <w:proofErr w:type="spellEnd"/>
      <w:proofErr w:type="gramEnd"/>
      <w:r w:rsidR="008572BB">
        <w:rPr>
          <w:rFonts w:ascii="Times New Roman" w:eastAsia="Times New Roman" w:hAnsi="Times New Roman" w:cs="Times New Roman"/>
          <w:b/>
          <w:i/>
          <w:sz w:val="24"/>
          <w:szCs w:val="28"/>
          <w:u w:val="single"/>
          <w:lang w:eastAsia="ru-RU"/>
        </w:rPr>
        <w:t xml:space="preserve"> А.Н</w:t>
      </w:r>
      <w:r w:rsidR="00750B46">
        <w:rPr>
          <w:rFonts w:ascii="Times New Roman" w:eastAsia="Times New Roman" w:hAnsi="Times New Roman" w:cs="Times New Roman"/>
          <w:b/>
          <w:i/>
          <w:sz w:val="24"/>
          <w:szCs w:val="28"/>
          <w:u w:val="single"/>
          <w:lang w:eastAsia="ru-RU"/>
        </w:rPr>
        <w:t>.</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5681B30"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10</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0AD5E5A8" w:rsidR="00136D57" w:rsidRPr="00136D57"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57D8095D" w14:textId="5226D56D" w:rsidR="00136D57" w:rsidRPr="00136D57" w:rsidRDefault="00136D57" w:rsidP="00AA6070">
            <w:pPr>
              <w:pStyle w:val="ac"/>
              <w:rPr>
                <w:rFonts w:eastAsia="Times New Roman"/>
                <w:sz w:val="24"/>
                <w:szCs w:val="24"/>
                <w:lang w:eastAsia="ar-SA"/>
              </w:rPr>
            </w:pPr>
            <w:r w:rsidRPr="00F57D74">
              <w:rPr>
                <w:rFonts w:ascii="Times New Roman" w:eastAsia="Times New Roman" w:hAnsi="Times New Roman"/>
                <w:sz w:val="24"/>
                <w:szCs w:val="24"/>
                <w:lang w:eastAsia="ar-SA"/>
              </w:rPr>
              <w:t xml:space="preserve">Юридический </w:t>
            </w:r>
            <w:proofErr w:type="gramStart"/>
            <w:r w:rsidRPr="00F57D74">
              <w:rPr>
                <w:rFonts w:ascii="Times New Roman" w:eastAsia="Times New Roman" w:hAnsi="Times New Roman"/>
                <w:sz w:val="24"/>
                <w:szCs w:val="24"/>
                <w:lang w:eastAsia="ar-SA"/>
              </w:rPr>
              <w:t>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roofErr w:type="gramEnd"/>
            <w:r w:rsidR="00AA6070">
              <w:rPr>
                <w:rFonts w:ascii="Times New Roman" w:hAnsi="Times New Roman"/>
                <w:sz w:val="24"/>
                <w:szCs w:val="24"/>
              </w:rPr>
              <w:t xml:space="preserve"> </w:t>
            </w:r>
          </w:p>
        </w:tc>
        <w:tc>
          <w:tcPr>
            <w:tcW w:w="4786" w:type="dxa"/>
            <w:shd w:val="clear" w:color="auto" w:fill="auto"/>
          </w:tcPr>
          <w:p w14:paraId="15EC155F"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136D57"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136D57">
        <w:rPr>
          <w:rFonts w:ascii="Times New Roman" w:eastAsia="Times New Roman" w:hAnsi="Times New Roman" w:cs="Times New Roman"/>
          <w:b/>
          <w:bCs/>
          <w:sz w:val="24"/>
          <w:szCs w:val="24"/>
          <w:lang w:val="en-US" w:eastAsia="ar-SA"/>
        </w:rPr>
        <w:tab/>
      </w:r>
      <w:r w:rsidRPr="006F7D33">
        <w:rPr>
          <w:rFonts w:ascii="Times New Roman" w:eastAsia="Times New Roman" w:hAnsi="Times New Roman" w:cs="Times New Roman"/>
          <w:b/>
          <w:bCs/>
          <w:sz w:val="24"/>
          <w:szCs w:val="24"/>
          <w:lang w:eastAsia="ar-SA"/>
        </w:rPr>
        <w:t>Подписи сторон</w:t>
      </w:r>
      <w:bookmarkStart w:id="4" w:name="_Hlk133934127"/>
    </w:p>
    <w:bookmarkEnd w:id="4"/>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5FAC7327" w:rsidR="00465870" w:rsidRPr="00136D57"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AA6070">
        <w:rPr>
          <w:rFonts w:ascii="Times New Roman" w:eastAsia="Times New Roman" w:hAnsi="Times New Roman" w:cs="Times New Roman"/>
          <w:sz w:val="24"/>
          <w:szCs w:val="24"/>
          <w:lang w:eastAsia="ar-SA"/>
        </w:rPr>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5403FFF"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465870">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___________________/</w:t>
      </w:r>
      <w:r w:rsidR="00AA6070">
        <w:rPr>
          <w:rFonts w:ascii="Times New Roman" w:eastAsia="Times New Roman" w:hAnsi="Times New Roman" w:cs="Times New Roman"/>
          <w:sz w:val="24"/>
          <w:szCs w:val="24"/>
          <w:lang w:eastAsia="ar-SA"/>
        </w:rPr>
        <w:t xml:space="preserve"> </w:t>
      </w:r>
      <w:r w:rsidRPr="00841F6B">
        <w:rPr>
          <w:rFonts w:ascii="Times New Roman" w:eastAsia="Times New Roman" w:hAnsi="Times New Roman" w:cs="Times New Roman"/>
          <w:sz w:val="24"/>
          <w:szCs w:val="24"/>
          <w:lang w:eastAsia="ar-SA"/>
        </w:rPr>
        <w:t xml:space="preserve">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324D2DC0"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1D1D70">
        <w:rPr>
          <w:rFonts w:ascii="Times New Roman" w:eastAsia="Times New Roman" w:hAnsi="Times New Roman" w:cs="Times New Roman"/>
          <w:lang w:eastAsia="ru-RU"/>
        </w:rPr>
        <w:t>77</w:t>
      </w:r>
      <w:bookmarkStart w:id="5" w:name="_GoBack"/>
      <w:bookmarkEnd w:id="5"/>
      <w:r w:rsidRPr="00841F6B">
        <w:rPr>
          <w:rFonts w:ascii="Times New Roman" w:eastAsia="Times New Roman" w:hAnsi="Times New Roman" w:cs="Times New Roman"/>
          <w:lang w:eastAsia="ru-RU"/>
        </w:rPr>
        <w:t xml:space="preserve"> от «___» </w:t>
      </w:r>
      <w:r w:rsidR="00415FA7">
        <w:rPr>
          <w:rFonts w:ascii="Times New Roman" w:eastAsia="Times New Roman" w:hAnsi="Times New Roman" w:cs="Times New Roman"/>
          <w:lang w:eastAsia="ru-RU"/>
        </w:rPr>
        <w:t>_______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tbl>
      <w:tblPr>
        <w:tblpPr w:leftFromText="180" w:rightFromText="180" w:bottomFromText="160" w:vertAnchor="text" w:horzAnchor="margin" w:tblpXSpec="center" w:tblpY="63"/>
        <w:tblW w:w="9789" w:type="dxa"/>
        <w:tblLayout w:type="fixed"/>
        <w:tblCellMar>
          <w:left w:w="75" w:type="dxa"/>
          <w:right w:w="75" w:type="dxa"/>
        </w:tblCellMar>
        <w:tblLook w:val="04A0" w:firstRow="1" w:lastRow="0" w:firstColumn="1" w:lastColumn="0" w:noHBand="0" w:noVBand="1"/>
      </w:tblPr>
      <w:tblGrid>
        <w:gridCol w:w="561"/>
        <w:gridCol w:w="4823"/>
        <w:gridCol w:w="709"/>
        <w:gridCol w:w="848"/>
        <w:gridCol w:w="1276"/>
        <w:gridCol w:w="13"/>
        <w:gridCol w:w="1546"/>
        <w:gridCol w:w="13"/>
      </w:tblGrid>
      <w:tr w:rsidR="001D1D70" w14:paraId="7536ADA3" w14:textId="77777777" w:rsidTr="001D1D70">
        <w:trPr>
          <w:gridAfter w:val="1"/>
          <w:wAfter w:w="13" w:type="dxa"/>
          <w:trHeight w:val="400"/>
        </w:trPr>
        <w:tc>
          <w:tcPr>
            <w:tcW w:w="561" w:type="dxa"/>
            <w:vMerge w:val="restart"/>
            <w:tcBorders>
              <w:top w:val="single" w:sz="4" w:space="0" w:color="auto"/>
              <w:left w:val="single" w:sz="4" w:space="0" w:color="auto"/>
              <w:bottom w:val="single" w:sz="4" w:space="0" w:color="auto"/>
              <w:right w:val="single" w:sz="4" w:space="0" w:color="auto"/>
            </w:tcBorders>
            <w:hideMark/>
          </w:tcPr>
          <w:p w14:paraId="6E9100C4"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4823" w:type="dxa"/>
            <w:tcBorders>
              <w:top w:val="single" w:sz="4" w:space="0" w:color="auto"/>
              <w:left w:val="single" w:sz="4" w:space="0" w:color="auto"/>
              <w:bottom w:val="nil"/>
              <w:right w:val="single" w:sz="4" w:space="0" w:color="auto"/>
            </w:tcBorders>
            <w:hideMark/>
          </w:tcPr>
          <w:p w14:paraId="4BD7478A" w14:textId="77777777" w:rsidR="001D1D70" w:rsidRDefault="001D1D70">
            <w:pPr>
              <w:autoSpaceDE w:val="0"/>
              <w:autoSpaceDN w:val="0"/>
              <w:adjustRightInd w:val="0"/>
              <w:spacing w:after="0" w:line="240" w:lineRule="auto"/>
              <w:ind w:left="-75" w:right="-7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w:t>
            </w:r>
            <w:r>
              <w:rPr>
                <w:rFonts w:ascii="Times New Roman" w:eastAsia="Times New Roman" w:hAnsi="Times New Roman" w:cs="Times New Roman"/>
                <w:lang w:eastAsia="ru-RU"/>
              </w:rPr>
              <w:br/>
            </w:r>
            <w:r>
              <w:rPr>
                <w:rFonts w:ascii="Times New Roman" w:eastAsia="Calibri" w:hAnsi="Times New Roman" w:cs="Times New Roman"/>
                <w:lang w:eastAsia="ru-RU"/>
              </w:rPr>
              <w:t>и технические характеристики</w:t>
            </w:r>
            <w:r>
              <w:rPr>
                <w:rFonts w:ascii="Times New Roman" w:eastAsia="Times New Roman" w:hAnsi="Times New Roman" w:cs="Times New Roman"/>
                <w:lang w:eastAsia="ru-RU"/>
              </w:rPr>
              <w:t xml:space="preserve">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CE063C2"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Ед. </w:t>
            </w:r>
            <w:r>
              <w:rPr>
                <w:rFonts w:ascii="Times New Roman" w:eastAsia="Times New Roman" w:hAnsi="Times New Roman" w:cs="Times New Roman"/>
                <w:lang w:eastAsia="ru-RU"/>
              </w:rPr>
              <w:br/>
              <w:t>изм.</w:t>
            </w:r>
          </w:p>
        </w:tc>
        <w:tc>
          <w:tcPr>
            <w:tcW w:w="848" w:type="dxa"/>
            <w:vMerge w:val="restart"/>
            <w:tcBorders>
              <w:top w:val="single" w:sz="4" w:space="0" w:color="auto"/>
              <w:left w:val="single" w:sz="4" w:space="0" w:color="auto"/>
              <w:bottom w:val="single" w:sz="4" w:space="0" w:color="auto"/>
              <w:right w:val="single" w:sz="4" w:space="0" w:color="auto"/>
            </w:tcBorders>
            <w:hideMark/>
          </w:tcPr>
          <w:p w14:paraId="675FCF28"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19B2EE2"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Цена за ед., </w:t>
            </w:r>
            <w:proofErr w:type="spellStart"/>
            <w:r>
              <w:rPr>
                <w:rFonts w:ascii="Times New Roman" w:eastAsia="Times New Roman" w:hAnsi="Times New Roman" w:cs="Times New Roman"/>
                <w:lang w:eastAsia="ru-RU"/>
              </w:rPr>
              <w:t>руб</w:t>
            </w:r>
            <w:proofErr w:type="spellEnd"/>
            <w:r>
              <w:rPr>
                <w:rFonts w:ascii="Times New Roman" w:eastAsia="Times New Roman" w:hAnsi="Times New Roman" w:cs="Times New Roman"/>
                <w:lang w:eastAsia="ru-RU"/>
              </w:rPr>
              <w:t xml:space="preserve">*.   </w:t>
            </w:r>
          </w:p>
        </w:tc>
        <w:tc>
          <w:tcPr>
            <w:tcW w:w="1559" w:type="dxa"/>
            <w:gridSpan w:val="2"/>
            <w:tcBorders>
              <w:top w:val="single" w:sz="4" w:space="0" w:color="auto"/>
              <w:left w:val="single" w:sz="4" w:space="0" w:color="auto"/>
              <w:bottom w:val="nil"/>
              <w:right w:val="single" w:sz="4" w:space="0" w:color="auto"/>
            </w:tcBorders>
            <w:hideMark/>
          </w:tcPr>
          <w:p w14:paraId="19628FE3"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1D1D70" w14:paraId="7B8C7383" w14:textId="77777777" w:rsidTr="001D1D70">
        <w:trPr>
          <w:gridAfter w:val="1"/>
          <w:wAfter w:w="13" w:type="dxa"/>
          <w:trHeight w:val="7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DB02C91" w14:textId="77777777" w:rsidR="001D1D70" w:rsidRDefault="001D1D70">
            <w:pPr>
              <w:spacing w:after="0" w:line="256" w:lineRule="auto"/>
              <w:rPr>
                <w:rFonts w:ascii="Times New Roman" w:eastAsia="Times New Roman" w:hAnsi="Times New Roman" w:cs="Times New Roman"/>
                <w:lang w:eastAsia="ru-RU"/>
              </w:rPr>
            </w:pPr>
          </w:p>
        </w:tc>
        <w:tc>
          <w:tcPr>
            <w:tcW w:w="4823" w:type="dxa"/>
            <w:tcBorders>
              <w:top w:val="nil"/>
              <w:left w:val="single" w:sz="4" w:space="0" w:color="auto"/>
              <w:bottom w:val="single" w:sz="4" w:space="0" w:color="auto"/>
              <w:right w:val="single" w:sz="4" w:space="0" w:color="auto"/>
            </w:tcBorders>
          </w:tcPr>
          <w:p w14:paraId="7AAA954F" w14:textId="77777777" w:rsidR="001D1D70" w:rsidRDefault="001D1D70">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2EE158" w14:textId="77777777" w:rsidR="001D1D70" w:rsidRDefault="001D1D70">
            <w:pPr>
              <w:spacing w:after="0" w:line="256" w:lineRule="auto"/>
              <w:rPr>
                <w:rFonts w:ascii="Times New Roman" w:eastAsia="Times New Roman" w:hAnsi="Times New Roman" w:cs="Times New Roman"/>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A87F1AC" w14:textId="77777777" w:rsidR="001D1D70" w:rsidRDefault="001D1D70">
            <w:pPr>
              <w:spacing w:after="0" w:line="256" w:lineRule="auto"/>
              <w:rPr>
                <w:rFonts w:ascii="Times New Roman" w:eastAsia="Times New Roman" w:hAnsi="Times New Roman" w:cs="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4EFAF9" w14:textId="77777777" w:rsidR="001D1D70" w:rsidRDefault="001D1D70">
            <w:pPr>
              <w:spacing w:after="0" w:line="256" w:lineRule="auto"/>
              <w:rPr>
                <w:rFonts w:ascii="Times New Roman" w:eastAsia="Times New Roman" w:hAnsi="Times New Roman" w:cs="Times New Roman"/>
                <w:lang w:eastAsia="ru-RU"/>
              </w:rPr>
            </w:pPr>
          </w:p>
        </w:tc>
        <w:tc>
          <w:tcPr>
            <w:tcW w:w="1559" w:type="dxa"/>
            <w:gridSpan w:val="2"/>
            <w:tcBorders>
              <w:top w:val="nil"/>
              <w:left w:val="single" w:sz="4" w:space="0" w:color="auto"/>
              <w:bottom w:val="single" w:sz="4" w:space="0" w:color="auto"/>
              <w:right w:val="single" w:sz="4" w:space="0" w:color="auto"/>
            </w:tcBorders>
          </w:tcPr>
          <w:p w14:paraId="1CFEF1BC"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p>
        </w:tc>
      </w:tr>
      <w:tr w:rsidR="001D1D70" w14:paraId="4E88FEBA" w14:textId="77777777" w:rsidTr="001D1D70">
        <w:trPr>
          <w:gridAfter w:val="1"/>
          <w:wAfter w:w="13" w:type="dxa"/>
          <w:trHeight w:val="163"/>
        </w:trPr>
        <w:tc>
          <w:tcPr>
            <w:tcW w:w="561" w:type="dxa"/>
            <w:tcBorders>
              <w:top w:val="nil"/>
              <w:left w:val="single" w:sz="4" w:space="0" w:color="auto"/>
              <w:bottom w:val="single" w:sz="4" w:space="0" w:color="auto"/>
              <w:right w:val="single" w:sz="4" w:space="0" w:color="auto"/>
            </w:tcBorders>
            <w:hideMark/>
          </w:tcPr>
          <w:p w14:paraId="56386DF6"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823" w:type="dxa"/>
            <w:tcBorders>
              <w:top w:val="nil"/>
              <w:left w:val="single" w:sz="4" w:space="0" w:color="auto"/>
              <w:bottom w:val="single" w:sz="4" w:space="0" w:color="auto"/>
              <w:right w:val="single" w:sz="4" w:space="0" w:color="auto"/>
            </w:tcBorders>
            <w:hideMark/>
          </w:tcPr>
          <w:p w14:paraId="4DDF5C7E"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tcBorders>
              <w:top w:val="nil"/>
              <w:left w:val="single" w:sz="4" w:space="0" w:color="auto"/>
              <w:bottom w:val="single" w:sz="4" w:space="0" w:color="auto"/>
              <w:right w:val="single" w:sz="4" w:space="0" w:color="auto"/>
            </w:tcBorders>
            <w:hideMark/>
          </w:tcPr>
          <w:p w14:paraId="0CEC3DB8"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48" w:type="dxa"/>
            <w:tcBorders>
              <w:top w:val="nil"/>
              <w:left w:val="single" w:sz="4" w:space="0" w:color="auto"/>
              <w:bottom w:val="single" w:sz="4" w:space="0" w:color="auto"/>
              <w:right w:val="single" w:sz="4" w:space="0" w:color="auto"/>
            </w:tcBorders>
            <w:hideMark/>
          </w:tcPr>
          <w:p w14:paraId="5E087D8E"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nil"/>
              <w:left w:val="single" w:sz="4" w:space="0" w:color="auto"/>
              <w:bottom w:val="single" w:sz="4" w:space="0" w:color="auto"/>
              <w:right w:val="single" w:sz="4" w:space="0" w:color="auto"/>
            </w:tcBorders>
            <w:hideMark/>
          </w:tcPr>
          <w:p w14:paraId="06C595E5"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59" w:type="dxa"/>
            <w:gridSpan w:val="2"/>
            <w:tcBorders>
              <w:top w:val="nil"/>
              <w:left w:val="single" w:sz="4" w:space="0" w:color="auto"/>
              <w:bottom w:val="single" w:sz="4" w:space="0" w:color="auto"/>
              <w:right w:val="single" w:sz="4" w:space="0" w:color="auto"/>
            </w:tcBorders>
            <w:hideMark/>
          </w:tcPr>
          <w:p w14:paraId="6514157B"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r w:rsidR="001D1D70" w14:paraId="3E8FD8A3" w14:textId="77777777" w:rsidTr="001D1D70">
        <w:trPr>
          <w:gridAfter w:val="1"/>
          <w:wAfter w:w="13" w:type="dxa"/>
          <w:trHeight w:val="374"/>
        </w:trPr>
        <w:tc>
          <w:tcPr>
            <w:tcW w:w="561" w:type="dxa"/>
            <w:tcBorders>
              <w:top w:val="nil"/>
              <w:left w:val="single" w:sz="4" w:space="0" w:color="auto"/>
              <w:bottom w:val="single" w:sz="4" w:space="0" w:color="auto"/>
              <w:right w:val="single" w:sz="4" w:space="0" w:color="auto"/>
            </w:tcBorders>
            <w:hideMark/>
          </w:tcPr>
          <w:p w14:paraId="78A106C0" w14:textId="77777777" w:rsidR="001D1D70" w:rsidRDefault="001D1D70">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823" w:type="dxa"/>
            <w:tcBorders>
              <w:top w:val="nil"/>
              <w:left w:val="single" w:sz="4" w:space="0" w:color="auto"/>
              <w:bottom w:val="single" w:sz="4" w:space="0" w:color="auto"/>
              <w:right w:val="single" w:sz="4" w:space="0" w:color="auto"/>
            </w:tcBorders>
            <w:hideMark/>
          </w:tcPr>
          <w:p w14:paraId="548CE424" w14:textId="2C2093DC" w:rsidR="001D1D70" w:rsidRPr="001D1D70" w:rsidRDefault="001D1D70">
            <w:pPr>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color w:val="2C2D2E"/>
                <w:sz w:val="24"/>
                <w:szCs w:val="24"/>
              </w:rPr>
              <w:t xml:space="preserve"> </w:t>
            </w:r>
            <w:r>
              <w:rPr>
                <w:rFonts w:ascii="Times New Roman" w:hAnsi="Times New Roman" w:cs="Times New Roman"/>
                <w:color w:val="2C2D2E"/>
                <w:sz w:val="24"/>
                <w:szCs w:val="24"/>
              </w:rPr>
              <w:t xml:space="preserve">  </w:t>
            </w:r>
            <w:r w:rsidRPr="001D1D70">
              <w:rPr>
                <w:rFonts w:ascii="Times New Roman" w:hAnsi="Times New Roman" w:cs="Times New Roman"/>
                <w:sz w:val="21"/>
                <w:szCs w:val="21"/>
                <w:shd w:val="clear" w:color="auto" w:fill="FFFFFF"/>
              </w:rPr>
              <w:t>Путевой лист легкового автомобиля</w:t>
            </w:r>
          </w:p>
        </w:tc>
        <w:tc>
          <w:tcPr>
            <w:tcW w:w="709" w:type="dxa"/>
            <w:tcBorders>
              <w:top w:val="nil"/>
              <w:left w:val="single" w:sz="4" w:space="0" w:color="auto"/>
              <w:bottom w:val="single" w:sz="4" w:space="0" w:color="auto"/>
              <w:right w:val="single" w:sz="4" w:space="0" w:color="auto"/>
            </w:tcBorders>
            <w:hideMark/>
          </w:tcPr>
          <w:p w14:paraId="3C19249A"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848" w:type="dxa"/>
            <w:tcBorders>
              <w:top w:val="nil"/>
              <w:left w:val="single" w:sz="4" w:space="0" w:color="auto"/>
              <w:bottom w:val="single" w:sz="4" w:space="0" w:color="auto"/>
              <w:right w:val="single" w:sz="4" w:space="0" w:color="auto"/>
            </w:tcBorders>
            <w:hideMark/>
          </w:tcPr>
          <w:p w14:paraId="2B9DF486" w14:textId="07794888"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lang w:eastAsia="ru-RU"/>
              </w:rPr>
              <w:t>000</w:t>
            </w:r>
          </w:p>
        </w:tc>
        <w:tc>
          <w:tcPr>
            <w:tcW w:w="1276" w:type="dxa"/>
            <w:tcBorders>
              <w:top w:val="nil"/>
              <w:left w:val="single" w:sz="4" w:space="0" w:color="auto"/>
              <w:bottom w:val="single" w:sz="4" w:space="0" w:color="auto"/>
              <w:right w:val="single" w:sz="4" w:space="0" w:color="auto"/>
            </w:tcBorders>
          </w:tcPr>
          <w:p w14:paraId="65BA8494"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top w:val="nil"/>
              <w:left w:val="single" w:sz="4" w:space="0" w:color="auto"/>
              <w:bottom w:val="single" w:sz="4" w:space="0" w:color="auto"/>
              <w:right w:val="single" w:sz="4" w:space="0" w:color="auto"/>
            </w:tcBorders>
          </w:tcPr>
          <w:p w14:paraId="3F7D220B" w14:textId="77777777" w:rsidR="001D1D70" w:rsidRDefault="001D1D70">
            <w:pPr>
              <w:autoSpaceDE w:val="0"/>
              <w:autoSpaceDN w:val="0"/>
              <w:adjustRightInd w:val="0"/>
              <w:spacing w:after="0" w:line="240" w:lineRule="auto"/>
              <w:jc w:val="center"/>
              <w:rPr>
                <w:rFonts w:ascii="Times New Roman" w:eastAsia="Times New Roman" w:hAnsi="Times New Roman" w:cs="Times New Roman"/>
                <w:lang w:eastAsia="ru-RU"/>
              </w:rPr>
            </w:pPr>
          </w:p>
        </w:tc>
      </w:tr>
      <w:tr w:rsidR="001D1D70" w14:paraId="15D77F85" w14:textId="77777777" w:rsidTr="001D1D70">
        <w:tc>
          <w:tcPr>
            <w:tcW w:w="8230" w:type="dxa"/>
            <w:gridSpan w:val="6"/>
            <w:tcBorders>
              <w:top w:val="single" w:sz="4" w:space="0" w:color="auto"/>
              <w:left w:val="single" w:sz="4" w:space="0" w:color="auto"/>
              <w:bottom w:val="single" w:sz="4" w:space="0" w:color="auto"/>
              <w:right w:val="single" w:sz="4" w:space="0" w:color="auto"/>
            </w:tcBorders>
            <w:hideMark/>
          </w:tcPr>
          <w:p w14:paraId="416561A4" w14:textId="77777777" w:rsidR="001D1D70" w:rsidRDefault="001D1D70">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Итого, руб.:</w:t>
            </w:r>
          </w:p>
        </w:tc>
        <w:tc>
          <w:tcPr>
            <w:tcW w:w="1559" w:type="dxa"/>
            <w:gridSpan w:val="2"/>
            <w:tcBorders>
              <w:top w:val="single" w:sz="4" w:space="0" w:color="auto"/>
              <w:left w:val="single" w:sz="4" w:space="0" w:color="auto"/>
              <w:bottom w:val="single" w:sz="4" w:space="0" w:color="auto"/>
              <w:right w:val="single" w:sz="4" w:space="0" w:color="auto"/>
            </w:tcBorders>
          </w:tcPr>
          <w:p w14:paraId="695FA8B1" w14:textId="77777777" w:rsidR="001D1D70" w:rsidRDefault="001D1D70">
            <w:pPr>
              <w:autoSpaceDE w:val="0"/>
              <w:autoSpaceDN w:val="0"/>
              <w:adjustRightInd w:val="0"/>
              <w:spacing w:after="0" w:line="240" w:lineRule="auto"/>
              <w:rPr>
                <w:rFonts w:ascii="Times New Roman" w:eastAsia="Times New Roman" w:hAnsi="Times New Roman" w:cs="Times New Roman"/>
                <w:lang w:eastAsia="ru-RU"/>
              </w:rPr>
            </w:pPr>
          </w:p>
        </w:tc>
      </w:tr>
    </w:tbl>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223F240F"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lang w:eastAsia="ru-RU"/>
        </w:rPr>
        <w:t xml:space="preserve">Пушкина </w:t>
      </w:r>
      <w:r w:rsidR="00415FA7">
        <w:rPr>
          <w:rFonts w:ascii="Times New Roman" w:eastAsia="Arial" w:hAnsi="Times New Roman" w:cs="Times New Roman"/>
          <w:b/>
          <w:lang w:eastAsia="ru-RU"/>
        </w:rPr>
        <w:t xml:space="preserve"> </w:t>
      </w:r>
      <w:r w:rsidR="00080777" w:rsidRPr="00F86E0E">
        <w:rPr>
          <w:rFonts w:ascii="Times New Roman" w:eastAsia="Arial" w:hAnsi="Times New Roman" w:cs="Times New Roman"/>
          <w:b/>
          <w:lang w:eastAsia="ru-RU"/>
        </w:rPr>
        <w:t xml:space="preserve"> д. </w:t>
      </w:r>
      <w:r w:rsidR="008572BB">
        <w:rPr>
          <w:rFonts w:ascii="Times New Roman" w:eastAsia="Arial" w:hAnsi="Times New Roman" w:cs="Times New Roman"/>
          <w:b/>
          <w:lang w:eastAsia="ru-RU"/>
        </w:rPr>
        <w:t>53</w:t>
      </w:r>
      <w:r w:rsidR="00080777" w:rsidRPr="00F86E0E">
        <w:rPr>
          <w:rFonts w:ascii="Times New Roman" w:eastAsia="Arial" w:hAnsi="Times New Roman" w:cs="Times New Roman"/>
          <w:b/>
          <w:lang w:eastAsia="ru-RU"/>
        </w:rPr>
        <w:t>.</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7B40436D" w14:textId="469B0BDF" w:rsidR="00465870"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4523492C"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 </w:t>
      </w:r>
      <w:r w:rsidR="00136D57" w:rsidRPr="00136D57">
        <w:rPr>
          <w:rFonts w:ascii="Times New Roman" w:eastAsia="Times New Roman" w:hAnsi="Times New Roman" w:cs="Times New Roman"/>
          <w:sz w:val="24"/>
          <w:szCs w:val="24"/>
          <w:lang w:eastAsia="ar-SA"/>
        </w:rPr>
        <w:tab/>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1207A1"/>
    <w:rsid w:val="00130097"/>
    <w:rsid w:val="00136D57"/>
    <w:rsid w:val="00160E18"/>
    <w:rsid w:val="001D1D70"/>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ABC"/>
    <w:rsid w:val="004D10A0"/>
    <w:rsid w:val="004F3EB1"/>
    <w:rsid w:val="00530EB5"/>
    <w:rsid w:val="0056009A"/>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54D22"/>
    <w:rsid w:val="007B1D06"/>
    <w:rsid w:val="007B567C"/>
    <w:rsid w:val="007B733F"/>
    <w:rsid w:val="007B7402"/>
    <w:rsid w:val="008007EC"/>
    <w:rsid w:val="00817F98"/>
    <w:rsid w:val="0083035E"/>
    <w:rsid w:val="00841F6B"/>
    <w:rsid w:val="00842131"/>
    <w:rsid w:val="008572BB"/>
    <w:rsid w:val="00874E32"/>
    <w:rsid w:val="008928AF"/>
    <w:rsid w:val="008E4C5E"/>
    <w:rsid w:val="008F08D6"/>
    <w:rsid w:val="00914993"/>
    <w:rsid w:val="009367D6"/>
    <w:rsid w:val="0094049B"/>
    <w:rsid w:val="0094642F"/>
    <w:rsid w:val="009E0E4B"/>
    <w:rsid w:val="009E4DAE"/>
    <w:rsid w:val="00A10840"/>
    <w:rsid w:val="00A150E8"/>
    <w:rsid w:val="00A27B93"/>
    <w:rsid w:val="00A549C2"/>
    <w:rsid w:val="00AA6070"/>
    <w:rsid w:val="00AE2B56"/>
    <w:rsid w:val="00B6688D"/>
    <w:rsid w:val="00B96EF6"/>
    <w:rsid w:val="00BA0907"/>
    <w:rsid w:val="00BA0C10"/>
    <w:rsid w:val="00BA16CD"/>
    <w:rsid w:val="00BC3C59"/>
    <w:rsid w:val="00C11A91"/>
    <w:rsid w:val="00C46035"/>
    <w:rsid w:val="00C46398"/>
    <w:rsid w:val="00C808BA"/>
    <w:rsid w:val="00CA1238"/>
    <w:rsid w:val="00CB401F"/>
    <w:rsid w:val="00CC1E6C"/>
    <w:rsid w:val="00CE2D1B"/>
    <w:rsid w:val="00D4380C"/>
    <w:rsid w:val="00D4683A"/>
    <w:rsid w:val="00D50BD9"/>
    <w:rsid w:val="00D846AD"/>
    <w:rsid w:val="00DE7E40"/>
    <w:rsid w:val="00E42851"/>
    <w:rsid w:val="00EC0890"/>
    <w:rsid w:val="00EC4CA9"/>
    <w:rsid w:val="00EC568E"/>
    <w:rsid w:val="00EF089A"/>
    <w:rsid w:val="00F150CE"/>
    <w:rsid w:val="00F57D74"/>
    <w:rsid w:val="00F7150D"/>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9054">
      <w:bodyDiv w:val="1"/>
      <w:marLeft w:val="0"/>
      <w:marRight w:val="0"/>
      <w:marTop w:val="0"/>
      <w:marBottom w:val="0"/>
      <w:divBdr>
        <w:top w:val="none" w:sz="0" w:space="0" w:color="auto"/>
        <w:left w:val="none" w:sz="0" w:space="0" w:color="auto"/>
        <w:bottom w:val="none" w:sz="0" w:space="0" w:color="auto"/>
        <w:right w:val="none" w:sz="0" w:space="0" w:color="auto"/>
      </w:divBdr>
    </w:div>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3172</Words>
  <Characters>18082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12</cp:revision>
  <cp:lastPrinted>2026-05-27T08:04:00Z</cp:lastPrinted>
  <dcterms:created xsi:type="dcterms:W3CDTF">2026-04-27T13:24:00Z</dcterms:created>
  <dcterms:modified xsi:type="dcterms:W3CDTF">2026-05-29T13:00:00Z</dcterms:modified>
</cp:coreProperties>
</file>