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12052513" w14:textId="7F087D5D" w:rsidR="00767CBC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5C0CAF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поставку </w:t>
      </w:r>
      <w:r w:rsidR="00792CA4">
        <w:rPr>
          <w:rFonts w:ascii="Times New Roman" w:eastAsia="Times New Roman" w:hAnsi="Times New Roman" w:cs="Times New Roman"/>
          <w:b/>
          <w:bCs/>
          <w:lang w:eastAsia="ru-RU"/>
        </w:rPr>
        <w:t>огнетушителей порошковых</w:t>
      </w:r>
      <w:r w:rsidR="006D7A3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Анучинского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</w:t>
      </w:r>
    </w:p>
    <w:p w14:paraId="39622BBC" w14:textId="41B6847A" w:rsidR="00AC0342" w:rsidRPr="0097720E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ФГБУ «Управление «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61AAAE1E" w14:textId="2B53D45F" w:rsidR="00AC0342" w:rsidRPr="0097720E" w:rsidRDefault="002366BE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6B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2366B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в лице директора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доверенности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Устава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заключили настоящий </w:t>
      </w:r>
      <w:r w:rsidR="009A65F0" w:rsidRPr="0097720E">
        <w:rPr>
          <w:rFonts w:ascii="Times New Roman" w:eastAsia="Times New Roman" w:hAnsi="Times New Roman" w:cs="Times New Roman"/>
          <w:lang w:eastAsia="ru-RU"/>
        </w:rPr>
        <w:t>Договор бюджетного учреждения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(далее - Контракт) о нижеследующем:</w:t>
      </w:r>
    </w:p>
    <w:p w14:paraId="2E5B7271" w14:textId="77777777" w:rsidR="00BE48A1" w:rsidRPr="0097720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1CE423F0" w14:textId="4CCB4FF4" w:rsidR="00FE4115" w:rsidRPr="0097720E" w:rsidRDefault="00DB6F8E" w:rsidP="0097720E">
      <w:pPr>
        <w:pStyle w:val="a8"/>
        <w:numPr>
          <w:ilvl w:val="1"/>
          <w:numId w:val="8"/>
        </w:numPr>
        <w:ind w:left="0" w:firstLine="426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97720E" w:rsidRPr="00F95134">
        <w:rPr>
          <w:rFonts w:ascii="Times New Roman" w:hAnsi="Times New Roman"/>
          <w:lang w:eastAsia="ru-RU"/>
        </w:rPr>
        <w:t>692300, Приморский край, с. Анучино ул. Петровского, дом 53</w:t>
      </w:r>
      <w:r w:rsidR="00FE4115" w:rsidRPr="0097720E">
        <w:rPr>
          <w:rFonts w:ascii="Times New Roman" w:hAnsi="Times New Roman"/>
          <w:lang w:eastAsia="ru-RU"/>
        </w:rPr>
        <w:t>.</w:t>
      </w:r>
    </w:p>
    <w:p w14:paraId="765E90BC" w14:textId="432CCE7F" w:rsidR="00E96744" w:rsidRPr="002619C6" w:rsidRDefault="00E96744" w:rsidP="008C3619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19C6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792CA4">
        <w:rPr>
          <w:rFonts w:ascii="Times New Roman" w:hAnsi="Times New Roman"/>
          <w:lang w:eastAsia="ru-RU"/>
        </w:rPr>
        <w:t>14 рабочих дней с момента подписания контракта.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77777777" w:rsidR="00EB3410" w:rsidRP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B0FAB89" w14:textId="77777777" w:rsidR="00EB3410" w:rsidRPr="0097720E" w:rsidRDefault="00EB3410" w:rsidP="00EB3410">
      <w:pPr>
        <w:pStyle w:val="11"/>
        <w:tabs>
          <w:tab w:val="left" w:pos="1134"/>
        </w:tabs>
        <w:spacing w:line="240" w:lineRule="auto"/>
        <w:ind w:left="567" w:firstLine="0"/>
        <w:jc w:val="both"/>
        <w:rPr>
          <w:rFonts w:ascii="Times New Roman" w:hAnsi="Times New Roman"/>
          <w:spacing w:val="-5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D4FFDCA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gramStart"/>
      <w:r w:rsidR="00237AD9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06B9F90A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  <w:r w:rsidR="00582A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2A9E" w:rsidRPr="00582A9E">
        <w:rPr>
          <w:rFonts w:ascii="Times New Roman" w:eastAsia="Times New Roman" w:hAnsi="Times New Roman" w:cs="Times New Roman"/>
          <w:lang w:eastAsia="ru-RU"/>
        </w:rPr>
        <w:t>П</w:t>
      </w:r>
      <w:r w:rsidR="00582A9E">
        <w:rPr>
          <w:rFonts w:ascii="Times New Roman" w:eastAsia="Times New Roman" w:hAnsi="Times New Roman" w:cs="Times New Roman"/>
          <w:lang w:eastAsia="ru-RU"/>
        </w:rPr>
        <w:t xml:space="preserve">оставляемый Товар </w:t>
      </w:r>
      <w:bookmarkStart w:id="0" w:name="_GoBack"/>
      <w:bookmarkEnd w:id="0"/>
      <w:r w:rsidR="00582A9E" w:rsidRPr="00582A9E">
        <w:rPr>
          <w:rFonts w:ascii="Times New Roman" w:eastAsia="Times New Roman" w:hAnsi="Times New Roman" w:cs="Times New Roman"/>
          <w:lang w:eastAsia="ru-RU"/>
        </w:rPr>
        <w:t>должен быть новым (не бывшим в употреблении), соответствовать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043/2017). Товар должен иметь все необходимые маркировки и соответствовать стандартам, установленным законодательством Российской Федерации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1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p w14:paraId="0649F487" w14:textId="61564A5C" w:rsidR="00752A89" w:rsidRPr="0097720E" w:rsidRDefault="00752A89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</w:t>
            </w:r>
            <w:r w:rsidR="00A31FBD" w:rsidRPr="00F95134">
              <w:rPr>
                <w:rFonts w:ascii="Times New Roman" w:hAnsi="Times New Roman"/>
                <w:lang w:eastAsia="ru-RU"/>
              </w:rPr>
              <w:t>692300, Приморский край, с. Анучино ул. Петровского, дом 53</w:t>
            </w:r>
          </w:p>
          <w:bookmarkEnd w:id="1"/>
          <w:p w14:paraId="79C2A3CE" w14:textId="085BDE14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B12FEA9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ОГРН 1022501285993  </w:t>
            </w:r>
          </w:p>
          <w:p w14:paraId="62C077BA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л/с 20206Х25660   </w:t>
            </w:r>
          </w:p>
          <w:p w14:paraId="0CBE0EB6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7247246C" w14:textId="5D5DBA2F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2E4D27F0" w14:textId="1867031A" w:rsidR="00F1263A" w:rsidRPr="0097720E" w:rsidRDefault="00487C50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ОКЦ № 1 ДГУ</w:t>
            </w:r>
            <w:r w:rsidR="00F1263A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России//УФК по Приморскому краю г. Владивосток </w:t>
            </w:r>
          </w:p>
          <w:p w14:paraId="610200D2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5D14B61F" w:rsidR="00D658DC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Электронный адрес: </w:t>
            </w:r>
            <w:r w:rsidR="00DF5A71" w:rsidRPr="0097720E">
              <w:rPr>
                <w:rFonts w:ascii="Times New Roman" w:hAnsi="Times New Roman"/>
                <w:lang w:eastAsia="ru-RU"/>
              </w:rPr>
              <w:t>vodхoz@mail.ru</w:t>
            </w:r>
          </w:p>
          <w:p w14:paraId="28F5ACB7" w14:textId="7BF945C9" w:rsidR="00F1263A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Контактный телефон: </w:t>
            </w:r>
            <w:r w:rsidRPr="0097720E">
              <w:rPr>
                <w:rFonts w:ascii="Times New Roman" w:hAnsi="Times New Roman"/>
              </w:rPr>
              <w:t>8(</w:t>
            </w:r>
            <w:r w:rsidR="00DF5A71" w:rsidRPr="0097720E">
              <w:rPr>
                <w:rFonts w:ascii="Times New Roman" w:hAnsi="Times New Roman"/>
              </w:rPr>
              <w:t>423</w:t>
            </w:r>
            <w:r w:rsidRPr="0097720E">
              <w:rPr>
                <w:rFonts w:ascii="Times New Roman" w:hAnsi="Times New Roman"/>
              </w:rPr>
              <w:t>)</w:t>
            </w:r>
            <w:r w:rsidR="00DF5A71" w:rsidRPr="0097720E">
              <w:rPr>
                <w:rFonts w:ascii="Times New Roman" w:hAnsi="Times New Roman"/>
              </w:rPr>
              <w:t>24</w:t>
            </w:r>
            <w:r w:rsidR="00A31FBD">
              <w:rPr>
                <w:rFonts w:ascii="Times New Roman" w:hAnsi="Times New Roman"/>
              </w:rPr>
              <w:t>0-10-17</w:t>
            </w:r>
          </w:p>
          <w:p w14:paraId="7FBC4A27" w14:textId="77777777" w:rsidR="00D133BA" w:rsidRDefault="00D133BA" w:rsidP="002C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5B2AA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6E33E1A5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5764787E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77777777" w:rsidR="00AC0342" w:rsidRPr="0097720E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37DC5" w14:textId="7BD5C193" w:rsidR="000C27B6" w:rsidRDefault="000C27B6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7010D3" w14:textId="77777777" w:rsidR="005B0592" w:rsidRPr="0097720E" w:rsidRDefault="005B0592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F5BF0F" w14:textId="08B39759" w:rsidR="00CD3E47" w:rsidRDefault="00CD3E47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CC1E0FC" w14:textId="77777777" w:rsidR="00B33B0C" w:rsidRPr="0097720E" w:rsidRDefault="00B33B0C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1F186956" w:rsidR="002C50DC" w:rsidRPr="000F4110" w:rsidRDefault="002C50DC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 w:rsidRPr="000F411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(заполняется после определения поставщика)</w:t>
      </w:r>
    </w:p>
    <w:tbl>
      <w:tblPr>
        <w:tblW w:w="10743" w:type="dxa"/>
        <w:tblLook w:val="04A0" w:firstRow="1" w:lastRow="0" w:firstColumn="1" w:lastColumn="0" w:noHBand="0" w:noVBand="1"/>
      </w:tblPr>
      <w:tblGrid>
        <w:gridCol w:w="699"/>
        <w:gridCol w:w="2565"/>
        <w:gridCol w:w="2947"/>
        <w:gridCol w:w="725"/>
        <w:gridCol w:w="851"/>
        <w:gridCol w:w="1396"/>
        <w:gridCol w:w="1560"/>
      </w:tblGrid>
      <w:tr w:rsidR="00EB3410" w:rsidRPr="00D24912" w14:paraId="69E55813" w14:textId="77777777" w:rsidTr="005B0592">
        <w:trPr>
          <w:trHeight w:val="141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9F6E" w14:textId="77777777" w:rsidR="00EB3410" w:rsidRPr="00D24912" w:rsidRDefault="00EB3410" w:rsidP="00E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F8A9" w14:textId="2585EBFF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товара 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4D98" w14:textId="35CE0540" w:rsidR="00EB3410" w:rsidRPr="00D24912" w:rsidRDefault="00EB3410" w:rsidP="00EB3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Характеристики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199F" w14:textId="0F27C23D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BBD" w14:textId="77777777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789D" w14:textId="7FB70BC2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 w:rsidRPr="00487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учетом НДС, % ; без учета НДС)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1FC3" w14:textId="1C93DC71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учетом НДС, %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без учета НДС)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EB3410" w:rsidRPr="00D24912" w14:paraId="66268437" w14:textId="77777777" w:rsidTr="005C0CAF">
        <w:trPr>
          <w:trHeight w:val="4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C1BF" w14:textId="77777777" w:rsidR="00EB3410" w:rsidRPr="00D24912" w:rsidRDefault="00EB3410" w:rsidP="0048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4FD" w14:textId="5A289B74" w:rsidR="00443515" w:rsidRPr="006D7A37" w:rsidRDefault="00443515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1712" w14:textId="608855AB" w:rsidR="00B33ABA" w:rsidRPr="003833B5" w:rsidRDefault="00B33ABA" w:rsidP="00EB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BDE7D" w14:textId="0E33491B" w:rsidR="00EB3410" w:rsidRPr="003833B5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2F90" w14:textId="3B964073" w:rsidR="00EB3410" w:rsidRPr="003833B5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6C19" w14:textId="75F5AA54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D3CB2E" w14:textId="22782379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B3410" w:rsidRPr="00D24912" w14:paraId="1D0BD841" w14:textId="77777777" w:rsidTr="005C0CAF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3062" w14:textId="77777777" w:rsidR="00EB3410" w:rsidRPr="00D24912" w:rsidRDefault="00EB3410" w:rsidP="0048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09DA" w14:textId="4A709AE7" w:rsidR="00EB3410" w:rsidRPr="00D24912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F6BA" w14:textId="5F834811" w:rsidR="00EB3410" w:rsidRPr="003833B5" w:rsidRDefault="00EB3410" w:rsidP="00E94A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2B98D" w14:textId="0A8305D4" w:rsidR="00EB3410" w:rsidRPr="003833B5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2966" w14:textId="694B5830" w:rsidR="00EB3410" w:rsidRPr="003833B5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1D2FE" w14:textId="0DDDCD7B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A8492B" w14:textId="6C943C65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7C50" w:rsidRPr="00D24912" w14:paraId="173FB6FF" w14:textId="77777777" w:rsidTr="00E81399">
        <w:trPr>
          <w:trHeight w:val="300"/>
        </w:trPr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DAB1B" w14:textId="77777777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840" w14:textId="2AAEB73E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31AFE0A" w14:textId="4DA6B1EC" w:rsidR="00F405E0" w:rsidRPr="0097720E" w:rsidRDefault="00F405E0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97720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43775964"/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2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60E0CA65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A31FBD" w:rsidRPr="00F95134">
        <w:rPr>
          <w:rFonts w:ascii="Times New Roman" w:hAnsi="Times New Roman"/>
          <w:lang w:eastAsia="ru-RU"/>
        </w:rPr>
        <w:t>692300, Приморский край, с. Анучино ул. Петровского, дом 53</w:t>
      </w:r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6F7AA720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="00B41C11" w:rsidRPr="00B41C11">
        <w:rPr>
          <w:rFonts w:ascii="Times New Roman" w:hAnsi="Times New Roman"/>
          <w:lang w:eastAsia="ru-RU"/>
        </w:rPr>
        <w:t xml:space="preserve">: </w:t>
      </w:r>
      <w:r w:rsidR="00792CA4">
        <w:rPr>
          <w:rFonts w:ascii="Times New Roman" w:hAnsi="Times New Roman"/>
          <w:lang w:eastAsia="ru-RU"/>
        </w:rPr>
        <w:t>14 рабочих дней с момента подписания контракта.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944159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7B9BD45C" w14:textId="7C10E09B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E85A77A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42ED63E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33DDD61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3955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46DB0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0DF4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2F85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F09DC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_______________/ ___________/</w:t>
            </w:r>
          </w:p>
          <w:p w14:paraId="145A235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5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1FE"/>
    <w:rsid w:val="004343BB"/>
    <w:rsid w:val="004351CB"/>
    <w:rsid w:val="00436B6F"/>
    <w:rsid w:val="004406D7"/>
    <w:rsid w:val="004413A7"/>
    <w:rsid w:val="004426E3"/>
    <w:rsid w:val="00443515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2A9E"/>
    <w:rsid w:val="00585BBD"/>
    <w:rsid w:val="00590B6F"/>
    <w:rsid w:val="0059161F"/>
    <w:rsid w:val="00592FEC"/>
    <w:rsid w:val="00593D36"/>
    <w:rsid w:val="00594412"/>
    <w:rsid w:val="005951FB"/>
    <w:rsid w:val="00597BBE"/>
    <w:rsid w:val="005A259F"/>
    <w:rsid w:val="005A5FA6"/>
    <w:rsid w:val="005B0592"/>
    <w:rsid w:val="005B168D"/>
    <w:rsid w:val="005B1E84"/>
    <w:rsid w:val="005C0CAF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2D86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67CBC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2CA4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2471"/>
    <w:rsid w:val="008D24B6"/>
    <w:rsid w:val="008D2A00"/>
    <w:rsid w:val="008D4838"/>
    <w:rsid w:val="008D4ABF"/>
    <w:rsid w:val="008D64C4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3B0C"/>
    <w:rsid w:val="00B351C7"/>
    <w:rsid w:val="00B4049F"/>
    <w:rsid w:val="00B41AAA"/>
    <w:rsid w:val="00B41C11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33D29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F37E4"/>
    <w:rsid w:val="00DF3AF4"/>
    <w:rsid w:val="00DF5A71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4AB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09C8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C81BA-901F-4517-B54C-9F8307F2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27</cp:revision>
  <cp:lastPrinted>2024-10-31T22:57:00Z</cp:lastPrinted>
  <dcterms:created xsi:type="dcterms:W3CDTF">2025-08-26T02:36:00Z</dcterms:created>
  <dcterms:modified xsi:type="dcterms:W3CDTF">2026-06-10T00:26:00Z</dcterms:modified>
</cp:coreProperties>
</file>