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</w:rPr>
      </w:pPr>
      <w:r>
        <w:rPr>
          <w:b/>
        </w:rPr>
        <w:t>Техническое задание</w:t>
      </w:r>
    </w:p>
    <w:p>
      <w:pPr>
        <w:jc w:val="center"/>
        <w:rPr>
          <w:b/>
        </w:rPr>
      </w:pPr>
    </w:p>
    <w:p>
      <w:pPr>
        <w:rPr>
          <w:b/>
          <w:sz w:val="20"/>
          <w:szCs w:val="20"/>
        </w:rPr>
      </w:pPr>
    </w:p>
    <w:p>
      <w:pPr>
        <w:pStyle w:val="a8"/>
        <w:widowControl w:val="0"/>
        <w:numPr>
          <w:ilvl w:val="0"/>
          <w:numId w:val="1"/>
        </w:numPr>
        <w:tabs>
          <w:tab w:val="left" w:pos="0"/>
          <w:tab w:val="left" w:pos="9355"/>
        </w:tabs>
        <w:autoSpaceDE w:val="0"/>
        <w:autoSpaceDN w:val="0"/>
        <w:adjustRightInd w:val="0"/>
        <w:ind w:right="-1"/>
        <w:jc w:val="both"/>
        <w:rPr>
          <w:kern w:val="2"/>
          <w:sz w:val="22"/>
          <w:szCs w:val="22"/>
        </w:rPr>
      </w:pPr>
      <w:r>
        <w:rPr>
          <w:b/>
          <w:bCs/>
          <w:sz w:val="22"/>
          <w:szCs w:val="22"/>
        </w:rPr>
        <w:t>Предмет закупки</w:t>
      </w:r>
      <w:r>
        <w:rPr>
          <w:bCs/>
          <w:sz w:val="22"/>
          <w:szCs w:val="22"/>
        </w:rPr>
        <w:t xml:space="preserve">: </w:t>
      </w:r>
      <w:r>
        <w:rPr>
          <w:kern w:val="2"/>
          <w:sz w:val="22"/>
          <w:szCs w:val="22"/>
        </w:rPr>
        <w:t>«Поставка уличных урн» (Пермский край)».</w:t>
      </w:r>
    </w:p>
    <w:p>
      <w:pPr>
        <w:pStyle w:val="a8"/>
        <w:widowControl w:val="0"/>
        <w:tabs>
          <w:tab w:val="left" w:pos="0"/>
          <w:tab w:val="left" w:pos="9355"/>
        </w:tabs>
        <w:autoSpaceDE w:val="0"/>
        <w:autoSpaceDN w:val="0"/>
        <w:adjustRightInd w:val="0"/>
        <w:ind w:left="1069" w:right="-1"/>
        <w:jc w:val="both"/>
        <w:rPr>
          <w:kern w:val="2"/>
          <w:sz w:val="22"/>
          <w:szCs w:val="22"/>
        </w:rPr>
      </w:pPr>
    </w:p>
    <w:p>
      <w:pPr>
        <w:widowControl w:val="0"/>
        <w:tabs>
          <w:tab w:val="left" w:pos="0"/>
          <w:tab w:val="left" w:pos="9355"/>
        </w:tabs>
        <w:autoSpaceDE w:val="0"/>
        <w:autoSpaceDN w:val="0"/>
        <w:adjustRightInd w:val="0"/>
        <w:ind w:right="-1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Заказчик: </w:t>
      </w:r>
      <w:r>
        <w:rPr>
          <w:bCs/>
          <w:sz w:val="22"/>
          <w:szCs w:val="22"/>
        </w:rPr>
        <w:t>Федеральное казенное учреждение «Центр по обеспечению деятельности Казначейства России». Межрегиональный филиал Федерального казенного учреждения «Центр по обеспечению деятельности Казначейства России» в г. Екатеринбурге.</w:t>
      </w:r>
    </w:p>
    <w:p>
      <w:pPr>
        <w:widowControl w:val="0"/>
        <w:tabs>
          <w:tab w:val="left" w:pos="720"/>
          <w:tab w:val="left" w:leader="underscore" w:pos="9014"/>
        </w:tabs>
        <w:autoSpaceDE w:val="0"/>
        <w:autoSpaceDN w:val="0"/>
        <w:adjustRightInd w:val="0"/>
        <w:ind w:right="329" w:firstLine="709"/>
        <w:rPr>
          <w:bCs/>
          <w:sz w:val="22"/>
          <w:szCs w:val="22"/>
          <w:highlight w:val="yellow"/>
        </w:rPr>
      </w:pPr>
    </w:p>
    <w:p>
      <w:pPr>
        <w:tabs>
          <w:tab w:val="left" w:pos="6090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3. Место </w:t>
      </w:r>
      <w:r>
        <w:rPr>
          <w:b/>
          <w:bCs/>
          <w:sz w:val="22"/>
          <w:szCs w:val="22"/>
        </w:rPr>
        <w:t>поставки Товара</w:t>
      </w:r>
      <w:r>
        <w:rPr>
          <w:b/>
          <w:sz w:val="22"/>
          <w:szCs w:val="22"/>
        </w:rPr>
        <w:t>:</w:t>
      </w:r>
      <w:r>
        <w:rPr>
          <w:bCs/>
          <w:sz w:val="22"/>
          <w:szCs w:val="22"/>
        </w:rPr>
        <w:t xml:space="preserve"> Российская Федерация,</w:t>
      </w:r>
      <w:r>
        <w:rPr>
          <w:sz w:val="22"/>
          <w:szCs w:val="22"/>
        </w:rPr>
        <w:t xml:space="preserve"> Пермский край, г. Пермь, ул. Петропавловская, д. 55А.</w:t>
      </w:r>
    </w:p>
    <w:p>
      <w:pPr>
        <w:ind w:firstLine="709"/>
        <w:rPr>
          <w:sz w:val="22"/>
          <w:szCs w:val="22"/>
          <w:highlight w:val="yellow"/>
        </w:rPr>
      </w:pPr>
    </w:p>
    <w:p>
      <w:pPr>
        <w:tabs>
          <w:tab w:val="left" w:pos="1134"/>
        </w:tabs>
        <w:ind w:firstLine="709"/>
        <w:contextualSpacing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4</w:t>
      </w:r>
      <w:r>
        <w:rPr>
          <w:b/>
          <w:bCs/>
          <w:sz w:val="22"/>
          <w:szCs w:val="22"/>
        </w:rPr>
        <w:t>.  Срок и график поставки Товара:</w:t>
      </w:r>
    </w:p>
    <w:p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Срок поставки Товара: в </w:t>
      </w:r>
      <w:proofErr w:type="gramStart"/>
      <w:r>
        <w:rPr>
          <w:bCs/>
          <w:sz w:val="22"/>
          <w:szCs w:val="22"/>
        </w:rPr>
        <w:t>течении</w:t>
      </w:r>
      <w:proofErr w:type="gramEnd"/>
      <w:r>
        <w:rPr>
          <w:bCs/>
          <w:sz w:val="22"/>
          <w:szCs w:val="22"/>
        </w:rPr>
        <w:t xml:space="preserve"> 10 (десяти) рабочих дней с даты заключения контракта. </w:t>
      </w:r>
    </w:p>
    <w:p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eastAsia="zh-CN"/>
        </w:rPr>
        <w:t xml:space="preserve">График </w:t>
      </w:r>
      <w:r>
        <w:rPr>
          <w:bCs/>
          <w:sz w:val="22"/>
          <w:szCs w:val="22"/>
        </w:rPr>
        <w:t>поставки Товара:</w:t>
      </w:r>
      <w:r>
        <w:rPr>
          <w:bCs/>
          <w:color w:val="000000"/>
          <w:sz w:val="22"/>
          <w:szCs w:val="22"/>
        </w:rPr>
        <w:t xml:space="preserve"> в рабочие дни, в рабочее время с понедельника по четверг с 09:00 до 17:00, пятницу с 09:00 до 16:00, суббота и воскресенье – выходные дни. Обеденный перерыв с 13:00 до 14:00 (время г. Пермь).</w:t>
      </w:r>
    </w:p>
    <w:p>
      <w:pPr>
        <w:autoSpaceDE w:val="0"/>
        <w:autoSpaceDN w:val="0"/>
        <w:adjustRightInd w:val="0"/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Объем поставленного товара –</w:t>
      </w:r>
      <w:r>
        <w:rPr>
          <w:bCs/>
          <w:color w:val="000000" w:themeColor="text1"/>
          <w:sz w:val="22"/>
          <w:szCs w:val="22"/>
        </w:rPr>
        <w:t>3 шт.</w:t>
      </w:r>
    </w:p>
    <w:p>
      <w:pPr>
        <w:autoSpaceDE w:val="0"/>
        <w:autoSpaceDN w:val="0"/>
        <w:adjustRightInd w:val="0"/>
        <w:ind w:firstLine="709"/>
        <w:rPr>
          <w:bCs/>
          <w:sz w:val="22"/>
          <w:szCs w:val="22"/>
        </w:rPr>
      </w:pPr>
    </w:p>
    <w:p>
      <w:pPr>
        <w:ind w:firstLine="709"/>
        <w:rPr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5. Перечень и объем поставляемого Товара:</w:t>
      </w:r>
    </w:p>
    <w:p>
      <w:pPr>
        <w:tabs>
          <w:tab w:val="left" w:pos="851"/>
        </w:tabs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Перечень, технические характеристики и количество поставляемого Товара представлены в Таблице № 1 технического задания.</w:t>
      </w:r>
    </w:p>
    <w:p>
      <w:pPr>
        <w:tabs>
          <w:tab w:val="left" w:pos="851"/>
        </w:tabs>
        <w:ind w:firstLine="709"/>
        <w:jc w:val="both"/>
        <w:rPr>
          <w:bCs/>
          <w:color w:val="000000"/>
          <w:sz w:val="22"/>
          <w:szCs w:val="22"/>
        </w:rPr>
      </w:pPr>
    </w:p>
    <w:p>
      <w:pPr>
        <w:tabs>
          <w:tab w:val="left" w:pos="851"/>
        </w:tabs>
        <w:ind w:firstLine="709"/>
        <w:jc w:val="both"/>
        <w:rPr>
          <w:b/>
          <w:kern w:val="32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</w:t>
      </w:r>
      <w:r>
        <w:rPr>
          <w:bCs/>
          <w:color w:val="000000"/>
          <w:sz w:val="22"/>
          <w:szCs w:val="22"/>
        </w:rPr>
        <w:t xml:space="preserve"> </w:t>
      </w:r>
      <w:r>
        <w:rPr>
          <w:b/>
          <w:kern w:val="32"/>
          <w:sz w:val="22"/>
          <w:szCs w:val="22"/>
        </w:rPr>
        <w:t xml:space="preserve">Требование к поставляемому Товару (технические и качественные характеристики Товара): </w:t>
      </w:r>
    </w:p>
    <w:p>
      <w:pPr>
        <w:tabs>
          <w:tab w:val="left" w:pos="851"/>
        </w:tabs>
        <w:ind w:firstLine="709"/>
        <w:jc w:val="both"/>
        <w:rPr>
          <w:bCs/>
          <w:color w:val="000000"/>
          <w:sz w:val="22"/>
          <w:szCs w:val="22"/>
        </w:rPr>
      </w:pPr>
    </w:p>
    <w:p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  <w:highlight w:val="yellow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Перечень, технические характеристики и количество поставляемого Товара</w:t>
      </w:r>
    </w:p>
    <w:p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</w:p>
    <w:p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Таблица № 1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626"/>
        <w:gridCol w:w="779"/>
        <w:gridCol w:w="709"/>
        <w:gridCol w:w="4111"/>
        <w:gridCol w:w="2246"/>
      </w:tblGrid>
      <w:tr>
        <w:trPr>
          <w:trHeight w:val="766"/>
          <w:tblHeader/>
          <w:jc w:val="center"/>
        </w:trPr>
        <w:tc>
          <w:tcPr>
            <w:tcW w:w="481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626" w:type="dxa"/>
            <w:shd w:val="clear" w:color="auto" w:fill="FFFFFF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Товара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4111" w:type="dxa"/>
            <w:shd w:val="clear" w:color="auto" w:fill="FFFFFF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2246" w:type="dxa"/>
            <w:shd w:val="clear" w:color="auto" w:fill="FFFFFF"/>
          </w:tcPr>
          <w:p>
            <w:pPr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Обоснование применения дополнительных характеристик</w:t>
            </w:r>
          </w:p>
        </w:tc>
      </w:tr>
      <w:tr>
        <w:trPr>
          <w:tblHeader/>
          <w:jc w:val="center"/>
        </w:trPr>
        <w:tc>
          <w:tcPr>
            <w:tcW w:w="481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6" w:type="dxa"/>
            <w:shd w:val="clear" w:color="auto" w:fill="FFFFFF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FFFFFF"/>
          </w:tcPr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7</w:t>
            </w:r>
          </w:p>
        </w:tc>
      </w:tr>
      <w:tr>
        <w:trPr>
          <w:trHeight w:val="870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tabs>
                <w:tab w:val="left" w:pos="540"/>
              </w:tabs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Урна для мусора металлическая</w:t>
            </w:r>
          </w:p>
          <w:p>
            <w:pPr>
              <w:tabs>
                <w:tab w:val="left" w:pos="540"/>
              </w:tabs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pStyle w:val="Style4"/>
              <w:tabs>
                <w:tab w:val="left" w:pos="1087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6" w:lineRule="auto"/>
              <w:rPr>
                <w:bCs/>
                <w:i/>
                <w:sz w:val="22"/>
                <w:szCs w:val="22"/>
                <w:lang w:eastAsia="en-US"/>
              </w:rPr>
            </w:pPr>
            <w:r>
              <w:rPr>
                <w:bCs/>
                <w:i/>
                <w:sz w:val="22"/>
                <w:szCs w:val="22"/>
                <w:lang w:eastAsia="en-US"/>
              </w:rPr>
              <w:t>Характеристики согласно КТРУ</w:t>
            </w:r>
          </w:p>
          <w:p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en-US"/>
              </w:rPr>
              <w:t>25.99.29.000-0000000</w:t>
            </w:r>
            <w:r>
              <w:rPr>
                <w:rFonts w:eastAsia="Calibri"/>
                <w:bCs/>
                <w:i/>
                <w:sz w:val="22"/>
                <w:szCs w:val="22"/>
                <w:lang w:val="en-US" w:eastAsia="en-US"/>
              </w:rPr>
              <w:t>1</w:t>
            </w:r>
            <w:bookmarkStart w:id="0" w:name="_GoBack"/>
            <w:bookmarkEnd w:id="0"/>
            <w:r>
              <w:rPr>
                <w:bCs/>
                <w:i/>
                <w:sz w:val="22"/>
                <w:szCs w:val="22"/>
                <w:lang w:eastAsia="en-US"/>
              </w:rPr>
              <w:t>:</w:t>
            </w:r>
          </w:p>
        </w:tc>
      </w:tr>
      <w:tr>
        <w:trPr>
          <w:trHeight w:val="710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Вид конфигурации – с верхним расположением отверстия для мусора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>
        <w:trPr>
          <w:trHeight w:val="550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Место использования - улица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>
        <w:trPr>
          <w:trHeight w:val="558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Наличие педали - нет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>
        <w:trPr>
          <w:trHeight w:val="566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Наличие пепельницы - 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>
        <w:trPr>
          <w:trHeight w:val="546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Объем, литр - ≥ 20 и &lt; 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>
        <w:trPr>
          <w:trHeight w:val="554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Способ извлечения мусора - поворотный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>
        <w:trPr>
          <w:trHeight w:val="704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Тип урны – </w:t>
            </w:r>
            <w:proofErr w:type="gram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напольная</w:t>
            </w:r>
            <w:proofErr w:type="gram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>
        <w:trPr>
          <w:trHeight w:val="415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Дополнительные характеристики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>
        <w:trPr>
          <w:trHeight w:val="281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Цвет 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черный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соблюдения цветовой гаммы</w:t>
            </w:r>
          </w:p>
        </w:tc>
      </w:tr>
      <w:tr>
        <w:trPr>
          <w:trHeight w:val="281"/>
          <w:jc w:val="center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Параметры:</w:t>
            </w:r>
          </w:p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Высота – не менее 82 см и не более 85 см</w:t>
            </w:r>
          </w:p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Ширина – не менее 29 см</w:t>
            </w:r>
          </w:p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Глубина - не менее 32 см</w:t>
            </w:r>
          </w:p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Диаметр - не менее 28 см и не более 30 см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Для удобства в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использовании</w:t>
            </w:r>
            <w:proofErr w:type="gramEnd"/>
          </w:p>
        </w:tc>
      </w:tr>
      <w:tr>
        <w:trPr>
          <w:trHeight w:val="577"/>
          <w:jc w:val="center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Эскиз модели</w:t>
            </w:r>
          </w:p>
          <w:p>
            <w:pPr>
              <w:spacing w:line="25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333500" cy="1333500"/>
                  <wp:effectExtent l="0" t="0" r="0" b="0"/>
                  <wp:docPr id="2" name="Рисунок 1" descr="Урна для мусора «Космос», уличная, с пепельницей, 21 л, 32×82.5×28.5 см, бак 0.6 мм, чёрная - 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рна для мусора «Космос», уличная, с пепельницей, 21 л, 32×82.5×28.5 см, бак 0.6 мм, чёрная - 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788" cy="1332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4"/>
              <w:widowControl/>
              <w:tabs>
                <w:tab w:val="left" w:pos="1087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примера</w:t>
            </w:r>
          </w:p>
        </w:tc>
      </w:tr>
    </w:tbl>
    <w:p>
      <w:pPr>
        <w:jc w:val="both"/>
        <w:rPr>
          <w:kern w:val="32"/>
          <w:sz w:val="22"/>
          <w:szCs w:val="22"/>
          <w:u w:val="single"/>
        </w:rPr>
      </w:pPr>
    </w:p>
    <w:p>
      <w:pPr>
        <w:jc w:val="both"/>
        <w:rPr>
          <w:kern w:val="32"/>
          <w:sz w:val="22"/>
          <w:szCs w:val="22"/>
          <w:u w:val="single"/>
        </w:rPr>
      </w:pPr>
    </w:p>
    <w:p>
      <w:pPr>
        <w:jc w:val="both"/>
        <w:rPr>
          <w:kern w:val="32"/>
          <w:sz w:val="22"/>
          <w:szCs w:val="22"/>
          <w:u w:val="single"/>
        </w:rPr>
      </w:pPr>
    </w:p>
    <w:p>
      <w:pPr>
        <w:jc w:val="both"/>
        <w:rPr>
          <w:kern w:val="32"/>
          <w:sz w:val="22"/>
          <w:szCs w:val="22"/>
          <w:u w:val="single"/>
        </w:rPr>
      </w:pPr>
    </w:p>
    <w:p>
      <w:pPr>
        <w:jc w:val="both"/>
        <w:rPr>
          <w:kern w:val="32"/>
          <w:sz w:val="22"/>
          <w:szCs w:val="22"/>
          <w:u w:val="single"/>
        </w:rPr>
      </w:pPr>
      <w:r>
        <w:rPr>
          <w:b/>
          <w:kern w:val="32"/>
          <w:sz w:val="22"/>
          <w:szCs w:val="22"/>
          <w:u w:val="single"/>
        </w:rPr>
        <w:t>Качественные характеристики:</w:t>
      </w:r>
    </w:p>
    <w:p>
      <w:pPr>
        <w:ind w:firstLine="709"/>
        <w:jc w:val="both"/>
        <w:rPr>
          <w:kern w:val="32"/>
          <w:sz w:val="22"/>
          <w:szCs w:val="22"/>
        </w:rPr>
      </w:pP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>Качество поставляемого Товара должно соответствовать требованиям нормативных документов, разрешающих использование поставляемого товара на территории РФ, и полностью соответствовать описанию. Товар должен иметь все необходимые документы, предусмотренные действующим законодательством РФ для данного вида товара.</w:t>
      </w:r>
    </w:p>
    <w:p>
      <w:pPr>
        <w:keepNext/>
        <w:widowControl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Поставщик должен гарантировать качество и безопасность поставляемого Товара в </w:t>
      </w:r>
      <w:proofErr w:type="gramStart"/>
      <w:r>
        <w:rPr>
          <w:sz w:val="22"/>
          <w:szCs w:val="22"/>
        </w:rPr>
        <w:t>соответствии</w:t>
      </w:r>
      <w:proofErr w:type="gramEnd"/>
      <w:r>
        <w:rPr>
          <w:sz w:val="22"/>
          <w:szCs w:val="22"/>
        </w:rPr>
        <w:t xml:space="preserve"> с действующими стандартами, утвержденными на данный вид Товара.</w:t>
      </w: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 xml:space="preserve">Поставляемый Товар должен быть новым, не должен ранее быть в эксплуатации, не должен быть восстановленным, не должен иметь дефектов, связанных с материалами и/или работой по их изготовлению, либо проявляющихся в результате действия или упущения производителя и/или упущения Поставщика, при соблюдении правил хранения и/или использования поставляемого Товара. </w:t>
      </w: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 xml:space="preserve">Доставляемый товар должен соответствовать действующим стандартам, </w:t>
      </w:r>
      <w:proofErr w:type="gramStart"/>
      <w:r>
        <w:rPr>
          <w:kern w:val="32"/>
          <w:sz w:val="22"/>
          <w:szCs w:val="22"/>
        </w:rPr>
        <w:t>утвержденными</w:t>
      </w:r>
      <w:proofErr w:type="gramEnd"/>
      <w:r>
        <w:rPr>
          <w:kern w:val="32"/>
          <w:sz w:val="22"/>
          <w:szCs w:val="22"/>
        </w:rPr>
        <w:t xml:space="preserve"> на данный вид Товара.</w:t>
      </w: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 xml:space="preserve">Товар должен являться собственностью Поставщика, не быть использован в </w:t>
      </w:r>
      <w:proofErr w:type="gramStart"/>
      <w:r>
        <w:rPr>
          <w:kern w:val="32"/>
          <w:sz w:val="22"/>
          <w:szCs w:val="22"/>
        </w:rPr>
        <w:t>качестве</w:t>
      </w:r>
      <w:proofErr w:type="gramEnd"/>
      <w:r>
        <w:rPr>
          <w:kern w:val="32"/>
          <w:sz w:val="22"/>
          <w:szCs w:val="22"/>
        </w:rPr>
        <w:t xml:space="preserve"> залога, не находиться под арестом, не иметь каких-либо обременений или ограничений.</w:t>
      </w: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 xml:space="preserve">На момент передачи Товара Заказчику указанный Товар должен полностью и </w:t>
      </w:r>
      <w:proofErr w:type="gramStart"/>
      <w:r>
        <w:rPr>
          <w:kern w:val="32"/>
          <w:sz w:val="22"/>
          <w:szCs w:val="22"/>
        </w:rPr>
        <w:t>надлежащим</w:t>
      </w:r>
      <w:proofErr w:type="gramEnd"/>
      <w:r>
        <w:rPr>
          <w:kern w:val="32"/>
          <w:sz w:val="22"/>
          <w:szCs w:val="22"/>
        </w:rPr>
        <w:t xml:space="preserve"> </w:t>
      </w:r>
      <w:proofErr w:type="gramStart"/>
      <w:r>
        <w:rPr>
          <w:kern w:val="32"/>
          <w:sz w:val="22"/>
          <w:szCs w:val="22"/>
        </w:rPr>
        <w:t>образом пройти таможенное оформление для свободного перемещения в пределах территории РФ, все налоги, сборы и платежи, связанные с таможенным оформлением Товара, должны быть полностью уплачены в соответствии с таможенным законодательством.</w:t>
      </w:r>
      <w:proofErr w:type="gramEnd"/>
    </w:p>
    <w:p>
      <w:pPr>
        <w:ind w:firstLine="709"/>
        <w:jc w:val="both"/>
        <w:rPr>
          <w:b/>
          <w:kern w:val="32"/>
          <w:sz w:val="22"/>
          <w:szCs w:val="22"/>
        </w:rPr>
      </w:pPr>
    </w:p>
    <w:p>
      <w:pPr>
        <w:ind w:firstLine="709"/>
        <w:jc w:val="both"/>
        <w:rPr>
          <w:b/>
          <w:kern w:val="32"/>
          <w:sz w:val="22"/>
          <w:szCs w:val="22"/>
        </w:rPr>
      </w:pPr>
      <w:r>
        <w:rPr>
          <w:b/>
          <w:kern w:val="32"/>
          <w:sz w:val="22"/>
          <w:szCs w:val="22"/>
        </w:rPr>
        <w:t>7. Требования к поставке Товара</w:t>
      </w:r>
    </w:p>
    <w:p>
      <w:pPr>
        <w:ind w:left="720"/>
        <w:jc w:val="both"/>
        <w:rPr>
          <w:b/>
          <w:kern w:val="32"/>
          <w:sz w:val="22"/>
          <w:szCs w:val="22"/>
        </w:rPr>
      </w:pPr>
    </w:p>
    <w:p>
      <w:pPr>
        <w:ind w:firstLine="709"/>
        <w:jc w:val="both"/>
        <w:rPr>
          <w:b/>
          <w:kern w:val="32"/>
          <w:sz w:val="22"/>
          <w:szCs w:val="22"/>
        </w:rPr>
      </w:pPr>
      <w:r>
        <w:rPr>
          <w:b/>
          <w:kern w:val="32"/>
          <w:sz w:val="22"/>
          <w:szCs w:val="22"/>
        </w:rPr>
        <w:t>Доставка Товара, погрузо-разгрузочные работы до помещения склада, должны осуществляться силами и (или) за счет Поставщика.</w:t>
      </w: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>Упаковка Товара должна обеспечить его сохранность при транспортировке и хранении.</w:t>
      </w: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>Упаковка Товара не должна иметь потертостей, царапин, сколов, следов вскрытия.</w:t>
      </w:r>
    </w:p>
    <w:p>
      <w:pPr>
        <w:ind w:firstLine="709"/>
        <w:jc w:val="both"/>
        <w:rPr>
          <w:kern w:val="32"/>
          <w:sz w:val="22"/>
          <w:szCs w:val="22"/>
        </w:rPr>
      </w:pP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 xml:space="preserve">При поставке товара Поставщик должен направить Заказчику следующую документацию: счёт на оплату; счет-фактуру (УПД) на дату доставки – в 2 (двух) экземплярах; акт по форме </w:t>
      </w:r>
      <w:r>
        <w:rPr>
          <w:kern w:val="32"/>
          <w:sz w:val="22"/>
          <w:szCs w:val="22"/>
        </w:rPr>
        <w:br/>
        <w:t>№ 0510452.</w:t>
      </w: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lastRenderedPageBreak/>
        <w:t xml:space="preserve">При отсутствии претензий по количеству и качеству поставленного Товара, Заказчик в течение 10 (десять) рабочих дней с момента поставки Товара подписывает Акт приема-передачи. После этого Товар считается принятым. </w:t>
      </w:r>
    </w:p>
    <w:p>
      <w:pPr>
        <w:ind w:firstLine="709"/>
        <w:jc w:val="both"/>
        <w:rPr>
          <w:kern w:val="32"/>
          <w:sz w:val="22"/>
          <w:szCs w:val="22"/>
        </w:rPr>
      </w:pPr>
    </w:p>
    <w:p>
      <w:pPr>
        <w:ind w:firstLine="709"/>
        <w:jc w:val="both"/>
        <w:rPr>
          <w:kern w:val="32"/>
          <w:sz w:val="22"/>
          <w:szCs w:val="22"/>
        </w:rPr>
      </w:pPr>
    </w:p>
    <w:p>
      <w:pPr>
        <w:ind w:firstLine="709"/>
        <w:jc w:val="both"/>
        <w:rPr>
          <w:kern w:val="32"/>
          <w:sz w:val="22"/>
          <w:szCs w:val="22"/>
        </w:rPr>
      </w:pPr>
      <w:r>
        <w:rPr>
          <w:kern w:val="32"/>
          <w:sz w:val="22"/>
          <w:szCs w:val="22"/>
        </w:rPr>
        <w:t>Все риски, связанные с доставкой Товара до места его поставки полномочному представителю Заказчика, возлагаются на Поставщика. Переход ответственности и риска случайной гибели Товара осуществляется от Поставщика к Заказчику после подписания последним товарной накладной.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0"/>
        <w:gridCol w:w="4693"/>
      </w:tblGrid>
      <w:tr>
        <w:trPr>
          <w:trHeight w:val="19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№ 9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>Филиала (г. Пермь)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Т.В. Теплыгина</w:t>
      </w:r>
    </w:p>
    <w:p>
      <w:pPr>
        <w:tabs>
          <w:tab w:val="left" w:pos="1134"/>
        </w:tabs>
        <w:rPr>
          <w:sz w:val="22"/>
          <w:szCs w:val="22"/>
        </w:rPr>
      </w:pPr>
    </w:p>
    <w:p>
      <w:pPr>
        <w:tabs>
          <w:tab w:val="left" w:pos="1134"/>
        </w:tabs>
        <w:jc w:val="both"/>
        <w:rPr>
          <w:sz w:val="22"/>
          <w:szCs w:val="22"/>
        </w:rPr>
      </w:pPr>
    </w:p>
    <w:p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Ведущий инженер                                                                                                Т.И. Шадрина</w:t>
      </w:r>
    </w:p>
    <w:p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05604-2050</w:t>
      </w:r>
      <w:r>
        <w:rPr>
          <w:sz w:val="22"/>
          <w:szCs w:val="22"/>
        </w:rPr>
        <w:tab/>
      </w:r>
    </w:p>
    <w:p>
      <w:pPr>
        <w:tabs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12.05.2026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autoSpaceDE w:val="0"/>
        <w:autoSpaceDN w:val="0"/>
        <w:ind w:firstLine="709"/>
        <w:jc w:val="both"/>
        <w:rPr>
          <w:sz w:val="22"/>
          <w:szCs w:val="22"/>
        </w:rPr>
      </w:pPr>
    </w:p>
    <w:sectPr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075837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8BA"/>
    <w:multiLevelType w:val="hybridMultilevel"/>
    <w:tmpl w:val="57827EE4"/>
    <w:lvl w:ilvl="0" w:tplc="F5D235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,Сетка таблицы GR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4" w:lineRule="exact"/>
      <w:ind w:firstLine="569"/>
      <w:jc w:val="both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,Сетка таблицы GR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4" w:lineRule="exact"/>
      <w:ind w:firstLine="569"/>
      <w:jc w:val="both"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650A-2BB1-4B64-A05E-C503CB4F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Древин Николай Александрович</dc:creator>
  <cp:lastModifiedBy>Шадрина Татьяна Иосифовна</cp:lastModifiedBy>
  <cp:revision>77</cp:revision>
  <cp:lastPrinted>2026-05-12T11:22:00Z</cp:lastPrinted>
  <dcterms:created xsi:type="dcterms:W3CDTF">2025-03-17T04:29:00Z</dcterms:created>
  <dcterms:modified xsi:type="dcterms:W3CDTF">2026-05-19T05:31:00Z</dcterms:modified>
</cp:coreProperties>
</file>