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PT Astra Serif" w:hAnsi="PT Astra Serif" w:eastAsia="Calibri"/>
          <w:b/>
          <w:sz w:val="24"/>
          <w:szCs w:val="24"/>
          <w:lang w:eastAsia="en-US"/>
        </w:rPr>
      </w:pPr>
      <w:r>
        <w:rPr>
          <w:rFonts w:eastAsia="Calibri" w:ascii="PT Astra Serif" w:hAnsi="PT Astra Serif"/>
          <w:b/>
          <w:sz w:val="24"/>
          <w:szCs w:val="24"/>
          <w:lang w:eastAsia="en-US"/>
        </w:rPr>
        <w:t>Обоснование начальной (максимальной) цены контракта, начальных цен единиц товара, работы, услуги</w:t>
      </w:r>
    </w:p>
    <w:p>
      <w:pPr>
        <w:pStyle w:val="Normal"/>
        <w:spacing w:lineRule="auto" w:line="240" w:before="0" w:after="0"/>
        <w:jc w:val="center"/>
        <w:rPr>
          <w:b w:val="false"/>
          <w:sz w:val="24"/>
          <w:szCs w:val="24"/>
        </w:rPr>
      </w:pPr>
      <w:r>
        <w:rPr>
          <w:rFonts w:ascii="PT Astra Serif" w:hAnsi="PT Astra Serif"/>
          <w:b w:val="false"/>
          <w:bCs w:val="false"/>
          <w:i/>
          <w:iCs/>
          <w:sz w:val="24"/>
          <w:szCs w:val="24"/>
          <w:u w:val="single"/>
          <w:shd w:fill="FFFFFF" w:val="clear"/>
        </w:rPr>
        <w:t>Кейджи  для спондилодеза, металлически</w:t>
      </w:r>
      <w:r>
        <w:rPr>
          <w:rFonts w:ascii="PT Astra Serif" w:hAnsi="PT Astra Serif"/>
          <w:b w:val="false"/>
          <w:bCs w:val="false"/>
          <w:i/>
          <w:iCs/>
          <w:sz w:val="24"/>
          <w:szCs w:val="24"/>
          <w:u w:val="single"/>
          <w:shd w:fill="FFFFFF" w:val="clear"/>
        </w:rPr>
        <w:t>е</w:t>
      </w:r>
      <w:r>
        <w:rPr>
          <w:rFonts w:eastAsia="Calibri" w:ascii="PT Astra Serif" w:hAnsi="PT Astra Serif"/>
          <w:b w:val="false"/>
          <w:bCs w:val="false"/>
          <w:i/>
          <w:iCs/>
          <w:sz w:val="24"/>
          <w:szCs w:val="24"/>
          <w:u w:val="single"/>
          <w:shd w:fill="FFFFFF" w:val="clear"/>
        </w:rPr>
        <w:t>, нестерильны</w:t>
      </w:r>
      <w:r>
        <w:rPr>
          <w:rFonts w:eastAsia="Calibri" w:ascii="PT Astra Serif" w:hAnsi="PT Astra Serif"/>
          <w:b w:val="false"/>
          <w:bCs w:val="false"/>
          <w:i/>
          <w:iCs/>
          <w:sz w:val="24"/>
          <w:szCs w:val="24"/>
          <w:u w:val="single"/>
          <w:shd w:fill="FFFFFF" w:val="clear"/>
        </w:rPr>
        <w:t>е</w:t>
      </w:r>
      <w:r>
        <w:rPr>
          <w:rFonts w:eastAsia="Calibri" w:ascii="PT Astra Serif" w:hAnsi="PT Astra Serif"/>
          <w:b w:val="false"/>
          <w:bCs w:val="false"/>
          <w:i/>
          <w:iCs/>
          <w:sz w:val="24"/>
          <w:szCs w:val="24"/>
          <w:u w:val="single"/>
          <w:shd w:fill="FFFFFF" w:val="clear"/>
        </w:rPr>
        <w:t xml:space="preserve"> с винтами для их установки</w:t>
      </w:r>
    </w:p>
    <w:tbl>
      <w:tblPr>
        <w:tblpPr w:vertAnchor="text" w:horzAnchor="margin" w:leftFromText="180" w:rightFromText="180" w:tblpX="-539" w:tblpY="38"/>
        <w:tblW w:w="15621" w:type="dxa"/>
        <w:jc w:val="left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452"/>
        <w:gridCol w:w="14169"/>
      </w:tblGrid>
      <w:tr>
        <w:trPr>
          <w:trHeight w:val="232" w:hRule="atLeast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 w:righ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Используемый метод определения НМЦК с обоснованием:</w:t>
            </w:r>
          </w:p>
        </w:tc>
        <w:tc>
          <w:tcPr>
            <w:tcW w:w="1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ascii="PT Astra Serif" w:hAnsi="PT Astra Serif"/>
                <w:sz w:val="18"/>
                <w:szCs w:val="18"/>
              </w:rPr>
              <w:t xml:space="preserve">Информация о предельных отпускных ценах производителей медицинских изделий в соответствии с перечнем </w:t>
            </w:r>
            <w:r>
              <w:rPr>
                <w:rFonts w:eastAsia="Calibri" w:ascii="PT Astra Serif" w:hAnsi="PT Astra Serif"/>
                <w:sz w:val="18"/>
                <w:szCs w:val="18"/>
                <w:lang w:eastAsia="en-US"/>
              </w:rPr>
              <w:t xml:space="preserve">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помощи на основании </w:t>
            </w:r>
            <w:r>
              <w:rPr>
                <w:rFonts w:cs="Arial" w:ascii="PT Astra Serif" w:hAnsi="PT Astra Serif"/>
                <w:sz w:val="18"/>
                <w:szCs w:val="18"/>
              </w:rPr>
              <w:t>Постановления Правительства РФ от 30 декабря 2015 г. N 1517,</w:t>
            </w:r>
            <w:r>
              <w:rPr>
                <w:rFonts w:eastAsia="Calibri" w:ascii="PT Astra Serif" w:hAnsi="PT Astra Serif"/>
                <w:sz w:val="18"/>
                <w:szCs w:val="18"/>
                <w:lang w:eastAsia="en-US"/>
              </w:rPr>
              <w:t xml:space="preserve"> Распоряжения Правительства РФ от 31.12.2018 N 3053-р, представлена на официальном сайте Росздравнадзора по ссылке: </w:t>
            </w:r>
            <w:hyperlink r:id="rId2">
              <w:r>
                <w:rPr>
                  <w:rStyle w:val="Hyperlink"/>
                  <w:rFonts w:ascii="PT Astra Serif" w:hAnsi="PT Astra Serif"/>
                  <w:color w:val="auto"/>
                  <w:sz w:val="18"/>
                  <w:szCs w:val="18"/>
                </w:rPr>
                <w:t>https://roszdravnadzor.gov.ru/services/mi_prices</w:t>
              </w:r>
            </w:hyperlink>
            <w:r>
              <w:rPr>
                <w:rFonts w:eastAsia="Calibri" w:ascii="PT Astra Serif" w:hAnsi="PT Astra Serif"/>
                <w:sz w:val="18"/>
                <w:szCs w:val="18"/>
                <w:lang w:eastAsia="en-US"/>
              </w:rPr>
              <w:t xml:space="preserve">. </w:t>
            </w:r>
            <w:r>
              <w:rPr>
                <w:rFonts w:ascii="PT Astra Serif" w:hAnsi="PT Astra Serif"/>
                <w:sz w:val="18"/>
                <w:szCs w:val="18"/>
              </w:rPr>
              <w:t xml:space="preserve">Объект закупки в указанный выше перечень не включен, тарифный метод не применяется. </w:t>
            </w:r>
          </w:p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Учитывая вышеизложенное, определение НМЦК проводится иным методом в соответствии с ч.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>12, ч.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 xml:space="preserve">22 ст.22 Федерального закона от 05.04.2013 №44-ФЗ, на основании Приказа Минздрава России от 15.05.2020 №450н «Об утверждении порядка определения начальной (максимальной) цены </w:t>
            </w:r>
            <w:r>
              <w:rPr>
                <w:rFonts w:ascii="PT Astra Serif" w:hAnsi="PT Astra Serif"/>
                <w:b/>
                <w:sz w:val="18"/>
                <w:szCs w:val="18"/>
                <w:shd w:fill="FFFFFF" w:val="clear"/>
              </w:rPr>
              <w:t>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изделий».</w:t>
            </w:r>
          </w:p>
        </w:tc>
      </w:tr>
      <w:tr>
        <w:trPr>
          <w:trHeight w:val="416" w:hRule="atLeast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 w:right="57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>Расчет</w:t>
            </w:r>
          </w:p>
        </w:tc>
        <w:tc>
          <w:tcPr>
            <w:tcW w:w="1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 соответствии с п. 12 Приказа Минздрава России от 15.05.2020 №450н расчет начальной цены единицы медицинского изделия, цены единицы медицинского изделия, для которого в эксплуатационной документации производителя (изготовителя) не предусмотрено использование расходных материалов и проведение технического обслуживания в период гарантийного срока его эксплуатации, осуществляется по формуле:</w:t>
            </w:r>
          </w:p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drawing>
                <wp:inline distT="0" distB="0" distL="0" distR="0">
                  <wp:extent cx="1173480" cy="2457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245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z w:val="18"/>
                <w:szCs w:val="18"/>
              </w:rPr>
              <w:t>где: НЦЕ – начальная цена единицы медицинского изделия, без учета НДС; ЦЕМ – цена еди</w:t>
            </w:r>
            <w:r>
              <w:rPr>
                <w:rFonts w:ascii="PT Astra Serif" w:hAnsi="PT Astra Serif"/>
                <w:sz w:val="18"/>
                <w:szCs w:val="18"/>
              </w:rPr>
              <w:t>н</w:t>
            </w:r>
            <w:r>
              <w:rPr>
                <w:rFonts w:ascii="PT Astra Serif" w:hAnsi="PT Astra Serif"/>
                <w:sz w:val="18"/>
                <w:szCs w:val="18"/>
              </w:rPr>
              <w:t>и</w:t>
            </w:r>
            <w:r>
              <w:rPr>
                <w:rFonts w:ascii="PT Astra Serif" w:hAnsi="PT Astra Serif"/>
                <w:sz w:val="18"/>
                <w:szCs w:val="18"/>
              </w:rPr>
              <w:t>ц</w:t>
            </w:r>
            <w:r>
              <w:rPr>
                <w:rFonts w:ascii="PT Astra Serif" w:hAnsi="PT Astra Serif"/>
                <w:sz w:val="18"/>
                <w:szCs w:val="18"/>
              </w:rPr>
              <w:t xml:space="preserve">ы медицинского изделия, без учета НДС;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n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количество значений информации о цене единицы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-го медицинского изделия;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номер информации о цене; ц</w:t>
            </w:r>
            <w:r>
              <w:rPr>
                <w:rFonts w:ascii="PT Astra Serif" w:hAnsi="PT Astra Serif"/>
                <w:sz w:val="18"/>
                <w:szCs w:val="18"/>
                <w:vertAlign w:val="subscript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– цена единицы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>-го медицинского изделия, без учета НДС.</w:t>
            </w:r>
          </w:p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 соответствии с п. 17 Приказа Минздрава России от 15.05.2020 №450н расчет начальной (максимальной) цены контракта (НМЦК), в том числе при осуществлении закупки у единственного поставщика (подрядчика, исполнителя), осуществляется по формуле:</w:t>
            </w:r>
          </w:p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drawing>
                <wp:inline distT="0" distB="0" distL="0" distR="0">
                  <wp:extent cx="1537335" cy="154305"/>
                  <wp:effectExtent l="0" t="0" r="0" b="0"/>
                  <wp:docPr id="2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335" cy="154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PT Astra Serif" w:hAnsi="PT Astra Serif"/>
                <w:sz w:val="18"/>
                <w:szCs w:val="18"/>
              </w:rPr>
              <w:t xml:space="preserve">где: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n</w:t>
            </w:r>
            <w:r>
              <w:rPr>
                <w:rFonts w:ascii="PT Astra Serif" w:hAnsi="PT Astra Serif"/>
                <w:sz w:val="18"/>
                <w:szCs w:val="18"/>
              </w:rPr>
              <w:t>- количество позиций закупаемых медицинских изделий; НЦЕ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начальная цена единицы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>-й позиции медицинского изделия, определяемая в соответствии с настоящим порядком (по применимости); НДС – налог на добавленную стоимость (</w:t>
            </w:r>
            <w:r>
              <w:rPr>
                <w:rFonts w:eastAsia="BatangChe" w:ascii="PT Astra Serif" w:hAnsi="PT Astra Serif"/>
                <w:i/>
                <w:sz w:val="18"/>
                <w:szCs w:val="18"/>
              </w:rPr>
              <w:t>на основании п. п. 1 п. 2 ст. 149 Налогового кодекса, в соответствии с постановлением Правительства Российской Федерации от 30 сентября 2015 г. №1042 данные медицинские изделия не облагаются НДС</w:t>
            </w:r>
            <w:r>
              <w:rPr>
                <w:rFonts w:ascii="PT Astra Serif" w:hAnsi="PT Astra Serif"/>
                <w:sz w:val="18"/>
                <w:szCs w:val="18"/>
              </w:rPr>
              <w:t xml:space="preserve">);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Vi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количество (объем) 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i</w:t>
            </w:r>
            <w:r>
              <w:rPr>
                <w:rFonts w:ascii="PT Astra Serif" w:hAnsi="PT Astra Serif"/>
                <w:sz w:val="18"/>
                <w:szCs w:val="18"/>
              </w:rPr>
              <w:t>-й позиции закупаемого медицинского изделия.</w:t>
            </w:r>
          </w:p>
          <w:p>
            <w:pPr>
              <w:pStyle w:val="Normal"/>
              <w:spacing w:lineRule="auto" w:line="240" w:before="0" w:after="0"/>
              <w:ind w:left="57"/>
              <w:jc w:val="both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Для формирования НМЦК были получено и принято к расчету </w:t>
            </w:r>
            <w:r>
              <w:rPr>
                <w:rFonts w:ascii="PT Astra Serif" w:hAnsi="PT Astra Serif"/>
                <w:sz w:val="18"/>
                <w:szCs w:val="18"/>
              </w:rPr>
              <w:t>3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коммерческ</w:t>
            </w:r>
            <w:r>
              <w:rPr>
                <w:rFonts w:ascii="PT Astra Serif" w:hAnsi="PT Astra Serif"/>
                <w:sz w:val="18"/>
                <w:szCs w:val="18"/>
              </w:rPr>
              <w:t>их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предложени</w:t>
            </w:r>
            <w:r>
              <w:rPr>
                <w:rFonts w:ascii="PT Astra Serif" w:hAnsi="PT Astra Serif"/>
                <w:sz w:val="18"/>
                <w:szCs w:val="18"/>
              </w:rPr>
              <w:t>я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на поставку товара.</w:t>
            </w:r>
          </w:p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Поставщик №1 – коммерческое предложение №</w:t>
            </w:r>
            <w:r>
              <w:rPr>
                <w:rFonts w:ascii="PT Astra Serif" w:hAnsi="PT Astra Serif"/>
                <w:sz w:val="18"/>
                <w:szCs w:val="18"/>
              </w:rPr>
              <w:t>696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от </w:t>
            </w:r>
            <w:r>
              <w:rPr>
                <w:rFonts w:ascii="PT Astra Serif" w:hAnsi="PT Astra Serif"/>
                <w:sz w:val="18"/>
                <w:szCs w:val="18"/>
              </w:rPr>
              <w:t>27.07.2026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г. (вх. </w:t>
            </w:r>
            <w:r>
              <w:rPr>
                <w:rFonts w:ascii="PT Astra Serif" w:hAnsi="PT Astra Serif"/>
                <w:sz w:val="18"/>
                <w:szCs w:val="18"/>
              </w:rPr>
              <w:t>670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от </w:t>
            </w:r>
            <w:r>
              <w:rPr>
                <w:rFonts w:ascii="PT Astra Serif" w:hAnsi="PT Astra Serif"/>
                <w:sz w:val="18"/>
                <w:szCs w:val="18"/>
              </w:rPr>
              <w:t>27.07.2026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г. на исх. </w:t>
            </w:r>
            <w:r>
              <w:rPr>
                <w:rFonts w:ascii="PT Astra Serif" w:hAnsi="PT Astra Serif"/>
                <w:sz w:val="18"/>
                <w:szCs w:val="18"/>
              </w:rPr>
              <w:t>2431</w:t>
            </w:r>
            <w:r>
              <w:rPr>
                <w:rFonts w:ascii="PT Astra Serif" w:hAnsi="PT Astra Serif"/>
                <w:sz w:val="18"/>
                <w:szCs w:val="18"/>
              </w:rPr>
              <w:t xml:space="preserve">/39-25 от </w:t>
            </w:r>
            <w:r>
              <w:rPr>
                <w:rFonts w:ascii="PT Astra Serif" w:hAnsi="PT Astra Serif"/>
                <w:sz w:val="18"/>
                <w:szCs w:val="18"/>
              </w:rPr>
              <w:t>16.07.2026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г.);</w:t>
            </w:r>
          </w:p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Поставщик №</w:t>
            </w:r>
            <w:r>
              <w:rPr>
                <w:rFonts w:ascii="PT Astra Serif" w:hAnsi="PT Astra Serif"/>
                <w:sz w:val="18"/>
                <w:szCs w:val="18"/>
              </w:rPr>
              <w:t>2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коммерческое предложение №</w:t>
            </w:r>
            <w:r>
              <w:rPr>
                <w:rFonts w:ascii="PT Astra Serif" w:hAnsi="PT Astra Serif"/>
                <w:sz w:val="18"/>
                <w:szCs w:val="18"/>
              </w:rPr>
              <w:t>90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от </w:t>
            </w:r>
            <w:r>
              <w:rPr>
                <w:rFonts w:ascii="PT Astra Serif" w:hAnsi="PT Astra Serif"/>
                <w:sz w:val="18"/>
                <w:szCs w:val="18"/>
              </w:rPr>
              <w:t>23.07.2026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г. (вх. </w:t>
            </w:r>
            <w:r>
              <w:rPr>
                <w:rFonts w:ascii="PT Astra Serif" w:hAnsi="PT Astra Serif"/>
                <w:sz w:val="18"/>
                <w:szCs w:val="18"/>
              </w:rPr>
              <w:t>690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от </w:t>
            </w:r>
            <w:r>
              <w:rPr>
                <w:rFonts w:ascii="PT Astra Serif" w:hAnsi="PT Astra Serif"/>
                <w:sz w:val="18"/>
                <w:szCs w:val="18"/>
              </w:rPr>
              <w:t>23.07.2026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г. на исх. </w:t>
            </w:r>
            <w:r>
              <w:rPr>
                <w:rFonts w:ascii="PT Astra Serif" w:hAnsi="PT Astra Serif"/>
                <w:sz w:val="18"/>
                <w:szCs w:val="18"/>
              </w:rPr>
              <w:t>2531</w:t>
            </w:r>
            <w:r>
              <w:rPr>
                <w:rFonts w:ascii="PT Astra Serif" w:hAnsi="PT Astra Serif"/>
                <w:sz w:val="18"/>
                <w:szCs w:val="18"/>
              </w:rPr>
              <w:t xml:space="preserve">/39-25 от </w:t>
            </w:r>
            <w:r>
              <w:rPr>
                <w:rFonts w:ascii="PT Astra Serif" w:hAnsi="PT Astra Serif"/>
                <w:sz w:val="18"/>
                <w:szCs w:val="18"/>
              </w:rPr>
              <w:t>21.07.2026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г.);</w:t>
            </w:r>
          </w:p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Поставщик №</w:t>
            </w:r>
            <w:r>
              <w:rPr>
                <w:rFonts w:ascii="PT Astra Serif" w:hAnsi="PT Astra Serif"/>
                <w:sz w:val="18"/>
                <w:szCs w:val="18"/>
              </w:rPr>
              <w:t>3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– коммерческое предложение №2</w:t>
            </w:r>
            <w:r>
              <w:rPr>
                <w:rFonts w:ascii="PT Astra Serif" w:hAnsi="PT Astra Serif"/>
                <w:sz w:val="18"/>
                <w:szCs w:val="18"/>
              </w:rPr>
              <w:t>107/2026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от </w:t>
            </w:r>
            <w:r>
              <w:rPr>
                <w:rFonts w:ascii="PT Astra Serif" w:hAnsi="PT Astra Serif"/>
                <w:sz w:val="18"/>
                <w:szCs w:val="18"/>
              </w:rPr>
              <w:t>21.07.2026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г. (вх. </w:t>
            </w:r>
            <w:r>
              <w:rPr>
                <w:rFonts w:ascii="PT Astra Serif" w:hAnsi="PT Astra Serif"/>
                <w:sz w:val="18"/>
                <w:szCs w:val="18"/>
              </w:rPr>
              <w:t>673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от </w:t>
            </w:r>
            <w:r>
              <w:rPr>
                <w:rFonts w:ascii="PT Astra Serif" w:hAnsi="PT Astra Serif"/>
                <w:sz w:val="18"/>
                <w:szCs w:val="18"/>
              </w:rPr>
              <w:t>21.07.2026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г. на исх. </w:t>
            </w:r>
            <w:r>
              <w:rPr>
                <w:rFonts w:ascii="PT Astra Serif" w:hAnsi="PT Astra Serif"/>
                <w:sz w:val="18"/>
                <w:szCs w:val="18"/>
              </w:rPr>
              <w:t>2500</w:t>
            </w:r>
            <w:r>
              <w:rPr>
                <w:rFonts w:ascii="PT Astra Serif" w:hAnsi="PT Astra Serif"/>
                <w:sz w:val="18"/>
                <w:szCs w:val="18"/>
              </w:rPr>
              <w:t xml:space="preserve">/39-25 от </w:t>
            </w:r>
            <w:r>
              <w:rPr>
                <w:rFonts w:ascii="PT Astra Serif" w:hAnsi="PT Astra Serif"/>
                <w:sz w:val="18"/>
                <w:szCs w:val="18"/>
              </w:rPr>
              <w:t>21.07.2026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г.).</w:t>
            </w:r>
          </w:p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Применение корректирующих коэффициентов не требуется.  Коэффициент вариации не превышает 33%.</w:t>
            </w:r>
          </w:p>
          <w:tbl>
            <w:tblPr>
              <w:tblW w:w="14100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00"/>
            </w:tblPr>
            <w:tblGrid>
              <w:gridCol w:w="573"/>
              <w:gridCol w:w="2604"/>
              <w:gridCol w:w="628"/>
              <w:gridCol w:w="613"/>
              <w:gridCol w:w="1132"/>
              <w:gridCol w:w="1145"/>
              <w:gridCol w:w="1132"/>
              <w:gridCol w:w="955"/>
              <w:gridCol w:w="1023"/>
              <w:gridCol w:w="1131"/>
              <w:gridCol w:w="1078"/>
              <w:gridCol w:w="2086"/>
            </w:tblGrid>
            <w:tr>
              <w:trPr>
                <w:trHeight w:val="20" w:hRule="atLeast"/>
              </w:trPr>
              <w:tc>
                <w:tcPr>
                  <w:tcW w:w="57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 xml:space="preserve">№ </w:t>
                  </w: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п/п</w:t>
                  </w:r>
                </w:p>
              </w:tc>
              <w:tc>
                <w:tcPr>
                  <w:tcW w:w="2604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Наименование товара</w:t>
                  </w:r>
                </w:p>
              </w:tc>
              <w:tc>
                <w:tcPr>
                  <w:tcW w:w="62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Кол-во</w:t>
                  </w:r>
                </w:p>
              </w:tc>
              <w:tc>
                <w:tcPr>
                  <w:tcW w:w="61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Ед. изм.</w:t>
                  </w: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Пост.№1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  <w:shd w:fill="FFFFFF" w:val="clear"/>
                    </w:rPr>
                    <w:t>Пост.№</w:t>
                  </w:r>
                  <w:r>
                    <w:rPr>
                      <w:rFonts w:ascii="PT Astra Serif" w:hAnsi="PT Astra Serif"/>
                      <w:sz w:val="18"/>
                      <w:szCs w:val="18"/>
                      <w:shd w:fill="FFFFFF" w:val="clear"/>
                    </w:rPr>
                    <w:t>2</w:t>
                  </w: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Пост.№</w:t>
                  </w:r>
                  <w:r>
                    <w:rPr>
                      <w:rFonts w:ascii="PT Astra Serif" w:hAnsi="PT Astra Serif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5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НЦЕ,</w:t>
                  </w: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 xml:space="preserve"> руб.</w:t>
                  </w:r>
                </w:p>
              </w:tc>
              <w:tc>
                <w:tcPr>
                  <w:tcW w:w="1023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Коэф. вариации цены, %</w:t>
                  </w:r>
                </w:p>
              </w:tc>
              <w:tc>
                <w:tcPr>
                  <w:tcW w:w="113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НМЦК, руб.</w:t>
                  </w:r>
                </w:p>
              </w:tc>
              <w:tc>
                <w:tcPr>
                  <w:tcW w:w="107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НЦЕ сниж.,</w:t>
                  </w: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 xml:space="preserve"> руб.</w:t>
                  </w:r>
                </w:p>
              </w:tc>
              <w:tc>
                <w:tcPr>
                  <w:tcW w:w="208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 xml:space="preserve">НМЦК по </w:t>
                  </w:r>
                  <w:r>
                    <w:rPr>
                      <w:rFonts w:eastAsia="BatangChe" w:ascii="PT Astra Serif" w:hAnsi="PT Astra Serif"/>
                      <w:sz w:val="18"/>
                      <w:szCs w:val="18"/>
                    </w:rPr>
                    <w:t xml:space="preserve">п. 18 </w:t>
                  </w:r>
                  <w:r>
                    <w:rPr>
                      <w:rFonts w:ascii="PT Astra Serif" w:hAnsi="PT Astra Serif"/>
                      <w:sz w:val="18"/>
                      <w:szCs w:val="18"/>
                    </w:rPr>
                    <w:t>Приказа МЗ РФ от 15.05.2020 №450н</w:t>
                  </w: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, руб.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573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2604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628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613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ЦЕМ, руб.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ЦЕМ, руб.</w:t>
                  </w: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  <w:t>ЦЕМ, руб.</w:t>
                  </w:r>
                </w:p>
              </w:tc>
              <w:tc>
                <w:tcPr>
                  <w:tcW w:w="955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1023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1131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1078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  <w:tc>
                <w:tcPr>
                  <w:tcW w:w="2086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bCs/>
                      <w:sz w:val="18"/>
                      <w:szCs w:val="18"/>
                    </w:rPr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6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Кейдж для спондилодеза металлический, нестерильный</w:t>
                  </w:r>
                </w:p>
              </w:tc>
              <w:tc>
                <w:tcPr>
                  <w:tcW w:w="6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cs="Arial" w:ascii="PT Astra Serif" w:hAnsi="PT Astra Serif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6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шт</w:t>
                  </w: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23000,00</w:t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32200,00</w:t>
                  </w: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33500,00</w:t>
                  </w:r>
                </w:p>
              </w:tc>
              <w:tc>
                <w:tcPr>
                  <w:tcW w:w="9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cs="Calibri Light" w:ascii="PT Astra Serif" w:hAnsi="PT Astra Serif"/>
                      <w:sz w:val="18"/>
                      <w:szCs w:val="18"/>
                    </w:rPr>
                    <w:t>29566,67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cs="Calibri Light" w:ascii="PT Astra Serif" w:hAnsi="PT Astra Serif"/>
                      <w:sz w:val="18"/>
                      <w:szCs w:val="18"/>
                    </w:rPr>
                    <w:t>19,36</w:t>
                  </w:r>
                </w:p>
              </w:tc>
              <w:tc>
                <w:tcPr>
                  <w:tcW w:w="1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cs="Calibri Light" w:ascii="PT Astra Serif" w:hAnsi="PT Astra Serif"/>
                      <w:sz w:val="18"/>
                      <w:szCs w:val="18"/>
                    </w:rPr>
                    <w:t>59133,3</w:t>
                  </w:r>
                  <w:r>
                    <w:rPr>
                      <w:rFonts w:cs="Calibri Light" w:ascii="PT Astra Serif" w:hAnsi="PT Astra Serif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0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cs="Calibri Light" w:ascii="PT Astra Serif" w:hAnsi="PT Astra Serif"/>
                      <w:sz w:val="18"/>
                      <w:szCs w:val="18"/>
                    </w:rPr>
                    <w:t>23239,40</w:t>
                  </w:r>
                </w:p>
              </w:tc>
              <w:tc>
                <w:tcPr>
                  <w:tcW w:w="2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cs="Calibri Light" w:ascii="PT Astra Serif" w:hAnsi="PT Astra Serif"/>
                      <w:color w:val="000000"/>
                      <w:sz w:val="18"/>
                      <w:szCs w:val="18"/>
                    </w:rPr>
                    <w:t>46478,80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57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6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Кейдж для спондилодеза металлический, нестерильный</w:t>
                  </w:r>
                </w:p>
              </w:tc>
              <w:tc>
                <w:tcPr>
                  <w:tcW w:w="62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61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шт</w:t>
                  </w:r>
                </w:p>
              </w:tc>
              <w:tc>
                <w:tcPr>
                  <w:tcW w:w="113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23000,00</w:t>
                  </w:r>
                </w:p>
              </w:tc>
              <w:tc>
                <w:tcPr>
                  <w:tcW w:w="114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32200,00</w:t>
                  </w:r>
                </w:p>
              </w:tc>
              <w:tc>
                <w:tcPr>
                  <w:tcW w:w="113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33500,00</w:t>
                  </w:r>
                </w:p>
              </w:tc>
              <w:tc>
                <w:tcPr>
                  <w:tcW w:w="95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29566,67</w:t>
                  </w:r>
                </w:p>
              </w:tc>
              <w:tc>
                <w:tcPr>
                  <w:tcW w:w="10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19,36</w:t>
                  </w:r>
                </w:p>
              </w:tc>
              <w:tc>
                <w:tcPr>
                  <w:tcW w:w="113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29566,67</w:t>
                  </w:r>
                </w:p>
              </w:tc>
              <w:tc>
                <w:tcPr>
                  <w:tcW w:w="107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cs="Calibri Light" w:ascii="PT Astra Serif" w:hAnsi="PT Astra Serif"/>
                      <w:sz w:val="18"/>
                      <w:szCs w:val="18"/>
                    </w:rPr>
                    <w:t>23239,40</w:t>
                  </w:r>
                </w:p>
              </w:tc>
              <w:tc>
                <w:tcPr>
                  <w:tcW w:w="208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right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cs="Calibri Light" w:ascii="PT Astra Serif" w:hAnsi="PT Astra Serif"/>
                      <w:sz w:val="18"/>
                      <w:szCs w:val="18"/>
                    </w:rPr>
                    <w:t>23239,40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57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6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Винт костный спинальный, нерассасывающийся</w:t>
                  </w:r>
                </w:p>
              </w:tc>
              <w:tc>
                <w:tcPr>
                  <w:tcW w:w="62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61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шт</w:t>
                  </w:r>
                </w:p>
              </w:tc>
              <w:tc>
                <w:tcPr>
                  <w:tcW w:w="113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1000,00</w:t>
                  </w:r>
                </w:p>
              </w:tc>
              <w:tc>
                <w:tcPr>
                  <w:tcW w:w="114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1100,00</w:t>
                  </w:r>
                </w:p>
              </w:tc>
              <w:tc>
                <w:tcPr>
                  <w:tcW w:w="1132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1268,00</w:t>
                  </w:r>
                </w:p>
              </w:tc>
              <w:tc>
                <w:tcPr>
                  <w:tcW w:w="95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1122,67</w:t>
                  </w:r>
                </w:p>
              </w:tc>
              <w:tc>
                <w:tcPr>
                  <w:tcW w:w="102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12,06</w:t>
                  </w:r>
                </w:p>
              </w:tc>
              <w:tc>
                <w:tcPr>
                  <w:tcW w:w="1131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6736,0</w:t>
                  </w:r>
                  <w:r>
                    <w:rPr>
                      <w:rFonts w:ascii="PT Astra Serif" w:hAnsi="PT Astra Serif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078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882,42</w:t>
                  </w:r>
                </w:p>
              </w:tc>
              <w:tc>
                <w:tcPr>
                  <w:tcW w:w="2086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  <w:t>5294,52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5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26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BodyText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eastAsia="Calibri" w:cs="Times New Roman" w:ascii="PT Astra Serif" w:hAnsi="PT Astra Serif"/>
                      <w:sz w:val="18"/>
                      <w:szCs w:val="18"/>
                      <w:shd w:fill="FFFFFF" w:val="clear"/>
                      <w:lang w:eastAsia="ru-RU"/>
                    </w:rPr>
                    <w:t>ИТОГО</w:t>
                  </w:r>
                </w:p>
              </w:tc>
              <w:tc>
                <w:tcPr>
                  <w:tcW w:w="6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6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ind w:left="57"/>
                    <w:jc w:val="center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ascii="PT Astra Serif" w:hAnsi="PT Astra Serif"/>
                      <w:sz w:val="18"/>
                      <w:szCs w:val="18"/>
                    </w:rPr>
                  </w:r>
                </w:p>
              </w:tc>
              <w:tc>
                <w:tcPr>
                  <w:tcW w:w="9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cs="Calibri Light" w:ascii="PT Astra Serif" w:hAnsi="PT Astra Serif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cs="Calibri Light" w:ascii="PT Astra Serif" w:hAnsi="PT Astra Serif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1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cs="Calibri Light" w:ascii="PT Astra Serif" w:hAnsi="PT Astra Serif"/>
                      <w:sz w:val="18"/>
                      <w:szCs w:val="18"/>
                    </w:rPr>
                    <w:t>95436,03</w:t>
                  </w:r>
                </w:p>
              </w:tc>
              <w:tc>
                <w:tcPr>
                  <w:tcW w:w="10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cs="Calibri Light" w:ascii="PT Astra Serif" w:hAnsi="PT Astra Serif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2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right"/>
                    <w:rPr>
                      <w:rFonts w:ascii="PT Astra Serif" w:hAnsi="PT Astra Serif"/>
                      <w:sz w:val="18"/>
                      <w:szCs w:val="18"/>
                    </w:rPr>
                  </w:pPr>
                  <w:r>
                    <w:rPr>
                      <w:rFonts w:cs="Calibri Light" w:ascii="PT Astra Serif" w:hAnsi="PT Astra Serif"/>
                      <w:sz w:val="18"/>
                      <w:szCs w:val="18"/>
                    </w:rPr>
                    <w:t>75012,72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eastAsia="BatangChe" w:ascii="PT Astra Serif" w:hAnsi="PT Astra Serif"/>
                <w:sz w:val="18"/>
                <w:szCs w:val="18"/>
              </w:rPr>
              <w:t xml:space="preserve">В соответствии с п. 18 </w:t>
            </w:r>
            <w:r>
              <w:rPr>
                <w:rFonts w:ascii="PT Astra Serif" w:hAnsi="PT Astra Serif"/>
                <w:sz w:val="18"/>
                <w:szCs w:val="18"/>
              </w:rPr>
              <w:t xml:space="preserve">Приказа Минздрава России от 15.05.2020 №450н НМЦК снижена заказчиком по сравнению с НМЦК, определенной в соответствии с настоящим порядком, исходя из имеющегося у заказчика объема финансового обеспечения для осуществления соответствующей закупки, с пропорциональным снижением начальных цен единиц закупаемых медицинских изделий </w:t>
            </w:r>
            <w:r>
              <w:rPr>
                <w:rFonts w:ascii="PT Astra Serif" w:hAnsi="PT Astra Serif"/>
                <w:b/>
                <w:bCs/>
                <w:sz w:val="18"/>
                <w:szCs w:val="18"/>
              </w:rPr>
              <w:t>на 21,40%</w:t>
            </w:r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 xml:space="preserve">и определена в размере </w:t>
            </w:r>
            <w:r>
              <w:rPr>
                <w:rFonts w:cs="Calibri Light" w:ascii="PT Astra Serif" w:hAnsi="PT Astra Serif"/>
                <w:b/>
                <w:sz w:val="18"/>
                <w:szCs w:val="18"/>
              </w:rPr>
              <w:t xml:space="preserve">75012,72 </w:t>
            </w:r>
            <w:r>
              <w:rPr>
                <w:rFonts w:ascii="PT Astra Serif" w:hAnsi="PT Astra Serif"/>
                <w:b/>
                <w:sz w:val="18"/>
                <w:szCs w:val="18"/>
              </w:rPr>
              <w:t>руб.</w:t>
            </w:r>
          </w:p>
        </w:tc>
      </w:tr>
      <w:tr>
        <w:trPr>
          <w:trHeight w:val="415" w:hRule="atLeast"/>
        </w:trPr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 w:right="57"/>
              <w:jc w:val="both"/>
              <w:rPr>
                <w:rFonts w:ascii="PT Astra Serif" w:hAnsi="PT Astra Serif"/>
                <w:bCs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</w:r>
          </w:p>
        </w:tc>
        <w:tc>
          <w:tcPr>
            <w:tcW w:w="14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bCs/>
                <w:sz w:val="18"/>
                <w:szCs w:val="18"/>
              </w:rPr>
              <w:t xml:space="preserve">Дата подготовки обоснования </w:t>
            </w:r>
            <w:r>
              <w:rPr>
                <w:rFonts w:ascii="PT Astra Serif" w:hAnsi="PT Astra Serif"/>
                <w:bCs/>
                <w:sz w:val="18"/>
                <w:szCs w:val="18"/>
                <w:lang w:val="ru-RU"/>
              </w:rPr>
              <w:t>27.07.2026</w:t>
            </w:r>
            <w:r>
              <w:rPr>
                <w:rFonts w:ascii="PT Astra Serif" w:hAnsi="PT Astra Serif"/>
                <w:bCs/>
                <w:sz w:val="18"/>
                <w:szCs w:val="18"/>
              </w:rPr>
              <w:t xml:space="preserve"> г.</w:t>
            </w:r>
          </w:p>
        </w:tc>
      </w:tr>
    </w:tbl>
    <w:p>
      <w:pPr>
        <w:pStyle w:val="1"/>
        <w:spacing w:lineRule="auto" w:line="240"/>
        <w:rPr>
          <w:rFonts w:ascii="PT Astra Serif" w:hAnsi="PT Astra Serif"/>
        </w:rPr>
      </w:pPr>
      <w:r>
        <w:rPr>
          <w:rFonts w:ascii="PT Astra Serif" w:hAnsi="PT Astra Serif"/>
          <w:b/>
          <w:bCs/>
        </w:rPr>
        <w:t>Руководитель контрактной службы:</w:t>
      </w:r>
    </w:p>
    <w:tbl>
      <w:tblPr>
        <w:tblW w:w="6946" w:type="dxa"/>
        <w:jc w:val="left"/>
        <w:tblInd w:w="84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701"/>
        <w:gridCol w:w="170"/>
        <w:gridCol w:w="2721"/>
        <w:gridCol w:w="2354"/>
      </w:tblGrid>
      <w:tr>
        <w:trPr/>
        <w:tc>
          <w:tcPr>
            <w:tcW w:w="6946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snapToGrid w:val="false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Заместитель главного врача по экономическим вопросам</w:t>
            </w:r>
          </w:p>
        </w:tc>
      </w:tr>
      <w:tr>
        <w:trPr>
          <w:trHeight w:val="64" w:hRule="atLeast"/>
        </w:trPr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snapToGrid w:val="false"/>
              <w:spacing w:lineRule="auto" w:line="24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70" w:type="dxa"/>
            <w:tcBorders/>
            <w:vAlign w:val="bottom"/>
          </w:tcPr>
          <w:p>
            <w:pPr>
              <w:pStyle w:val="1"/>
              <w:snapToGrid w:val="false"/>
              <w:spacing w:lineRule="auto" w:line="240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/</w:t>
            </w:r>
          </w:p>
        </w:tc>
        <w:tc>
          <w:tcPr>
            <w:tcW w:w="2721" w:type="dxa"/>
            <w:tcBorders>
              <w:bottom w:val="single" w:sz="4" w:space="0" w:color="000000"/>
            </w:tcBorders>
            <w:vAlign w:val="bottom"/>
          </w:tcPr>
          <w:p>
            <w:pPr>
              <w:pStyle w:val="1"/>
              <w:snapToGrid w:val="false"/>
              <w:spacing w:lineRule="auto" w:line="24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Е.Н.Стратонова</w:t>
            </w:r>
          </w:p>
        </w:tc>
        <w:tc>
          <w:tcPr>
            <w:tcW w:w="2354" w:type="dxa"/>
            <w:tcBorders/>
            <w:vAlign w:val="bottom"/>
          </w:tcPr>
          <w:p>
            <w:pPr>
              <w:pStyle w:val="1"/>
              <w:snapToGrid w:val="false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/</w:t>
            </w:r>
          </w:p>
        </w:tc>
      </w:tr>
    </w:tbl>
    <w:p>
      <w:pPr>
        <w:pStyle w:val="Normal"/>
        <w:spacing w:lineRule="auto" w:line="240" w:before="0" w:after="0"/>
        <w:rPr>
          <w:rFonts w:ascii="PT Astra Serif" w:hAnsi="PT Astra Serif"/>
          <w:b/>
          <w:bCs/>
          <w:sz w:val="24"/>
          <w:szCs w:val="24"/>
          <w:lang w:eastAsia="ar-SA"/>
        </w:rPr>
      </w:pPr>
      <w:r>
        <w:rPr>
          <w:rFonts w:ascii="PT Astra Serif" w:hAnsi="PT Astra Serif"/>
          <w:i/>
          <w:sz w:val="24"/>
          <w:szCs w:val="24"/>
        </w:rPr>
        <w:t xml:space="preserve">Ф.И.О. исполнителя/контактный телефон </w:t>
      </w:r>
    </w:p>
    <w:p>
      <w:pPr>
        <w:pStyle w:val="Normal"/>
        <w:spacing w:lineRule="auto" w:line="240" w:before="0" w:after="0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i/>
          <w:sz w:val="24"/>
          <w:szCs w:val="24"/>
        </w:rPr>
        <w:t>Хашина Е.А.             /44-23-29</w:t>
      </w:r>
    </w:p>
    <w:sectPr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536" w:gutter="0" w:header="0" w:top="709" w:footer="0" w:bottom="567"/>
      <w:pgNumType w:start="7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  <w:font w:name="Verdana">
    <w:charset w:val="cc"/>
    <w:family w:val="swiss"/>
    <w:pitch w:val="variable"/>
  </w:font>
  <w:font w:name="PT Astra Serif">
    <w:charset w:val="cc"/>
    <w:family w:val="roman"/>
    <w:pitch w:val="variable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right"/>
      <w:rPr>
        <w:sz w:val="24"/>
        <w:szCs w:val="24"/>
      </w:rPr>
    </w:pPr>
    <w:r>
      <w:rPr>
        <w:sz w:val="24"/>
        <w:szCs w:val="24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right"/>
      <w:rPr>
        <w:sz w:val="24"/>
        <w:szCs w:val="24"/>
      </w:rPr>
    </w:pPr>
    <w:r>
      <w:rPr>
        <w:sz w:val="24"/>
        <w:szCs w:val="24"/>
      </w:rPr>
    </w:r>
  </w:p>
</w:ftr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Body Text" w:uiPriority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71137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locked/>
    <w:rsid w:val="00331762"/>
    <w:rPr>
      <w:rFonts w:ascii="Tahoma" w:hAnsi="Tahoma" w:cs="Times New Roman"/>
      <w:sz w:val="16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locked/>
    <w:rsid w:val="002022a6"/>
    <w:rPr>
      <w:rFonts w:cs="Times New Roman"/>
      <w:sz w:val="22"/>
      <w:szCs w:val="22"/>
    </w:rPr>
  </w:style>
  <w:style w:type="character" w:styleId="Style16" w:customStyle="1">
    <w:name w:val="Нижний колонтитул Знак"/>
    <w:basedOn w:val="DefaultParagraphFont"/>
    <w:uiPriority w:val="99"/>
    <w:qFormat/>
    <w:locked/>
    <w:rsid w:val="002022a6"/>
    <w:rPr>
      <w:rFonts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91b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1821"/>
    <w:rPr>
      <w:color w:val="954F72"/>
      <w:u w:val="single"/>
    </w:rPr>
  </w:style>
  <w:style w:type="character" w:styleId="Style17" w:customStyle="1">
    <w:name w:val="Основной текст Знак"/>
    <w:basedOn w:val="DefaultParagraphFont"/>
    <w:qFormat/>
    <w:rsid w:val="00e616eb"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character" w:styleId="hl" w:customStyle="1">
    <w:name w:val="hl"/>
    <w:basedOn w:val="DefaultParagraphFont"/>
    <w:qFormat/>
    <w:rsid w:val="00446ffe"/>
    <w:rPr/>
  </w:style>
  <w:style w:type="character" w:styleId="cardmaininfopurchaselink2" w:customStyle="1">
    <w:name w:val="cardmaininfo__purchaselink2"/>
    <w:basedOn w:val="DefaultParagraphFont"/>
    <w:qFormat/>
    <w:rsid w:val="00d33309"/>
    <w:rPr>
      <w:color w:val="0065DD"/>
    </w:rPr>
  </w:style>
  <w:style w:type="paragraph" w:styleId="Style18" w:customStyle="1">
    <w:name w:val="Заголовок"/>
    <w:basedOn w:val="Normal"/>
    <w:next w:val="BodyText"/>
    <w:qFormat/>
    <w:rsid w:val="001b5f08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7"/>
    <w:unhideWhenUsed/>
    <w:rsid w:val="00e616eb"/>
    <w:pPr>
      <w:spacing w:before="0" w:after="120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List">
    <w:name w:val="List"/>
    <w:basedOn w:val="BodyText"/>
    <w:rsid w:val="001b5f08"/>
    <w:pPr/>
    <w:rPr>
      <w:rFonts w:cs="Arial"/>
    </w:rPr>
  </w:style>
  <w:style w:type="paragraph" w:styleId="Caption">
    <w:name w:val="caption"/>
    <w:basedOn w:val="Normal"/>
    <w:qFormat/>
    <w:rsid w:val="001b5f0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rsid w:val="006a7c3e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xHeading">
    <w:name w:val="index heading"/>
    <w:basedOn w:val="Normal"/>
    <w:qFormat/>
    <w:rsid w:val="001b5f08"/>
    <w:pPr>
      <w:suppressLineNumbers/>
    </w:pPr>
    <w:rPr>
      <w:rFonts w:cs="Arial"/>
    </w:rPr>
  </w:style>
  <w:style w:type="paragraph" w:styleId="xl66" w:customStyle="1">
    <w:name w:val="xl66"/>
    <w:basedOn w:val="Normal"/>
    <w:qFormat/>
    <w:rsid w:val="000c39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sz w:val="20"/>
      <w:szCs w:val="20"/>
    </w:rPr>
  </w:style>
  <w:style w:type="paragraph" w:styleId="BalloonText">
    <w:name w:val="Balloon Text"/>
    <w:basedOn w:val="Normal"/>
    <w:link w:val="Style14"/>
    <w:uiPriority w:val="99"/>
    <w:semiHidden/>
    <w:qFormat/>
    <w:rsid w:val="00331762"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user1" w:customStyle="1">
    <w:name w:val="Колонтитулы (user)"/>
    <w:basedOn w:val="Normal"/>
    <w:qFormat/>
    <w:rsid w:val="001b5f08"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link w:val="Style15"/>
    <w:uiPriority w:val="99"/>
    <w:semiHidden/>
    <w:rsid w:val="002022a6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rsid w:val="002022a6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1" w:customStyle="1">
    <w:name w:val="Знак Знак Знак Знак Знак Знак Знак Знак Знак"/>
    <w:basedOn w:val="Normal"/>
    <w:qFormat/>
    <w:rsid w:val="00af5c8e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xl64" w:customStyle="1">
    <w:name w:val="xl64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sz w:val="24"/>
      <w:szCs w:val="24"/>
    </w:rPr>
  </w:style>
  <w:style w:type="paragraph" w:styleId="xl65" w:customStyle="1">
    <w:name w:val="xl65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sz w:val="24"/>
      <w:szCs w:val="24"/>
    </w:rPr>
  </w:style>
  <w:style w:type="paragraph" w:styleId="xl67" w:customStyle="1">
    <w:name w:val="xl67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sz w:val="24"/>
      <w:szCs w:val="24"/>
    </w:rPr>
  </w:style>
  <w:style w:type="paragraph" w:styleId="xl68" w:customStyle="1">
    <w:name w:val="xl68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b/>
      <w:bCs/>
      <w:sz w:val="24"/>
      <w:szCs w:val="24"/>
    </w:rPr>
  </w:style>
  <w:style w:type="paragraph" w:styleId="xl69" w:customStyle="1">
    <w:name w:val="xl69"/>
    <w:basedOn w:val="Normal"/>
    <w:qFormat/>
    <w:rsid w:val="00961821"/>
    <w:pPr>
      <w:spacing w:lineRule="auto" w:line="240" w:beforeAutospacing="1" w:afterAutospacing="1"/>
    </w:pPr>
    <w:rPr>
      <w:color w:val="000000"/>
      <w:sz w:val="18"/>
      <w:szCs w:val="18"/>
    </w:rPr>
  </w:style>
  <w:style w:type="paragraph" w:styleId="xl70" w:customStyle="1">
    <w:name w:val="xl70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sz w:val="18"/>
      <w:szCs w:val="18"/>
    </w:rPr>
  </w:style>
  <w:style w:type="paragraph" w:styleId="xl71" w:customStyle="1">
    <w:name w:val="xl71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color w:val="000000"/>
      <w:sz w:val="24"/>
      <w:szCs w:val="24"/>
    </w:rPr>
  </w:style>
  <w:style w:type="paragraph" w:styleId="xl72" w:customStyle="1">
    <w:name w:val="xl72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color w:val="000000"/>
      <w:sz w:val="24"/>
      <w:szCs w:val="24"/>
    </w:rPr>
  </w:style>
  <w:style w:type="paragraph" w:styleId="xl74" w:customStyle="1">
    <w:name w:val="xl74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sz w:val="24"/>
      <w:szCs w:val="24"/>
    </w:rPr>
  </w:style>
  <w:style w:type="paragraph" w:styleId="xl75" w:customStyle="1">
    <w:name w:val="xl75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76" w:customStyle="1">
    <w:name w:val="xl76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77" w:customStyle="1">
    <w:name w:val="xl77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sz w:val="24"/>
      <w:szCs w:val="24"/>
    </w:rPr>
  </w:style>
  <w:style w:type="paragraph" w:styleId="xl78" w:customStyle="1">
    <w:name w:val="xl78"/>
    <w:basedOn w:val="Normal"/>
    <w:qFormat/>
    <w:rsid w:val="00961821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sz w:val="24"/>
      <w:szCs w:val="24"/>
    </w:rPr>
  </w:style>
  <w:style w:type="paragraph" w:styleId="xl79" w:customStyle="1">
    <w:name w:val="xl79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sz w:val="18"/>
      <w:szCs w:val="18"/>
    </w:rPr>
  </w:style>
  <w:style w:type="paragraph" w:styleId="xl80" w:customStyle="1">
    <w:name w:val="xl80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894613"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rsid w:val="00e616e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" w:customStyle="1">
    <w:name w:val="Обычный1"/>
    <w:qFormat/>
    <w:rsid w:val="00d33309"/>
    <w:pPr>
      <w:widowControl/>
      <w:suppressAutoHyphens w:val="true"/>
      <w:bidi w:val="0"/>
      <w:spacing w:lineRule="atLeast" w:line="10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ar-SA" w:val="ru-RU" w:bidi="ar-SA"/>
    </w:rPr>
  </w:style>
  <w:style w:type="paragraph" w:styleId="Style22" w:customStyle="1">
    <w:name w:val="Содержимое врезки"/>
    <w:basedOn w:val="Normal"/>
    <w:qFormat/>
    <w:rsid w:val="001b5f08"/>
    <w:pPr/>
    <w:rPr/>
  </w:style>
  <w:style w:type="paragraph" w:styleId="Style23" w:customStyle="1">
    <w:name w:val="Содержимое таблицы"/>
    <w:basedOn w:val="Normal"/>
    <w:qFormat/>
    <w:rsid w:val="001b5f08"/>
    <w:pPr>
      <w:widowControl w:val="false"/>
      <w:suppressLineNumbers/>
    </w:pPr>
    <w:rPr/>
  </w:style>
  <w:style w:type="paragraph" w:styleId="Style24" w:customStyle="1">
    <w:name w:val="Заголовок таблицы"/>
    <w:basedOn w:val="Style23"/>
    <w:qFormat/>
    <w:rsid w:val="001b5f08"/>
    <w:pPr>
      <w:jc w:val="center"/>
    </w:pPr>
    <w:rPr>
      <w:b/>
      <w:bCs/>
    </w:rPr>
  </w:style>
  <w:style w:type="paragraph" w:styleId="user2" w:customStyle="1">
    <w:name w:val="Содержимое врезки (user)"/>
    <w:basedOn w:val="Normal"/>
    <w:qFormat/>
    <w:rsid w:val="006a7c3e"/>
    <w:pPr/>
    <w:rPr/>
  </w:style>
  <w:style w:type="numbering" w:styleId="Style25" w:customStyle="1">
    <w:name w:val="Без списка"/>
    <w:uiPriority w:val="99"/>
    <w:semiHidden/>
    <w:unhideWhenUsed/>
    <w:qFormat/>
    <w:rsid w:val="001b5f08"/>
  </w:style>
  <w:style w:type="numbering" w:styleId="user3" w:customStyle="1">
    <w:name w:val="Без списка (user)"/>
    <w:uiPriority w:val="99"/>
    <w:semiHidden/>
    <w:unhideWhenUsed/>
    <w:qFormat/>
    <w:rsid w:val="006a7c3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7">
    <w:name w:val="Table Grid"/>
    <w:basedOn w:val="a1"/>
    <w:uiPriority w:val="99"/>
    <w:rsid w:val="00e3070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roszdravnadzor.gov.ru/services/mi_prices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076210-82F7-4402-8131-FE0C37A88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LibreOffice/26.2.4.2$Windows_X86_64 LibreOffice_project/0229ac93fcf0d7cbc6376066c6f35021cef002dc</Application>
  <AppVersion>15.0000</AppVersion>
  <Pages>1</Pages>
  <Words>584</Words>
  <Characters>3912</Characters>
  <CharactersWithSpaces>4447</CharactersWithSpaces>
  <Paragraphs>81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2025-12-24T11:27:00Z</dcterms:created>
  <dc:creator>Костюков А.А.</dc:creator>
  <dc:description/>
  <dc:language>ru-RU</dc:language>
  <cp:lastModifiedBy/>
  <cp:lastPrinted>2025-12-24T09:48:00Z</cp:lastPrinted>
  <dcterms:modified xsi:type="dcterms:W3CDTF">2026-07-27T15:02:09Z</dcterms:modified>
  <cp:revision>5</cp:revision>
  <dc:subject>автозапчасти</dc:subject>
  <dc:title>Приложение №2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