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spacing w:lineRule="atLeast" w:line="0" w:before="0" w:after="0"/>
        <w:jc w:val="center"/>
        <w:rPr>
          <w:rFonts w:ascii="Times New Roman" w:hAnsi="Times New Roman"/>
          <w:i w:val="false"/>
          <w:i w:val="false"/>
          <w:iCs w:val="false"/>
          <w:sz w:val="24"/>
          <w:szCs w:val="24"/>
        </w:rPr>
      </w:pPr>
      <w:r>
        <w:rPr>
          <w:rFonts w:ascii="Times New Roman" w:hAnsi="Times New Roman"/>
          <w:i w:val="false"/>
          <w:iCs w:val="false"/>
          <w:sz w:val="24"/>
          <w:szCs w:val="24"/>
        </w:rPr>
        <w:t>КОНТРАКТ №_______</w:t>
      </w:r>
    </w:p>
    <w:p>
      <w:pPr>
        <w:pStyle w:val="Normal"/>
        <w:shd w:val="clear" w:color="auto" w:fill="FFFFFF"/>
        <w:spacing w:lineRule="atLeast" w:line="0"/>
        <w:jc w:val="center"/>
        <w:rPr>
          <w:b/>
          <w:bCs/>
          <w:color w:val="000000"/>
        </w:rPr>
      </w:pPr>
      <w:r>
        <w:rPr>
          <w:b/>
          <w:bCs/>
          <w:color w:val="000000"/>
        </w:rPr>
        <w:t>на поставку нефтепродуктов</w:t>
      </w:r>
    </w:p>
    <w:p>
      <w:pPr>
        <w:pStyle w:val="Normal"/>
        <w:spacing w:lineRule="atLeast" w:line="0"/>
        <w:jc w:val="center"/>
        <w:rPr>
          <w:b/>
          <w:bCs/>
          <w:lang w:eastAsia="en-US"/>
        </w:rPr>
      </w:pPr>
      <w:r>
        <w:rPr>
          <w:b/>
          <w:bCs/>
          <w:lang w:eastAsia="en-US"/>
        </w:rPr>
      </w:r>
    </w:p>
    <w:p>
      <w:pPr>
        <w:pStyle w:val="Normal"/>
        <w:spacing w:lineRule="atLeast" w:line="0"/>
        <w:jc w:val="center"/>
        <w:rPr>
          <w:b/>
          <w:bCs/>
          <w:lang w:eastAsia="en-US"/>
        </w:rPr>
      </w:pPr>
      <w:r>
        <w:rPr>
          <w:b/>
          <w:color w:val="000000"/>
        </w:rPr>
        <w:t xml:space="preserve">ИКЗ: </w:t>
      </w:r>
      <w:r>
        <w:rPr>
          <w:b/>
          <w:color w:val="000000"/>
          <w:u w:val="none"/>
        </w:rPr>
        <w:t>26293030130129303010010000300000000244</w:t>
      </w:r>
    </w:p>
    <w:p>
      <w:pPr>
        <w:pStyle w:val="Normal"/>
        <w:shd w:val="clear" w:color="auto" w:fill="FFFFFF"/>
        <w:tabs>
          <w:tab w:val="clear" w:pos="708"/>
          <w:tab w:val="left" w:pos="7690" w:leader="none"/>
          <w:tab w:val="left" w:pos="9115" w:leader="underscore"/>
        </w:tabs>
        <w:spacing w:lineRule="atLeast" w:line="0"/>
        <w:jc w:val="both"/>
        <w:rPr>
          <w:color w:val="000000"/>
          <w:u w:val="none"/>
        </w:rPr>
      </w:pPr>
      <w:r>
        <w:rPr>
          <w:color w:val="000000"/>
          <w:u w:val="none"/>
        </w:rPr>
      </w:r>
    </w:p>
    <w:p>
      <w:pPr>
        <w:pStyle w:val="Normal"/>
        <w:shd w:val="clear" w:color="auto" w:fill="FFFFFF"/>
        <w:tabs>
          <w:tab w:val="clear" w:pos="708"/>
          <w:tab w:val="left" w:pos="7690" w:leader="none"/>
          <w:tab w:val="left" w:pos="9115" w:leader="underscore"/>
        </w:tabs>
        <w:spacing w:lineRule="atLeast" w:line="0"/>
        <w:jc w:val="both"/>
        <w:rPr>
          <w:b/>
          <w:bCs/>
          <w:color w:val="000000"/>
        </w:rPr>
      </w:pPr>
      <w:r>
        <w:rPr>
          <w:b/>
          <w:bCs/>
          <w:color w:val="000000"/>
        </w:rPr>
        <w:t>г. Донецк                                                                                                                «____»  августа 2026 г.</w:t>
      </w:r>
    </w:p>
    <w:p>
      <w:pPr>
        <w:pStyle w:val="Normal"/>
        <w:shd w:val="clear" w:color="auto" w:fill="FFFFFF"/>
        <w:tabs>
          <w:tab w:val="clear" w:pos="708"/>
          <w:tab w:val="left" w:pos="7690" w:leader="none"/>
          <w:tab w:val="left" w:pos="9115" w:leader="underscore"/>
        </w:tabs>
        <w:spacing w:lineRule="atLeast" w:line="0"/>
        <w:jc w:val="both"/>
        <w:rPr>
          <w:b/>
          <w:bCs/>
          <w:color w:val="000000"/>
        </w:rPr>
      </w:pPr>
      <w:r>
        <w:rPr>
          <w:b/>
          <w:bCs/>
          <w:color w:val="000000"/>
        </w:rPr>
      </w:r>
    </w:p>
    <w:p>
      <w:pPr>
        <w:pStyle w:val="Normal"/>
        <w:spacing w:lineRule="atLeast" w:line="0"/>
        <w:ind w:firstLine="708"/>
        <w:jc w:val="both"/>
        <w:rPr>
          <w:lang w:eastAsia="en-US"/>
        </w:rPr>
      </w:pPr>
      <w:r>
        <w:rPr>
          <w:b/>
          <w:bCs/>
        </w:rPr>
        <w:t>ФЕДЕРАЛЬНОЕ ГОСУДАРСТВЕННОЕ БЮДЖЕТНОЕ ОБРАЗОВАТЕЛЬНОЕ УЧРЕЖДЕНИЕ ВЫСШЕГО ОБРАЗОВАНИЯ «ДОНЕЦКИЙ НАЦИОНАЛЬНЫЙ ТЕХНИЧЕСКИЙ</w:t>
      </w:r>
      <w:r>
        <w:rPr/>
        <w:t xml:space="preserve"> </w:t>
      </w:r>
      <w:r>
        <w:rPr>
          <w:b/>
          <w:bCs/>
        </w:rPr>
        <w:t>УНИВЕРСИТЕТ»</w:t>
      </w:r>
      <w:r>
        <w:rPr>
          <w:b/>
          <w:bCs/>
          <w:color w:val="000000"/>
        </w:rPr>
        <w:t xml:space="preserve"> (ФГБОУ ВО «</w:t>
      </w:r>
      <w:r>
        <w:rPr>
          <w:b/>
          <w:bCs/>
        </w:rPr>
        <w:t>ДОННТУ»</w:t>
      </w:r>
      <w:r>
        <w:rPr>
          <w:b/>
          <w:bCs/>
          <w:color w:val="000000"/>
        </w:rPr>
        <w:t>),</w:t>
      </w:r>
      <w:r>
        <w:rPr>
          <w:color w:val="000000"/>
        </w:rPr>
        <w:t xml:space="preserve"> именуемый в дальнейшем «</w:t>
      </w:r>
      <w:r>
        <w:rPr>
          <w:b/>
          <w:bCs/>
          <w:color w:val="000000"/>
        </w:rPr>
        <w:t>Заказчик</w:t>
      </w:r>
      <w:r>
        <w:rPr>
          <w:color w:val="000000"/>
        </w:rPr>
        <w:t>», в лице Р</w:t>
      </w:r>
      <w:r>
        <w:rPr/>
        <w:t>ектора Аноприенко Александра Яковлевича, действ</w:t>
      </w:r>
      <w:r>
        <w:rPr>
          <w:color w:val="000000"/>
        </w:rPr>
        <w:t>ующего</w:t>
      </w:r>
      <w:r>
        <w:rPr/>
        <w:t xml:space="preserve"> на основании Устава</w:t>
      </w:r>
      <w:r>
        <w:rPr>
          <w:color w:val="000000"/>
        </w:rPr>
        <w:t xml:space="preserve">, </w:t>
      </w:r>
      <w:r>
        <w:rPr>
          <w:lang w:eastAsia="en-US"/>
        </w:rPr>
        <w:t xml:space="preserve">с одной стороны, и </w:t>
      </w:r>
    </w:p>
    <w:p>
      <w:pPr>
        <w:pStyle w:val="Normal"/>
        <w:spacing w:lineRule="atLeast" w:line="0"/>
        <w:ind w:firstLine="708"/>
        <w:jc w:val="both"/>
        <w:rPr>
          <w:lang w:eastAsia="en-US"/>
        </w:rPr>
      </w:pPr>
      <w:r>
        <w:rPr>
          <w:b/>
          <w:lang w:eastAsia="en-US"/>
        </w:rPr>
        <w:t>________________________________________________________________________________________________________________________</w:t>
      </w:r>
      <w:bookmarkStart w:id="0" w:name="_Hlk176263822"/>
      <w:r>
        <w:rPr>
          <w:lang w:eastAsia="en-US"/>
        </w:rPr>
        <w:t>,</w:t>
      </w:r>
      <w:bookmarkEnd w:id="0"/>
      <w:r>
        <w:rPr>
          <w:lang w:eastAsia="en-US"/>
        </w:rPr>
        <w:t xml:space="preserve"> именуемое в дальнейшем </w:t>
      </w:r>
      <w:r>
        <w:rPr>
          <w:b/>
          <w:lang w:eastAsia="en-US"/>
        </w:rPr>
        <w:t>«Поставщик»</w:t>
      </w:r>
      <w:r>
        <w:rPr>
          <w:lang w:eastAsia="en-US"/>
        </w:rPr>
        <w:t>, в лице _______________________________________, действующего на основании _______________, с другой стороны, вместе именуемые в дальнейшем «</w:t>
      </w:r>
      <w:r>
        <w:rPr>
          <w:color w:val="000000"/>
          <w:lang w:eastAsia="en-US"/>
        </w:rPr>
        <w:t xml:space="preserve">Стороны», </w:t>
      </w:r>
      <w:r>
        <w:rPr/>
        <w:t xml:space="preserve">а по отдельности «Сторона», </w:t>
      </w:r>
      <w:r>
        <w:rPr>
          <w:color w:val="000000"/>
        </w:rPr>
        <w:t>в соответствии с п. 4 ч. 1 ст. 93  Федерального закона Российской Федерации от 5 апреля 2013 г. № 44-ФЗ «О контрактной системе в сфере закупок товаров, работ, услуг для обеспечения государственных и муниципальных нужд» (далее – «Закон № 44-ФЗ») и Постановлением Правительства Российской Федерации от 31.12.2022 № 2559 «О мерах по обеспечению режима военного положения и об особенностях планирования и осуществления закупок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 и о внесении изменений в некоторые акты Правительства Российской Федерации»,</w:t>
      </w:r>
      <w:r>
        <w:rPr>
          <w:rFonts w:eastAsia="Calibri"/>
          <w:lang w:eastAsia="ar-SA"/>
        </w:rPr>
        <w:t xml:space="preserve"> и о внесении изменений в некоторые акты Правительства Российской Федерации», Приказа Федеральной антимонопольной службы от 22.11.2024 № 894/24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топлива моторного, включая автомобильный и авиационный бензин»</w:t>
      </w:r>
      <w:r>
        <w:rPr>
          <w:color w:val="000000"/>
        </w:rPr>
        <w:t xml:space="preserve"> заключили настоящий Контракт о нижеследующем:</w:t>
      </w:r>
    </w:p>
    <w:p>
      <w:pPr>
        <w:pStyle w:val="Normal"/>
        <w:spacing w:lineRule="atLeast" w:line="0"/>
        <w:jc w:val="both"/>
        <w:rPr/>
      </w:pPr>
      <w:r>
        <w:rPr/>
      </w:r>
    </w:p>
    <w:p>
      <w:pPr>
        <w:pStyle w:val="Normal"/>
        <w:spacing w:lineRule="atLeast" w:line="0"/>
        <w:ind w:firstLine="567"/>
        <w:jc w:val="center"/>
        <w:rPr>
          <w:b/>
          <w:caps/>
          <w:lang w:val="uk-UA" w:eastAsia="ar-SA"/>
        </w:rPr>
      </w:pPr>
      <w:r>
        <w:rPr>
          <w:b/>
          <w:caps/>
          <w:lang w:val="uk-UA" w:eastAsia="ar-SA"/>
        </w:rPr>
        <w:t>ТЕРМИНЫ И СОКРАЩЕНИЯ, ИСПОЛЬЗУЕМЫЕ В контракте</w:t>
      </w:r>
    </w:p>
    <w:p>
      <w:pPr>
        <w:pStyle w:val="NormalWeb"/>
        <w:spacing w:lineRule="atLeast" w:line="0" w:beforeAutospacing="0" w:before="0" w:afterAutospacing="0" w:after="0"/>
        <w:jc w:val="both"/>
        <w:rPr>
          <w:rStyle w:val="Emphasis"/>
          <w:i w:val="false"/>
          <w:i w:val="false"/>
          <w:iCs w:val="false"/>
        </w:rPr>
      </w:pPr>
      <w:r>
        <w:rPr>
          <w:rStyle w:val="Emphasis"/>
          <w:b/>
          <w:bCs/>
          <w:i w:val="false"/>
          <w:iCs w:val="false"/>
        </w:rPr>
        <w:t>АЗС</w:t>
      </w:r>
      <w:r>
        <w:rPr>
          <w:rStyle w:val="Emphasis"/>
          <w:i w:val="false"/>
          <w:iCs w:val="false"/>
        </w:rPr>
        <w:t xml:space="preserve"> – комплекс зданий, сооружений, технологического оборудования, предназначенный для приема, хранения нефтепродуктов и заправки ими автотранспорта.</w:t>
      </w:r>
    </w:p>
    <w:p>
      <w:pPr>
        <w:pStyle w:val="NormalWeb"/>
        <w:spacing w:lineRule="atLeast" w:line="0" w:beforeAutospacing="0" w:before="0" w:afterAutospacing="0" w:after="0"/>
        <w:jc w:val="both"/>
        <w:rPr>
          <w:rStyle w:val="Emphasis"/>
          <w:i w:val="false"/>
          <w:i w:val="false"/>
          <w:iCs w:val="false"/>
        </w:rPr>
      </w:pPr>
      <w:r>
        <w:rPr>
          <w:rStyle w:val="Emphasis"/>
          <w:b/>
          <w:bCs/>
          <w:i w:val="false"/>
          <w:iCs w:val="false"/>
        </w:rPr>
        <w:t>АГЗС</w:t>
      </w:r>
      <w:r>
        <w:rPr>
          <w:rStyle w:val="Emphasis"/>
          <w:i w:val="false"/>
          <w:iCs w:val="false"/>
        </w:rPr>
        <w:t xml:space="preserve"> – автогазозаправочная станция.</w:t>
      </w:r>
    </w:p>
    <w:p>
      <w:pPr>
        <w:pStyle w:val="NormalWeb"/>
        <w:spacing w:lineRule="atLeast" w:line="0" w:beforeAutospacing="0" w:before="0" w:afterAutospacing="0" w:after="0"/>
        <w:jc w:val="both"/>
        <w:rPr>
          <w:rStyle w:val="Emphasis"/>
          <w:i w:val="false"/>
          <w:i w:val="false"/>
          <w:iCs w:val="false"/>
        </w:rPr>
      </w:pPr>
      <w:r>
        <w:rPr>
          <w:rStyle w:val="Emphasis"/>
          <w:b/>
          <w:bCs/>
          <w:i w:val="false"/>
          <w:iCs w:val="false"/>
        </w:rPr>
        <w:t>АГЗП</w:t>
      </w:r>
      <w:r>
        <w:rPr>
          <w:rStyle w:val="Emphasis"/>
          <w:i w:val="false"/>
          <w:iCs w:val="false"/>
        </w:rPr>
        <w:t xml:space="preserve"> – автогазозаправочный пункт.</w:t>
      </w:r>
    </w:p>
    <w:p>
      <w:pPr>
        <w:pStyle w:val="NormalWeb"/>
        <w:spacing w:lineRule="atLeast" w:line="0" w:beforeAutospacing="0" w:before="0" w:afterAutospacing="0" w:after="0"/>
        <w:jc w:val="both"/>
        <w:rPr>
          <w:rStyle w:val="Emphasis"/>
          <w:i w:val="false"/>
          <w:i w:val="false"/>
          <w:iCs w:val="false"/>
        </w:rPr>
      </w:pPr>
      <w:r>
        <w:rPr>
          <w:rStyle w:val="Emphasis"/>
          <w:b/>
          <w:bCs/>
          <w:i w:val="false"/>
          <w:iCs w:val="false"/>
        </w:rPr>
        <w:t>Нефтепродукты</w:t>
      </w:r>
      <w:r>
        <w:rPr>
          <w:rStyle w:val="Emphasis"/>
          <w:i w:val="false"/>
          <w:iCs w:val="false"/>
        </w:rPr>
        <w:t xml:space="preserve"> – моторные бензины марки: АИ-95, АИ-95 Евро, АИ-95 Премиум, АИ-92, АИ 80, дизельное топливо, сжиженный углеводородный газ топливный, марка ПБТ (пропан-бутан технический), топливо для реактивных двигателей марки РТ.</w:t>
      </w:r>
    </w:p>
    <w:p>
      <w:pPr>
        <w:pStyle w:val="NormalWeb"/>
        <w:spacing w:lineRule="atLeast" w:line="0" w:beforeAutospacing="0" w:before="0" w:afterAutospacing="0" w:after="0"/>
        <w:jc w:val="both"/>
        <w:rPr/>
      </w:pPr>
      <w:r>
        <w:rPr>
          <w:b/>
        </w:rPr>
        <w:t xml:space="preserve">Партия нефтепродуктов </w:t>
      </w:r>
      <w:r>
        <w:rPr>
          <w:rStyle w:val="Emphasis"/>
          <w:i w:val="false"/>
          <w:iCs w:val="false"/>
        </w:rPr>
        <w:t>–</w:t>
      </w:r>
      <w:r>
        <w:rPr/>
        <w:t>нефтепродукты, которые должны быть переданы в собственность Заказчика по УПД в номенклатуре, количестве и цене, указанной в оплаченных счетах Поставщика или Дополнительных соглашениях.</w:t>
      </w:r>
    </w:p>
    <w:p>
      <w:pPr>
        <w:pStyle w:val="NormalWeb"/>
        <w:spacing w:lineRule="atLeast" w:line="0" w:beforeAutospacing="0" w:before="0" w:afterAutospacing="0" w:after="0"/>
        <w:jc w:val="both"/>
        <w:rPr/>
      </w:pPr>
      <w:r>
        <w:rPr>
          <w:b/>
        </w:rPr>
        <w:t xml:space="preserve">Передача нефтепродуктов </w:t>
      </w:r>
      <w:r>
        <w:rPr>
          <w:rStyle w:val="Emphasis"/>
        </w:rPr>
        <w:t xml:space="preserve">– </w:t>
      </w:r>
      <w:r>
        <w:rPr/>
        <w:t>отпуск нефтепродуктов на АГЗС/АГЗП/АЗС при заправке автотранспорта (мототранспорта).</w:t>
      </w:r>
    </w:p>
    <w:p>
      <w:pPr>
        <w:pStyle w:val="NormalWeb"/>
        <w:spacing w:lineRule="atLeast" w:line="0" w:beforeAutospacing="0" w:before="0" w:afterAutospacing="0" w:after="0"/>
        <w:jc w:val="both"/>
        <w:rPr/>
      </w:pPr>
      <w:r>
        <w:rPr/>
      </w:r>
    </w:p>
    <w:p>
      <w:pPr>
        <w:pStyle w:val="NormalWeb"/>
        <w:spacing w:lineRule="atLeast" w:line="0" w:beforeAutospacing="0" w:before="0" w:afterAutospacing="0" w:after="0"/>
        <w:jc w:val="center"/>
        <w:rPr>
          <w:caps/>
          <w:lang w:val="uk-UA"/>
        </w:rPr>
      </w:pPr>
      <w:r>
        <w:rPr>
          <w:b/>
          <w:bCs/>
          <w:caps/>
          <w:lang w:val="uk-UA"/>
        </w:rPr>
        <w:t>1. ПРЕДМЕТ КОНТРАКТА</w:t>
      </w:r>
    </w:p>
    <w:p>
      <w:pPr>
        <w:pStyle w:val="Normal"/>
        <w:tabs>
          <w:tab w:val="clear" w:pos="708"/>
          <w:tab w:val="left" w:pos="0" w:leader="none"/>
        </w:tabs>
        <w:spacing w:lineRule="atLeast" w:line="0"/>
        <w:ind w:firstLine="567"/>
        <w:jc w:val="both"/>
        <w:rPr/>
      </w:pPr>
      <w:r>
        <w:rPr/>
        <w:t xml:space="preserve">1.1. Поставщик обязуется передать в собственность Заказчика нефтепродукты (далее </w:t>
      </w:r>
      <w:r>
        <w:rPr>
          <w:rStyle w:val="Emphasis"/>
        </w:rPr>
        <w:t>–</w:t>
      </w:r>
      <w:r>
        <w:rPr/>
        <w:t xml:space="preserve"> «Нефтепродукты»), по цене и в количестве, указанном в Спецификации (Приложение №1 к Контракту), которая является неотъемлемой частью Контракта, путем передачи бланков-разрешений Поставщика (далее — Талоны), а Заказчик обязуется принять и оплатить поставленные Поставщиком Нефтепродукты  в порядке и на условиях, установленных настоящим Контрактом.</w:t>
      </w:r>
    </w:p>
    <w:p>
      <w:pPr>
        <w:pStyle w:val="Normal"/>
        <w:tabs>
          <w:tab w:val="clear" w:pos="708"/>
          <w:tab w:val="left" w:pos="0" w:leader="none"/>
        </w:tabs>
        <w:spacing w:lineRule="atLeast" w:line="0"/>
        <w:ind w:firstLine="567"/>
        <w:jc w:val="both"/>
        <w:rPr/>
      </w:pPr>
      <w:r>
        <w:rPr/>
        <w:t>1.2. Получение Заказчиком нефтепродуктов осуществляется при предъявлении талонов на нефтепродукты, которые предоставляет Поставщик согласно п. 3.2 настоящего Контракта. Талоны являются средством учета операций получения нефтепродуктов Заказчиком.</w:t>
      </w:r>
    </w:p>
    <w:p>
      <w:pPr>
        <w:pStyle w:val="Normal"/>
        <w:tabs>
          <w:tab w:val="clear" w:pos="708"/>
          <w:tab w:val="left" w:pos="540" w:leader="none"/>
        </w:tabs>
        <w:spacing w:lineRule="atLeast" w:line="0"/>
        <w:ind w:firstLine="567"/>
        <w:jc w:val="both"/>
        <w:rPr/>
      </w:pPr>
      <w:r>
        <w:rPr/>
        <w:t>1.3. Качество Нефтепродуктов должно соответствовать ГОСТ или ТУ на данный вид Нефтепродукта и подтверждаться сертификатом соответствия/качества завода-изготовителя Нефтепродуктов.</w:t>
      </w:r>
    </w:p>
    <w:p>
      <w:pPr>
        <w:pStyle w:val="Normal"/>
        <w:tabs>
          <w:tab w:val="clear" w:pos="708"/>
          <w:tab w:val="left" w:pos="540" w:leader="none"/>
        </w:tabs>
        <w:spacing w:lineRule="atLeast" w:line="0"/>
        <w:ind w:firstLine="567"/>
        <w:jc w:val="both"/>
        <w:rPr/>
      </w:pPr>
      <w:r>
        <w:rPr/>
        <w:t xml:space="preserve">1.4. Поставщик гарантирует, что Нефтепродукты принадлежат ему на праве собственности, не находятся под запретом отчуждения, арестом, не являются предметом залога и другим средством обеспечения выполнения обязательств перед любыми физическими или юридическими лицами, государственными органами и государством, </w:t>
        <w:br/>
        <w:t>а также не являются предметом любого другого отягощения или ограничения, предусмотренного действующим законодательством Российской Федерации.</w:t>
      </w:r>
    </w:p>
    <w:p>
      <w:pPr>
        <w:pStyle w:val="Normal"/>
        <w:tabs>
          <w:tab w:val="clear" w:pos="708"/>
          <w:tab w:val="left" w:pos="540" w:leader="none"/>
        </w:tabs>
        <w:spacing w:lineRule="atLeast" w:line="0"/>
        <w:ind w:firstLine="567"/>
        <w:jc w:val="both"/>
        <w:rPr/>
      </w:pPr>
      <w:r>
        <w:rPr/>
        <w:t>1.5. Точки обслуживания, через которые будет осуществляться выборка Нефтепродуктов, определяется Заказчиком самостоятельно из Списка АГЗС/АГЗП/АЗС, определенных Поставщиком в Приложении №2 к Контракту, исходя из удобства получения Нефтепродуктов на территории ДНР в г. Донецке.</w:t>
      </w:r>
    </w:p>
    <w:p>
      <w:pPr>
        <w:pStyle w:val="Normal"/>
        <w:tabs>
          <w:tab w:val="clear" w:pos="708"/>
          <w:tab w:val="left" w:pos="540" w:leader="none"/>
        </w:tabs>
        <w:spacing w:lineRule="atLeast" w:line="0"/>
        <w:ind w:firstLine="567"/>
        <w:jc w:val="both"/>
        <w:rPr/>
      </w:pPr>
      <w:r>
        <w:rPr/>
      </w:r>
    </w:p>
    <w:p>
      <w:pPr>
        <w:pStyle w:val="Normal"/>
        <w:tabs>
          <w:tab w:val="clear" w:pos="708"/>
          <w:tab w:val="left" w:pos="540" w:leader="none"/>
        </w:tabs>
        <w:spacing w:lineRule="atLeast" w:line="0"/>
        <w:jc w:val="center"/>
        <w:rPr>
          <w:b/>
          <w:bCs/>
          <w:caps/>
          <w:lang w:val="uk-UA"/>
        </w:rPr>
      </w:pPr>
      <w:r>
        <w:rPr>
          <w:b/>
          <w:bCs/>
          <w:caps/>
          <w:lang w:val="uk-UA"/>
        </w:rPr>
        <w:t>2. ЦЕНА НЕФТЕПРОДУКТОВ И ПОРЯДОК РАСЧЕТОВ</w:t>
      </w:r>
    </w:p>
    <w:p>
      <w:pPr>
        <w:pStyle w:val="Normal"/>
        <w:spacing w:lineRule="atLeast" w:line="0"/>
        <w:ind w:firstLine="567"/>
        <w:jc w:val="both"/>
        <w:rPr>
          <w:b/>
          <w:bCs/>
          <w:color w:val="000000"/>
        </w:rPr>
      </w:pPr>
      <w:r>
        <w:rPr>
          <w:lang w:val="uk-UA"/>
        </w:rPr>
        <w:t>2.1. </w:t>
      </w:r>
      <w:r>
        <w:rPr>
          <w:b/>
          <w:bCs/>
          <w:color w:val="000000"/>
        </w:rPr>
        <w:t xml:space="preserve">Цена Контракта составляет: </w:t>
      </w:r>
      <w:r>
        <w:rPr>
          <w:b/>
          <w:bCs/>
          <w:color w:val="000000"/>
          <w:lang w:eastAsia="en-US"/>
        </w:rPr>
        <w:t xml:space="preserve">___________ рублей </w:t>
      </w:r>
      <w:r>
        <w:rPr>
          <w:b/>
          <w:bCs/>
          <w:color w:val="000000"/>
        </w:rPr>
        <w:t xml:space="preserve"> (_____________________________________________), в том числе НДС 22% - ___________ рублей (_____________________________________________). </w:t>
      </w:r>
    </w:p>
    <w:p>
      <w:pPr>
        <w:pStyle w:val="Normal"/>
        <w:spacing w:lineRule="atLeast" w:line="0"/>
        <w:ind w:firstLine="567"/>
        <w:jc w:val="both"/>
        <w:rPr>
          <w:color w:val="000000"/>
        </w:rPr>
      </w:pPr>
      <w:r>
        <w:rPr/>
        <w:t>2.2. </w:t>
      </w:r>
      <w:r>
        <w:rPr>
          <w:color w:val="000000"/>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pPr>
        <w:pStyle w:val="Normal"/>
        <w:spacing w:lineRule="atLeast" w:line="0"/>
        <w:ind w:firstLine="567"/>
        <w:jc w:val="both"/>
        <w:rPr/>
      </w:pPr>
      <w:r>
        <w:rPr/>
        <w:t xml:space="preserve">В цену Контракта (в стоимость Нефтепродуктов) включены все налоги, сборы и другие обязательные платежи, предусмотренные законодательством Российской Федерации </w:t>
        <w:br/>
        <w:t>(в т.ч. НДС), все затраты (расходы), связанные с изготовлением (выпуском в обращение), сертификацией товара, а также хранением, транспортировкой (перевозкой), расходы, связанные с обслуживанием, выпуском, обеспечением информационных услуг.</w:t>
      </w:r>
    </w:p>
    <w:p>
      <w:pPr>
        <w:pStyle w:val="Normal"/>
        <w:spacing w:lineRule="atLeast" w:line="0"/>
        <w:ind w:firstLine="567"/>
        <w:jc w:val="both"/>
        <w:rPr/>
      </w:pPr>
      <w:r>
        <w:rPr>
          <w:lang w:val="uk-UA"/>
        </w:rPr>
        <w:t>2.3. </w:t>
      </w:r>
      <w:r>
        <w:rPr/>
        <w:t xml:space="preserve">Оплата поставленных нефтепродуктов производится безналичным расчетом, путем перечисления денежных средств на расчетный счет Поставщика, в течение 10 (десяти) рабочих дней с даты подписания Заказчиком универсального передаточного документа (УПД) и передачи Талонов на весь объем закупки по акту приема-передачи </w:t>
      </w:r>
      <w:r>
        <w:rPr>
          <w:color w:val="000000"/>
        </w:rPr>
        <w:t xml:space="preserve">по мере поступления </w:t>
      </w:r>
      <w:r>
        <w:rPr/>
        <w:t xml:space="preserve">бюджетного финансирования. </w:t>
      </w:r>
    </w:p>
    <w:p>
      <w:pPr>
        <w:pStyle w:val="Normal"/>
        <w:spacing w:lineRule="atLeast" w:line="0"/>
        <w:ind w:firstLine="567"/>
        <w:jc w:val="both"/>
        <w:rPr/>
      </w:pPr>
      <w:r>
        <w:rPr/>
        <w:t xml:space="preserve">В случае задержки бюджетного финансирования оплата осуществляется Заказчиком в течение 5 (пяти) рабочих дней со дня получения финансирования на счет Поставщика. </w:t>
      </w:r>
    </w:p>
    <w:p>
      <w:pPr>
        <w:pStyle w:val="Normal"/>
        <w:spacing w:lineRule="atLeast" w:line="0"/>
        <w:ind w:firstLine="567"/>
        <w:jc w:val="both"/>
        <w:rPr/>
      </w:pPr>
      <w:r>
        <w:rPr/>
        <w:t>2.4. Датой оплаты за поставленные Нефтепродукты считается дата зачисления (поступления) денежных средств на текущий счет Поставщика.</w:t>
      </w:r>
    </w:p>
    <w:p>
      <w:pPr>
        <w:pStyle w:val="Normal"/>
        <w:tabs>
          <w:tab w:val="clear" w:pos="708"/>
          <w:tab w:val="left" w:pos="5840" w:leader="none"/>
        </w:tabs>
        <w:spacing w:lineRule="atLeast" w:line="0"/>
        <w:ind w:firstLine="567"/>
        <w:jc w:val="both"/>
        <w:rPr/>
      </w:pPr>
      <w:r>
        <w:rPr/>
        <w:t>2.5. Источник финансирования Контракта: средства бюджетных учреждений, КВР - 244.</w:t>
      </w:r>
    </w:p>
    <w:p>
      <w:pPr>
        <w:pStyle w:val="Normal"/>
        <w:tabs>
          <w:tab w:val="clear" w:pos="708"/>
          <w:tab w:val="left" w:pos="540" w:leader="none"/>
        </w:tabs>
        <w:spacing w:lineRule="atLeast" w:line="0"/>
        <w:jc w:val="center"/>
        <w:rPr>
          <w:b/>
          <w:bCs/>
          <w:caps/>
          <w:lang w:val="uk-UA"/>
        </w:rPr>
      </w:pPr>
      <w:r>
        <w:rPr>
          <w:b/>
          <w:bCs/>
          <w:caps/>
          <w:lang w:val="uk-UA"/>
        </w:rPr>
      </w:r>
    </w:p>
    <w:p>
      <w:pPr>
        <w:pStyle w:val="Normal"/>
        <w:tabs>
          <w:tab w:val="clear" w:pos="708"/>
          <w:tab w:val="left" w:pos="540" w:leader="none"/>
        </w:tabs>
        <w:spacing w:lineRule="atLeast" w:line="0"/>
        <w:jc w:val="center"/>
        <w:rPr>
          <w:b/>
          <w:bCs/>
          <w:caps/>
          <w:lang w:val="uk-UA"/>
        </w:rPr>
      </w:pPr>
      <w:r>
        <w:rPr>
          <w:b/>
          <w:bCs/>
          <w:caps/>
          <w:lang w:val="uk-UA"/>
        </w:rPr>
        <w:t>3.  ПОРЯДОК ПЕРЕДАЧИ НЕФТЕПРОДУКТОВ</w:t>
      </w:r>
    </w:p>
    <w:p>
      <w:pPr>
        <w:pStyle w:val="Normal"/>
        <w:tabs>
          <w:tab w:val="clear" w:pos="708"/>
          <w:tab w:val="left" w:pos="540" w:leader="none"/>
        </w:tabs>
        <w:spacing w:lineRule="atLeast" w:line="0"/>
        <w:jc w:val="center"/>
        <w:rPr>
          <w:b/>
          <w:bCs/>
          <w:caps/>
        </w:rPr>
      </w:pPr>
      <w:r>
        <w:rPr>
          <w:b/>
          <w:bCs/>
          <w:caps/>
          <w:lang w:val="uk-UA"/>
        </w:rPr>
        <w:t>И ПЕРЕХОД ПРАВА СОБСТВЕННОСТИ</w:t>
      </w:r>
    </w:p>
    <w:p>
      <w:pPr>
        <w:pStyle w:val="Normal"/>
        <w:tabs>
          <w:tab w:val="clear" w:pos="708"/>
          <w:tab w:val="left" w:pos="0" w:leader="none"/>
        </w:tabs>
        <w:spacing w:lineRule="atLeast" w:line="0"/>
        <w:ind w:firstLine="567"/>
        <w:jc w:val="both"/>
        <w:rPr/>
      </w:pPr>
      <w:r>
        <w:rPr>
          <w:lang w:val="uk-UA"/>
        </w:rPr>
        <w:t>3.1. </w:t>
      </w:r>
      <w:r>
        <w:rPr/>
        <w:t>Поставщик передает нефтепродукты Заказчику в порядке и на условиях, определенных настоящим Контрактом.</w:t>
      </w:r>
    </w:p>
    <w:p>
      <w:pPr>
        <w:pStyle w:val="Normal"/>
        <w:tabs>
          <w:tab w:val="clear" w:pos="708"/>
          <w:tab w:val="left" w:pos="0" w:leader="none"/>
        </w:tabs>
        <w:spacing w:lineRule="atLeast" w:line="0"/>
        <w:ind w:firstLine="567"/>
        <w:jc w:val="both"/>
        <w:rPr/>
      </w:pPr>
      <w:r>
        <w:rPr/>
        <w:t>3.2. Объем и сроки поставки Нефтепродуктов указываются Заказчиком в заявке, которая предоставляется Поставщику на электронную почту: ________________________</w:t>
      </w:r>
      <w:bookmarkStart w:id="1" w:name="_Hlk216965725"/>
      <w:r>
        <w:rPr>
          <w:b/>
          <w:bCs/>
          <w:color w:val="000000"/>
          <w:lang w:val="de-CH"/>
        </w:rPr>
        <w:t xml:space="preserve"> </w:t>
      </w:r>
      <w:bookmarkEnd w:id="1"/>
      <w:r>
        <w:rPr/>
        <w:t xml:space="preserve">с последующим предоставлением оригинала Поставщику. </w:t>
      </w:r>
    </w:p>
    <w:p>
      <w:pPr>
        <w:pStyle w:val="Normal"/>
        <w:tabs>
          <w:tab w:val="clear" w:pos="708"/>
          <w:tab w:val="left" w:pos="0" w:leader="none"/>
        </w:tabs>
        <w:spacing w:lineRule="atLeast" w:line="0"/>
        <w:ind w:firstLine="567"/>
        <w:jc w:val="both"/>
        <w:rPr/>
      </w:pPr>
      <w:r>
        <w:rPr/>
        <w:t xml:space="preserve">В рамках исполнения настоящего Контракта Поставщик осуществляет передачу Талонов Заказчику по акту приема-передачи Талонов в течение одного дня с момента получения заявки от Заказчика, с последующим оформлением Заказчиком акта приемки товаров работ и услуг. </w:t>
      </w:r>
    </w:p>
    <w:p>
      <w:pPr>
        <w:pStyle w:val="Normal"/>
        <w:tabs>
          <w:tab w:val="clear" w:pos="708"/>
          <w:tab w:val="left" w:pos="0" w:leader="none"/>
        </w:tabs>
        <w:spacing w:lineRule="atLeast" w:line="0"/>
        <w:ind w:firstLine="567"/>
        <w:jc w:val="both"/>
        <w:rPr/>
      </w:pPr>
      <w:r>
        <w:rPr/>
        <w:t>Талон на нефтепродукты является товарно-распорядительным документом на Нефтепродукты, на основании которого осуществляется отпуск Нефтепродуктов на АГЗС/АГЗП/АЗС. Талон на Нефтепродукты не является расчетным либо платежным документом.</w:t>
      </w:r>
    </w:p>
    <w:p>
      <w:pPr>
        <w:pStyle w:val="Normal"/>
        <w:tabs>
          <w:tab w:val="clear" w:pos="708"/>
          <w:tab w:val="left" w:pos="0" w:leader="none"/>
          <w:tab w:val="left" w:pos="567" w:leader="none"/>
        </w:tabs>
        <w:spacing w:lineRule="atLeast" w:line="0"/>
        <w:jc w:val="both"/>
        <w:rPr/>
      </w:pPr>
      <w:r>
        <w:rPr>
          <w:color w:val="000000"/>
        </w:rPr>
        <w:tab/>
        <w:t>Надлежащим образом оформленный Талон на выдачу Товара изготавливается Поставщиком и содержит следующие реквизиты: логотип, товарный знак и название Поставщика; марка горючего/топлива; количество горючего/топлива, подлежащего отпуску; оттиск даты выдачи талона и оттиск печати Покупателя на оборотной стороне Талона; номер Талона; штрих-код на оборотной стороне Талона. За наличие указанных реквизитов и надлежащее оформление Талона отвечает Поставщик.</w:t>
      </w:r>
    </w:p>
    <w:p>
      <w:pPr>
        <w:pStyle w:val="Normal"/>
        <w:tabs>
          <w:tab w:val="clear" w:pos="708"/>
          <w:tab w:val="left" w:pos="0" w:leader="none"/>
          <w:tab w:val="left" w:pos="567" w:leader="none"/>
        </w:tabs>
        <w:spacing w:lineRule="atLeast" w:line="0"/>
        <w:jc w:val="both"/>
        <w:rPr/>
      </w:pPr>
      <w:r>
        <w:rPr>
          <w:color w:val="000000"/>
        </w:rPr>
        <w:tab/>
        <w:t>Срок действия топливного Талона – 3 (три) месяца с даты выдачи Талона, указанной на оборотной стороне Талона.</w:t>
      </w:r>
    </w:p>
    <w:p>
      <w:pPr>
        <w:pStyle w:val="Normal"/>
        <w:tabs>
          <w:tab w:val="clear" w:pos="708"/>
          <w:tab w:val="left" w:pos="0" w:leader="none"/>
        </w:tabs>
        <w:spacing w:lineRule="atLeast" w:line="0"/>
        <w:ind w:firstLine="567"/>
        <w:jc w:val="both"/>
        <w:rPr/>
      </w:pPr>
      <w:r>
        <w:rPr/>
        <w:t xml:space="preserve">3.3. Право собственности на Нефтепродукты переходит от Поставщика к Заказчику </w:t>
        <w:br/>
        <w:t>с даты поставки Нефтепродуктов. Датой поставки Нефтепродуктов является дата получения Талонов от Поставщика по акту приема-передачи и дата подписания Заказчиком соответствующего универсального передаточного документа (УПД). Количество Нефтепродуктов, указанных в УПД, должно соответствовать количеству Нефтепродуктов, указанных в Талонах. Стороны пришли к соглашению, что в рамках данного Контракта обычным сроком хранения Нефтепродуктов является период с момента получения Заказчиком Талонов по акту приема передачи до окончания срока действия Талонов. Нефтепродукты хранятся на АГЗС/АГЗП/АЗС поставщика до момента фактической передачи их Заказчику.</w:t>
      </w:r>
    </w:p>
    <w:p>
      <w:pPr>
        <w:pStyle w:val="Normal"/>
        <w:tabs>
          <w:tab w:val="clear" w:pos="708"/>
          <w:tab w:val="left" w:pos="0" w:leader="none"/>
        </w:tabs>
        <w:spacing w:lineRule="atLeast" w:line="0"/>
        <w:ind w:firstLine="567"/>
        <w:jc w:val="both"/>
        <w:rPr/>
      </w:pPr>
      <w:r>
        <w:rPr/>
        <w:t>С момента перехода права собственности на Нефтепродукты к Заказчику Нефтепродукты остаются на хранении у Поставщика. Отпуск Нефтепродуктов с хранения осуществляется на основании предъявленных Талонов на Нефтепродукты на АГЗС/АГЗП/АЗС.</w:t>
      </w:r>
    </w:p>
    <w:p>
      <w:pPr>
        <w:pStyle w:val="Normal"/>
        <w:tabs>
          <w:tab w:val="clear" w:pos="708"/>
          <w:tab w:val="left" w:pos="0" w:leader="none"/>
        </w:tabs>
        <w:spacing w:lineRule="atLeast" w:line="0"/>
        <w:ind w:firstLine="567"/>
        <w:jc w:val="both"/>
        <w:rPr>
          <w:lang w:val="uk-UA"/>
        </w:rPr>
      </w:pPr>
      <w:r>
        <w:rPr/>
        <w:t>3</w:t>
      </w:r>
      <w:r>
        <w:rPr>
          <w:lang w:val="uk-UA"/>
        </w:rPr>
        <w:t>.4. </w:t>
      </w:r>
      <w:r>
        <w:rPr/>
        <w:t xml:space="preserve">Фактическая передача Нефтепродуктов Заказчику осуществляется на АГЗС/АГЗП/АЗС Поставщика, путем заправки автотранспорта Заказчика нефтепродуктами </w:t>
        <w:br/>
        <w:t xml:space="preserve">в количестве литров, указанном в предъявленном при заправке автотранспорта Талоне. </w:t>
      </w:r>
      <w:bookmarkStart w:id="2" w:name="_Hlk130994274"/>
      <w:r>
        <w:rPr/>
        <w:t>Поставщик</w:t>
      </w:r>
      <w:bookmarkEnd w:id="2"/>
      <w:r>
        <w:rPr/>
        <w:t xml:space="preserve"> обязуется периодически письменно информировать Заказчика об изменениях </w:t>
        <w:br/>
        <w:t xml:space="preserve">в перечне АГЗС/АГЗП/АЗС, на которых должна осуществляться передача Нефтепродуктов согласно условиям настоящего Контракта. </w:t>
      </w:r>
    </w:p>
    <w:p>
      <w:pPr>
        <w:pStyle w:val="Normal"/>
        <w:tabs>
          <w:tab w:val="clear" w:pos="708"/>
          <w:tab w:val="left" w:pos="0" w:leader="none"/>
        </w:tabs>
        <w:spacing w:lineRule="atLeast" w:line="0"/>
        <w:ind w:firstLine="567"/>
        <w:jc w:val="both"/>
        <w:rPr>
          <w:lang w:val="uk-UA"/>
        </w:rPr>
      </w:pPr>
      <w:r>
        <w:rPr>
          <w:lang w:val="uk-UA"/>
        </w:rPr>
        <w:t>3.5. </w:t>
      </w:r>
      <w:r>
        <w:rPr/>
        <w:t>Передача Товара Заказчику осуществляется только при условии его фактического наличия на АГЗС/АГЗП/АЗС Поставщика.</w:t>
      </w:r>
    </w:p>
    <w:p>
      <w:pPr>
        <w:pStyle w:val="Normal"/>
        <w:tabs>
          <w:tab w:val="clear" w:pos="708"/>
          <w:tab w:val="left" w:pos="0" w:leader="none"/>
          <w:tab w:val="left" w:pos="180" w:leader="none"/>
        </w:tabs>
        <w:spacing w:lineRule="atLeast" w:line="0"/>
        <w:ind w:firstLine="567"/>
        <w:jc w:val="both"/>
        <w:rPr>
          <w:lang w:val="uk-UA"/>
        </w:rPr>
      </w:pPr>
      <w:r>
        <w:rPr>
          <w:lang w:val="uk-UA"/>
        </w:rPr>
        <w:t>3.6. </w:t>
      </w:r>
      <w:r>
        <w:rPr/>
        <w:t>Поставщик обязан обеспечить Заказчику возможность получения собственных Нефтепродуктов на АГЗС/АГЗП/АЗС ежедневно с момента их приобретения до окончания срока действия Талонов, за исключением технических перерывов, плановых и внеплановых остановок АГЗС/АГЗП/АЗС.</w:t>
      </w:r>
    </w:p>
    <w:p>
      <w:pPr>
        <w:pStyle w:val="Normal"/>
        <w:tabs>
          <w:tab w:val="clear" w:pos="708"/>
          <w:tab w:val="left" w:pos="0" w:leader="none"/>
          <w:tab w:val="left" w:pos="180" w:leader="none"/>
        </w:tabs>
        <w:spacing w:lineRule="atLeast" w:line="0"/>
        <w:ind w:firstLine="567"/>
        <w:jc w:val="both"/>
        <w:rPr>
          <w:lang w:val="uk-UA" w:eastAsia="en-US"/>
        </w:rPr>
      </w:pPr>
      <w:r>
        <w:rPr>
          <w:lang w:val="uk-UA"/>
        </w:rPr>
        <w:t>3.7. </w:t>
      </w:r>
      <w:r>
        <w:rPr/>
        <w:t xml:space="preserve">В случае изменения формы Талонов Поставщик информирует Заказчика </w:t>
        <w:br/>
        <w:t>о необходимости своевременного обмена Талонов старого образца на новые. Замена Талонов осуществляется Поставщиком в течение 5 (пяти) рабочих дней со дня предъявления Заказчиком Талонов старого образца по акту приема-передачи.</w:t>
      </w:r>
    </w:p>
    <w:p>
      <w:pPr>
        <w:pStyle w:val="Normal"/>
        <w:tabs>
          <w:tab w:val="clear" w:pos="708"/>
          <w:tab w:val="left" w:pos="0" w:leader="none"/>
          <w:tab w:val="left" w:pos="180" w:leader="none"/>
        </w:tabs>
        <w:spacing w:lineRule="atLeast" w:line="0"/>
        <w:ind w:firstLine="567"/>
        <w:jc w:val="both"/>
        <w:rPr>
          <w:b/>
          <w:u w:val="single"/>
          <w:lang w:val="uk-UA" w:eastAsia="en-US"/>
        </w:rPr>
      </w:pPr>
      <w:r>
        <w:rPr>
          <w:lang w:val="uk-UA" w:eastAsia="en-US"/>
        </w:rPr>
        <w:t>3.8. Заказчик</w:t>
      </w:r>
      <w:r>
        <w:rPr>
          <w:lang w:eastAsia="en-US"/>
        </w:rPr>
        <w:t xml:space="preserve"> отвечает за сохранность талонов после их получения согласно п. 3.2. настоящего Контракта. Талоны, что повреждены, потеряны или похищены </w:t>
      </w:r>
      <w:r>
        <w:rPr>
          <w:b w:val="false"/>
          <w:bCs w:val="false"/>
          <w:u w:val="none"/>
          <w:lang w:eastAsia="en-US"/>
        </w:rPr>
        <w:t>не подлежат замене (восстановлению)</w:t>
      </w:r>
      <w:r>
        <w:rPr>
          <w:b w:val="false"/>
          <w:bCs w:val="false"/>
          <w:u w:val="none"/>
          <w:lang w:val="uk-UA" w:eastAsia="en-US"/>
        </w:rPr>
        <w:t>.</w:t>
      </w:r>
    </w:p>
    <w:p>
      <w:pPr>
        <w:pStyle w:val="Normal"/>
        <w:tabs>
          <w:tab w:val="clear" w:pos="708"/>
          <w:tab w:val="left" w:pos="0" w:leader="none"/>
          <w:tab w:val="left" w:pos="180" w:leader="none"/>
        </w:tabs>
        <w:spacing w:lineRule="atLeast" w:line="0"/>
        <w:ind w:firstLine="567"/>
        <w:jc w:val="both"/>
        <w:rPr>
          <w:bCs/>
          <w:lang w:val="uk-UA" w:eastAsia="en-US"/>
        </w:rPr>
      </w:pPr>
      <w:r>
        <w:rPr>
          <w:bCs/>
          <w:lang w:val="uk-UA" w:eastAsia="en-US"/>
        </w:rPr>
        <w:t xml:space="preserve">3.9. Место получения Талонов: </w:t>
      </w:r>
      <w:r>
        <w:rPr>
          <w:bCs/>
          <w:lang w:val="ru-RU" w:eastAsia="en-US"/>
        </w:rPr>
        <w:t>_____________________________________________________</w:t>
      </w:r>
    </w:p>
    <w:p>
      <w:pPr>
        <w:pStyle w:val="Normal"/>
        <w:tabs>
          <w:tab w:val="clear" w:pos="708"/>
          <w:tab w:val="left" w:pos="5840" w:leader="none"/>
        </w:tabs>
        <w:ind w:firstLine="567"/>
        <w:jc w:val="both"/>
        <w:rPr>
          <w:color w:val="000000"/>
        </w:rPr>
      </w:pPr>
      <w:r>
        <w:rPr>
          <w:bCs/>
          <w:lang w:val="uk-UA" w:eastAsia="en-US"/>
        </w:rPr>
        <w:t xml:space="preserve">3.10. </w:t>
      </w:r>
      <w:r>
        <w:rPr>
          <w:color w:val="000000"/>
        </w:rPr>
        <w:t>При возврате Заказчиком, согласно письменному обращению Поставщику, неиспользованных Талонов, Поставщик обязан вернуть за них денежные средства на расчетный счет Заказчика в течение 10 (десяти) банковских дней с момента подписания акта приема-передачи неиспользованных Талонов представителями Сторон.</w:t>
      </w:r>
    </w:p>
    <w:p>
      <w:pPr>
        <w:pStyle w:val="Normal"/>
        <w:tabs>
          <w:tab w:val="clear" w:pos="708"/>
          <w:tab w:val="left" w:pos="0" w:leader="none"/>
          <w:tab w:val="left" w:pos="180" w:leader="none"/>
        </w:tabs>
        <w:ind w:firstLine="567"/>
        <w:jc w:val="both"/>
        <w:rPr>
          <w:b/>
          <w:u w:val="single"/>
          <w:lang w:val="uk-UA" w:eastAsia="en-US"/>
        </w:rPr>
      </w:pPr>
      <w:bookmarkStart w:id="3" w:name="_Hlk236049265"/>
      <w:r>
        <w:rPr>
          <w:color w:val="000000"/>
        </w:rPr>
        <w:t>3.11. Передача Талонов третьим лицам – не предусмотрена.</w:t>
      </w:r>
      <w:bookmarkEnd w:id="3"/>
    </w:p>
    <w:p>
      <w:pPr>
        <w:pStyle w:val="Normal"/>
        <w:tabs>
          <w:tab w:val="clear" w:pos="708"/>
          <w:tab w:val="left" w:pos="0" w:leader="none"/>
          <w:tab w:val="left" w:pos="180" w:leader="none"/>
        </w:tabs>
        <w:spacing w:lineRule="atLeast" w:line="0"/>
        <w:ind w:firstLine="567"/>
        <w:jc w:val="both"/>
        <w:rPr>
          <w:bCs/>
          <w:lang w:val="uk-UA" w:eastAsia="en-US"/>
        </w:rPr>
      </w:pPr>
      <w:r>
        <w:rPr>
          <w:bCs/>
          <w:lang w:val="uk-UA" w:eastAsia="en-US"/>
        </w:rPr>
      </w:r>
    </w:p>
    <w:p>
      <w:pPr>
        <w:pStyle w:val="Normal"/>
        <w:tabs>
          <w:tab w:val="clear" w:pos="708"/>
          <w:tab w:val="left" w:pos="540" w:leader="none"/>
        </w:tabs>
        <w:spacing w:lineRule="atLeast" w:line="0"/>
        <w:jc w:val="center"/>
        <w:rPr>
          <w:b/>
          <w:bCs/>
          <w:caps/>
          <w:lang w:val="uk-UA"/>
        </w:rPr>
      </w:pPr>
      <w:r>
        <w:rPr>
          <w:b/>
          <w:bCs/>
          <w:caps/>
          <w:lang w:val="uk-UA"/>
        </w:rPr>
        <w:t>4.ПРАВА и обязанности сторон</w:t>
      </w:r>
    </w:p>
    <w:p>
      <w:pPr>
        <w:pStyle w:val="Normal"/>
        <w:tabs>
          <w:tab w:val="clear" w:pos="708"/>
          <w:tab w:val="left" w:pos="0" w:leader="none"/>
        </w:tabs>
        <w:spacing w:lineRule="atLeast" w:line="0"/>
        <w:ind w:firstLine="567"/>
        <w:jc w:val="both"/>
        <w:rPr>
          <w:b/>
          <w:lang w:val="uk-UA"/>
        </w:rPr>
      </w:pPr>
      <w:r>
        <w:rPr>
          <w:lang w:val="uk-UA"/>
        </w:rPr>
        <w:t>4.1. </w:t>
      </w:r>
      <w:r>
        <w:rPr/>
        <w:t>Обязанности Поставщика:</w:t>
      </w:r>
    </w:p>
    <w:p>
      <w:pPr>
        <w:pStyle w:val="Normal"/>
        <w:tabs>
          <w:tab w:val="clear" w:pos="708"/>
          <w:tab w:val="left" w:pos="0" w:leader="none"/>
          <w:tab w:val="left" w:pos="720" w:leader="none"/>
          <w:tab w:val="left" w:pos="900" w:leader="none"/>
          <w:tab w:val="left" w:pos="1260" w:leader="none"/>
        </w:tabs>
        <w:spacing w:lineRule="atLeast" w:line="0"/>
        <w:ind w:firstLine="567"/>
        <w:jc w:val="both"/>
        <w:rPr>
          <w:lang w:val="uk-UA"/>
        </w:rPr>
      </w:pPr>
      <w:r>
        <w:rPr>
          <w:lang w:val="uk-UA"/>
        </w:rPr>
        <w:t>4.1.1. </w:t>
      </w:r>
      <w:r>
        <w:rPr/>
        <w:t xml:space="preserve">Передать в собственность Заказчику необходимый объем Нефтепродуктов </w:t>
        <w:br/>
        <w:t>и оформить бухгалтерские и налоговые документы на продажу в срок, указанный в п. 3.2. настоящего Контракта.</w:t>
      </w:r>
    </w:p>
    <w:p>
      <w:pPr>
        <w:pStyle w:val="Normal"/>
        <w:tabs>
          <w:tab w:val="clear" w:pos="708"/>
          <w:tab w:val="left" w:pos="0" w:leader="none"/>
          <w:tab w:val="left" w:pos="720" w:leader="none"/>
          <w:tab w:val="left" w:pos="900" w:leader="none"/>
          <w:tab w:val="left" w:pos="1260" w:leader="none"/>
        </w:tabs>
        <w:spacing w:lineRule="atLeast" w:line="0"/>
        <w:ind w:firstLine="567"/>
        <w:jc w:val="both"/>
        <w:rPr/>
      </w:pPr>
      <w:r>
        <w:rPr>
          <w:lang w:val="uk-UA"/>
        </w:rPr>
        <w:t>4.1.2. </w:t>
      </w:r>
      <w:r>
        <w:rPr/>
        <w:t xml:space="preserve">Обеспечить фактическую передачу Нефтепродуктов </w:t>
      </w:r>
      <w:bookmarkStart w:id="4" w:name="_Hlk148453101"/>
      <w:r>
        <w:rPr/>
        <w:t>Заказчику</w:t>
      </w:r>
      <w:bookmarkEnd w:id="4"/>
      <w:r>
        <w:rPr/>
        <w:t xml:space="preserve"> в соответствии </w:t>
        <w:br/>
        <w:t>с п. 3.4. настоящего Контракта.</w:t>
      </w:r>
    </w:p>
    <w:p>
      <w:pPr>
        <w:pStyle w:val="Normal"/>
        <w:tabs>
          <w:tab w:val="clear" w:pos="708"/>
          <w:tab w:val="left" w:pos="0" w:leader="none"/>
          <w:tab w:val="left" w:pos="720" w:leader="none"/>
          <w:tab w:val="left" w:pos="900" w:leader="none"/>
          <w:tab w:val="left" w:pos="1260" w:leader="none"/>
        </w:tabs>
        <w:spacing w:lineRule="atLeast" w:line="0"/>
        <w:ind w:firstLine="567"/>
        <w:jc w:val="both"/>
        <w:rPr/>
      </w:pPr>
      <w:r>
        <w:rPr/>
        <w:t>4.1.3. Обеспечить поставку Нефтепродуктов, качество которых соответствует условиям Контракта.</w:t>
      </w:r>
    </w:p>
    <w:p>
      <w:pPr>
        <w:pStyle w:val="Normal"/>
        <w:tabs>
          <w:tab w:val="clear" w:pos="708"/>
          <w:tab w:val="left" w:pos="0" w:leader="none"/>
          <w:tab w:val="left" w:pos="720" w:leader="none"/>
          <w:tab w:val="left" w:pos="900" w:leader="none"/>
          <w:tab w:val="left" w:pos="1260" w:leader="none"/>
        </w:tabs>
        <w:spacing w:lineRule="atLeast" w:line="0"/>
        <w:ind w:firstLine="567"/>
        <w:jc w:val="both"/>
        <w:rPr/>
      </w:pPr>
      <w:r>
        <w:rPr/>
        <w:t>4.1.4. В случае поставки Нефтепродуктов ненадлежащего качества заменить такие нефтепродукты на Нефтепродукты надлежащего качества.</w:t>
      </w:r>
    </w:p>
    <w:p>
      <w:pPr>
        <w:pStyle w:val="Normal"/>
        <w:tabs>
          <w:tab w:val="clear" w:pos="708"/>
          <w:tab w:val="left" w:pos="0" w:leader="none"/>
          <w:tab w:val="left" w:pos="720" w:leader="none"/>
          <w:tab w:val="left" w:pos="900" w:leader="none"/>
          <w:tab w:val="left" w:pos="1260" w:leader="none"/>
        </w:tabs>
        <w:spacing w:lineRule="atLeast" w:line="0"/>
        <w:ind w:firstLine="567"/>
        <w:jc w:val="both"/>
        <w:rPr/>
      </w:pPr>
      <w:r>
        <w:rPr/>
        <w:t>4.1.5. Обеспечить наличие Нефтепродуктов на АГЗС/АГЗП/АЗС с целью своевременного и надлежащего исполнения своих обязательств по настоящему Контракту.</w:t>
      </w:r>
    </w:p>
    <w:p>
      <w:pPr>
        <w:pStyle w:val="Normal"/>
        <w:tabs>
          <w:tab w:val="clear" w:pos="708"/>
          <w:tab w:val="left" w:pos="0" w:leader="none"/>
          <w:tab w:val="left" w:pos="720" w:leader="none"/>
          <w:tab w:val="left" w:pos="900" w:leader="none"/>
          <w:tab w:val="left" w:pos="1260" w:leader="none"/>
        </w:tabs>
        <w:spacing w:lineRule="atLeast" w:line="0"/>
        <w:ind w:firstLine="567"/>
        <w:jc w:val="both"/>
        <w:rPr/>
      </w:pPr>
      <w:r>
        <w:rPr/>
        <w:t>4.1.6. Принять Нефтепродукты на хранение.</w:t>
      </w:r>
    </w:p>
    <w:p>
      <w:pPr>
        <w:pStyle w:val="Normal"/>
        <w:tabs>
          <w:tab w:val="clear" w:pos="708"/>
          <w:tab w:val="left" w:pos="0" w:leader="none"/>
          <w:tab w:val="left" w:pos="720" w:leader="none"/>
          <w:tab w:val="left" w:pos="900" w:leader="none"/>
          <w:tab w:val="left" w:pos="1260" w:leader="none"/>
        </w:tabs>
        <w:spacing w:lineRule="atLeast" w:line="0"/>
        <w:ind w:firstLine="567"/>
        <w:jc w:val="both"/>
        <w:rPr/>
      </w:pPr>
      <w:r>
        <w:rPr/>
        <w:t>4.1.7. Предоставить Заказчику кассовые чеки (чеки-терминалы) на АГЗС/АГЗП/АЗС вместе с нефтепродуктами.</w:t>
      </w:r>
    </w:p>
    <w:p>
      <w:pPr>
        <w:pStyle w:val="Normal"/>
        <w:tabs>
          <w:tab w:val="clear" w:pos="708"/>
          <w:tab w:val="left" w:pos="0" w:leader="none"/>
          <w:tab w:val="left" w:pos="720" w:leader="none"/>
          <w:tab w:val="left" w:pos="900" w:leader="none"/>
          <w:tab w:val="left" w:pos="1260" w:leader="none"/>
        </w:tabs>
        <w:spacing w:lineRule="atLeast" w:line="0"/>
        <w:ind w:firstLine="567"/>
        <w:jc w:val="both"/>
        <w:rPr/>
      </w:pPr>
      <w:r>
        <w:rPr/>
        <w:t>4.1.8. Проводить сверку данных об отпущенных на АГЗС/АГЗП/АЗС и фактически полученных Заказчиком Нефтепродуктов.</w:t>
      </w:r>
    </w:p>
    <w:p>
      <w:pPr>
        <w:pStyle w:val="Normal"/>
        <w:tabs>
          <w:tab w:val="clear" w:pos="708"/>
          <w:tab w:val="left" w:pos="0" w:leader="none"/>
        </w:tabs>
        <w:spacing w:lineRule="atLeast" w:line="0"/>
        <w:ind w:firstLine="567"/>
        <w:jc w:val="both"/>
        <w:rPr/>
      </w:pPr>
      <w:r>
        <w:rPr>
          <w:lang w:val="uk-UA"/>
        </w:rPr>
        <w:t>4.2. </w:t>
      </w:r>
      <w:r>
        <w:rPr/>
        <w:t>Права Поставщика:</w:t>
      </w:r>
    </w:p>
    <w:p>
      <w:pPr>
        <w:pStyle w:val="Normal"/>
        <w:tabs>
          <w:tab w:val="clear" w:pos="708"/>
          <w:tab w:val="left" w:pos="0" w:leader="none"/>
        </w:tabs>
        <w:spacing w:lineRule="atLeast" w:line="0"/>
        <w:ind w:firstLine="567"/>
        <w:jc w:val="both"/>
        <w:rPr>
          <w:b/>
        </w:rPr>
      </w:pPr>
      <w:r>
        <w:rPr/>
        <w:t>4.1.2. Требовать своевременной оплаты поставленных Нефтепродуктов.</w:t>
      </w:r>
    </w:p>
    <w:p>
      <w:pPr>
        <w:pStyle w:val="Normal"/>
        <w:tabs>
          <w:tab w:val="clear" w:pos="708"/>
          <w:tab w:val="left" w:pos="0" w:leader="none"/>
        </w:tabs>
        <w:spacing w:lineRule="atLeast" w:line="0"/>
        <w:ind w:firstLine="567"/>
        <w:jc w:val="both"/>
        <w:rPr>
          <w:b/>
        </w:rPr>
      </w:pPr>
      <w:r>
        <w:rPr>
          <w:lang w:val="uk-UA"/>
        </w:rPr>
        <w:t>4.3. </w:t>
      </w:r>
      <w:r>
        <w:rPr/>
        <w:t>Обязанности Заказчика:</w:t>
      </w:r>
    </w:p>
    <w:p>
      <w:pPr>
        <w:pStyle w:val="Normal"/>
        <w:tabs>
          <w:tab w:val="clear" w:pos="708"/>
          <w:tab w:val="left" w:pos="180" w:leader="none"/>
          <w:tab w:val="left" w:pos="900" w:leader="none"/>
        </w:tabs>
        <w:spacing w:lineRule="atLeast" w:line="0"/>
        <w:ind w:firstLine="567"/>
        <w:jc w:val="both"/>
        <w:rPr>
          <w:lang w:val="uk-UA"/>
        </w:rPr>
      </w:pPr>
      <w:r>
        <w:rPr/>
        <w:t>4.3.1. Своевременно осуществлять оплату Нефтепродуктов согласно условиям настоящего Контракта</w:t>
      </w:r>
    </w:p>
    <w:p>
      <w:pPr>
        <w:pStyle w:val="Normal"/>
        <w:tabs>
          <w:tab w:val="clear" w:pos="708"/>
          <w:tab w:val="left" w:pos="180" w:leader="none"/>
          <w:tab w:val="left" w:pos="900" w:leader="none"/>
        </w:tabs>
        <w:spacing w:lineRule="atLeast" w:line="0"/>
        <w:ind w:firstLine="567"/>
        <w:jc w:val="both"/>
        <w:rPr/>
      </w:pPr>
      <w:r>
        <w:rPr/>
        <w:t>4.3.2. Предоставить Поставщику надлежащим образом заверенные копии учредительных документов.</w:t>
      </w:r>
    </w:p>
    <w:p>
      <w:pPr>
        <w:pStyle w:val="Normal"/>
        <w:tabs>
          <w:tab w:val="clear" w:pos="708"/>
          <w:tab w:val="left" w:pos="540" w:leader="none"/>
          <w:tab w:val="left" w:pos="7434" w:leader="none"/>
        </w:tabs>
        <w:spacing w:lineRule="atLeast" w:line="0"/>
        <w:ind w:firstLine="567"/>
        <w:jc w:val="both"/>
        <w:rPr>
          <w:b/>
        </w:rPr>
      </w:pPr>
      <w:r>
        <w:rPr/>
        <w:t>4.4. Права Заказчика:</w:t>
        <w:tab/>
      </w:r>
    </w:p>
    <w:p>
      <w:pPr>
        <w:pStyle w:val="Normal"/>
        <w:tabs>
          <w:tab w:val="clear" w:pos="708"/>
          <w:tab w:val="left" w:pos="180" w:leader="none"/>
          <w:tab w:val="left" w:pos="900" w:leader="none"/>
        </w:tabs>
        <w:spacing w:lineRule="atLeast" w:line="0"/>
        <w:ind w:firstLine="567"/>
        <w:jc w:val="both"/>
        <w:rPr/>
      </w:pPr>
      <w:r>
        <w:rPr/>
        <w:t>4.4.1. Требовать передачи документов в соответствии с п. 3.2. настоящего Контракта.</w:t>
      </w:r>
    </w:p>
    <w:p>
      <w:pPr>
        <w:pStyle w:val="Normal"/>
        <w:tabs>
          <w:tab w:val="clear" w:pos="708"/>
          <w:tab w:val="left" w:pos="180" w:leader="none"/>
          <w:tab w:val="left" w:pos="900" w:leader="none"/>
        </w:tabs>
        <w:spacing w:lineRule="atLeast" w:line="0"/>
        <w:ind w:firstLine="567"/>
        <w:jc w:val="both"/>
        <w:rPr>
          <w:lang w:val="uk-UA"/>
        </w:rPr>
      </w:pPr>
      <w:r>
        <w:rPr/>
        <w:t>4.4.2. Требовать фактической передачи Нефтепродуктов в соответствии с условиями раздела 3 настоящего Контракта.</w:t>
      </w:r>
    </w:p>
    <w:p>
      <w:pPr>
        <w:pStyle w:val="Normal"/>
        <w:tabs>
          <w:tab w:val="clear" w:pos="708"/>
          <w:tab w:val="left" w:pos="900" w:leader="none"/>
          <w:tab w:val="left" w:pos="1260" w:leader="none"/>
        </w:tabs>
        <w:spacing w:lineRule="atLeast" w:line="0"/>
        <w:ind w:firstLine="567"/>
        <w:jc w:val="both"/>
        <w:rPr/>
      </w:pPr>
      <w:r>
        <w:rPr>
          <w:lang w:val="uk-UA"/>
        </w:rPr>
        <w:t>4.4.3. </w:t>
      </w:r>
      <w:r>
        <w:rPr/>
        <w:t>Требовать уплаты штрафных санкций, установленных настоящим Контрактом.</w:t>
      </w:r>
    </w:p>
    <w:p>
      <w:pPr>
        <w:pStyle w:val="Normal"/>
        <w:tabs>
          <w:tab w:val="clear" w:pos="708"/>
          <w:tab w:val="left" w:pos="900" w:leader="none"/>
          <w:tab w:val="left" w:pos="1260" w:leader="none"/>
        </w:tabs>
        <w:spacing w:lineRule="atLeast" w:line="0"/>
        <w:ind w:firstLine="567"/>
        <w:jc w:val="both"/>
        <w:rPr/>
      </w:pPr>
      <w:r>
        <w:rPr/>
        <w:t>4.4.4. Принять решение об одностороннем отказе от исполнения настоящего Контракта в соответствии с гражданским законодательством РФ.</w:t>
      </w:r>
    </w:p>
    <w:p>
      <w:pPr>
        <w:pStyle w:val="Normal"/>
        <w:tabs>
          <w:tab w:val="clear" w:pos="708"/>
          <w:tab w:val="left" w:pos="900" w:leader="none"/>
          <w:tab w:val="left" w:pos="1260" w:leader="none"/>
        </w:tabs>
        <w:spacing w:lineRule="atLeast" w:line="0"/>
        <w:ind w:firstLine="567"/>
        <w:jc w:val="both"/>
        <w:rPr/>
      </w:pPr>
      <w:r>
        <w:rPr/>
      </w:r>
    </w:p>
    <w:p>
      <w:pPr>
        <w:pStyle w:val="Normal"/>
        <w:tabs>
          <w:tab w:val="clear" w:pos="708"/>
          <w:tab w:val="left" w:pos="540" w:leader="none"/>
        </w:tabs>
        <w:spacing w:lineRule="atLeast" w:line="0"/>
        <w:jc w:val="center"/>
        <w:rPr>
          <w:b/>
          <w:bCs/>
          <w:caps/>
          <w:lang w:val="uk-UA"/>
        </w:rPr>
      </w:pPr>
      <w:r>
        <w:rPr>
          <w:b/>
          <w:bCs/>
          <w:caps/>
          <w:lang w:val="uk-UA"/>
        </w:rPr>
        <w:t>5. гарантии качества нефтепродуктов</w:t>
      </w:r>
    </w:p>
    <w:p>
      <w:pPr>
        <w:pStyle w:val="Normal"/>
        <w:tabs>
          <w:tab w:val="clear" w:pos="708"/>
          <w:tab w:val="left" w:pos="0" w:leader="none"/>
        </w:tabs>
        <w:spacing w:lineRule="atLeast" w:line="0"/>
        <w:ind w:firstLine="851"/>
        <w:jc w:val="both"/>
        <w:rPr>
          <w:lang w:val="uk-UA" w:eastAsia="en-US"/>
        </w:rPr>
      </w:pPr>
      <w:r>
        <w:rPr>
          <w:lang w:val="uk-UA"/>
        </w:rPr>
        <w:t>5.1. Поставщик</w:t>
      </w:r>
      <w:r>
        <w:rPr/>
        <w:t xml:space="preserve"> гарантирует Заказчику, что поставляемые по настоящему Контракту Нефтепродукты по качеству соответствуют ГОСТ и/или ТУ на данный вид Нефтепродуктов, действующим в Российской Федерации. Заказчик вправе получить копию паспорта качества или сертификата соответствия на Нефтепродукты непосредственно на АГЗС/АГЗП/АЗС Поставщика на момент заправки автотранспорта.</w:t>
      </w:r>
    </w:p>
    <w:p>
      <w:pPr>
        <w:pStyle w:val="Normal"/>
        <w:tabs>
          <w:tab w:val="clear" w:pos="708"/>
          <w:tab w:val="left" w:pos="0" w:leader="none"/>
        </w:tabs>
        <w:spacing w:lineRule="atLeast" w:line="0"/>
        <w:ind w:firstLine="851"/>
        <w:jc w:val="both"/>
        <w:rPr>
          <w:lang w:val="uk-UA"/>
        </w:rPr>
      </w:pPr>
      <w:r>
        <w:rPr>
          <w:lang w:val="uk-UA"/>
        </w:rPr>
        <w:t>5.2. </w:t>
      </w:r>
      <w:r>
        <w:rPr/>
        <w:t>Приемка Нефтепродуктов по качеству осуществляется на основании сертификата качества/ соответствия завода-изготовителя Нефтепродуктов.</w:t>
      </w:r>
    </w:p>
    <w:p>
      <w:pPr>
        <w:pStyle w:val="Normal"/>
        <w:tabs>
          <w:tab w:val="clear" w:pos="708"/>
          <w:tab w:val="left" w:pos="0" w:leader="none"/>
        </w:tabs>
        <w:spacing w:lineRule="atLeast" w:line="0"/>
        <w:ind w:firstLine="851"/>
        <w:jc w:val="both"/>
        <w:rPr>
          <w:lang w:val="uk-UA"/>
        </w:rPr>
      </w:pPr>
      <w:r>
        <w:rPr>
          <w:lang w:val="uk-UA"/>
        </w:rPr>
        <w:t>5.3. </w:t>
      </w:r>
      <w:r>
        <w:rPr/>
        <w:t>Стороны договорились, что в случае возникновения разногласий в оценке качества Нефтепродуктов, неукоснительно соблюдать порядок проверки качества Нефтепродуктов, установленный нормативно-правовыми актами.</w:t>
      </w:r>
    </w:p>
    <w:p>
      <w:pPr>
        <w:pStyle w:val="Normal"/>
        <w:tabs>
          <w:tab w:val="clear" w:pos="708"/>
          <w:tab w:val="left" w:pos="0" w:leader="none"/>
        </w:tabs>
        <w:spacing w:lineRule="atLeast" w:line="0"/>
        <w:ind w:firstLine="851"/>
        <w:jc w:val="both"/>
        <w:rPr/>
      </w:pPr>
      <w:r>
        <w:rPr>
          <w:lang w:val="uk-UA"/>
        </w:rPr>
        <w:t>5.4. </w:t>
      </w:r>
      <w:r>
        <w:rPr/>
        <w:t xml:space="preserve">Если Заказчик считает, что переданные (отпущенные) Нефтепродукты не соответствуют требованиям качества, он вправе предъявить Поставщику письменную претензию в течение двух календарных дней с момента получения некачественных Нефтепродуктов при наличии чека АГЗС/АГЗП/АЗС Поставщика, на котором осуществлялась заправка автотранспорта. </w:t>
      </w:r>
    </w:p>
    <w:p>
      <w:pPr>
        <w:pStyle w:val="Normal"/>
        <w:tabs>
          <w:tab w:val="clear" w:pos="708"/>
          <w:tab w:val="left" w:pos="0" w:leader="none"/>
        </w:tabs>
        <w:spacing w:lineRule="atLeast" w:line="0"/>
        <w:ind w:firstLine="851"/>
        <w:jc w:val="both"/>
        <w:rPr/>
      </w:pPr>
      <w:r>
        <w:rPr/>
        <w:t>В этом случае формируется комиссия из представителей Поставщика и Заказчика для отбора проб, и проведения лабораторного анализа. В случае просрочки вышеуказанного срока Заказчиком претензии по качеству не принимаются.</w:t>
      </w:r>
    </w:p>
    <w:p>
      <w:pPr>
        <w:pStyle w:val="Normal"/>
        <w:tabs>
          <w:tab w:val="clear" w:pos="708"/>
          <w:tab w:val="left" w:pos="0" w:leader="none"/>
        </w:tabs>
        <w:spacing w:lineRule="atLeast" w:line="0"/>
        <w:ind w:firstLine="851"/>
        <w:jc w:val="both"/>
        <w:rPr/>
      </w:pPr>
      <w:r>
        <w:rPr>
          <w:lang w:val="uk-UA"/>
        </w:rPr>
        <w:t>5.5. </w:t>
      </w:r>
      <w:r>
        <w:rPr/>
        <w:t>В случае если по результатам лабораторного анализа или экспертизы будет установлено, что качество Нефтепродуктов не соответствует требованиям качества, установленным соответствующими ГОСТ и/или ТУ, Поставщик обязуется в течение двух дней заменить некачественные Нефтепродукты на качественные. Предварительная оплата лабораторного анализа осуществляется Стороной, которая инициировала его проведение, с последующим возмещением его стоимости виновной Стороной (согласно заключению лабораторного анализа).</w:t>
      </w:r>
    </w:p>
    <w:p>
      <w:pPr>
        <w:pStyle w:val="Normal"/>
        <w:tabs>
          <w:tab w:val="clear" w:pos="708"/>
          <w:tab w:val="left" w:pos="0" w:leader="none"/>
        </w:tabs>
        <w:spacing w:lineRule="atLeast" w:line="0"/>
        <w:ind w:firstLine="851"/>
        <w:jc w:val="both"/>
        <w:rPr/>
      </w:pPr>
      <w:r>
        <w:rPr/>
      </w:r>
    </w:p>
    <w:p>
      <w:pPr>
        <w:pStyle w:val="Normal"/>
        <w:tabs>
          <w:tab w:val="clear" w:pos="708"/>
          <w:tab w:val="left" w:pos="0" w:leader="none"/>
        </w:tabs>
        <w:spacing w:lineRule="atLeast" w:line="0"/>
        <w:jc w:val="center"/>
        <w:rPr>
          <w:b/>
          <w:bCs/>
          <w:caps/>
          <w:lang w:val="uk-UA"/>
        </w:rPr>
      </w:pPr>
      <w:r>
        <w:rPr>
          <w:b/>
          <w:bCs/>
          <w:caps/>
          <w:lang w:val="uk-UA"/>
        </w:rPr>
        <w:t>6. ответственность сторон</w:t>
      </w:r>
    </w:p>
    <w:p>
      <w:pPr>
        <w:pStyle w:val="Normal"/>
        <w:spacing w:lineRule="atLeast" w:line="0"/>
        <w:ind w:firstLine="567"/>
        <w:jc w:val="both"/>
        <w:rPr/>
      </w:pPr>
      <w:r>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pPr>
        <w:pStyle w:val="Normal"/>
        <w:spacing w:lineRule="atLeast" w:line="0"/>
        <w:ind w:firstLine="567"/>
        <w:jc w:val="both"/>
        <w:rPr/>
      </w:pPr>
      <w:r>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lineRule="atLeast" w:line="0"/>
        <w:ind w:firstLine="567"/>
        <w:jc w:val="both"/>
        <w:rPr/>
      </w:pPr>
      <w:r>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pPr>
        <w:pStyle w:val="Normal"/>
        <w:spacing w:lineRule="atLeast" w:line="0"/>
        <w:ind w:firstLine="567"/>
        <w:jc w:val="both"/>
        <w:rPr/>
      </w:pPr>
      <w:bookmarkStart w:id="5" w:name="P970"/>
      <w:bookmarkEnd w:id="5"/>
      <w:r>
        <w:rPr/>
        <w:t>6.4.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spacing w:lineRule="atLeast" w:line="0"/>
        <w:ind w:firstLine="567"/>
        <w:jc w:val="both"/>
        <w:rPr/>
      </w:pPr>
      <w:bookmarkStart w:id="6" w:name="P975"/>
      <w:bookmarkEnd w:id="6"/>
      <w:r>
        <w:rPr/>
        <w:t>6.5. Применение неустойки (штрафа, пени) не освобождает Стороны от исполнения обязательств по Контракту.</w:t>
      </w:r>
    </w:p>
    <w:p>
      <w:pPr>
        <w:pStyle w:val="Normal"/>
        <w:spacing w:lineRule="atLeast" w:line="0"/>
        <w:ind w:firstLine="567"/>
        <w:jc w:val="both"/>
        <w:rPr/>
      </w:pPr>
      <w:r>
        <w:rPr/>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spacing w:lineRule="atLeast" w:line="0"/>
        <w:ind w:firstLine="567"/>
        <w:jc w:val="both"/>
        <w:rPr/>
      </w:pPr>
      <w:r>
        <w:rPr/>
        <w:t>6.7.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Normal"/>
        <w:spacing w:lineRule="atLeast" w:line="0"/>
        <w:ind w:firstLine="567"/>
        <w:jc w:val="both"/>
        <w:rPr/>
      </w:pPr>
      <w:r>
        <w:rPr/>
        <w:t xml:space="preserve">6.8. Заказчик вправе удерживать суммы неисполненных Поставщиком требований об уплате неустоек (штрафов, пеней), в соответствии с Федеральным </w:t>
      </w:r>
      <w:hyperlink r:id="rId2">
        <w:r>
          <w:rPr/>
          <w:t>законом</w:t>
        </w:r>
      </w:hyperlink>
      <w:r>
        <w:rPr/>
        <w:t xml:space="preserve"> № 44-ФЗ, </w:t>
        <w:br/>
        <w:t>из суммы, подлежащей оплате Поставщику.</w:t>
      </w:r>
    </w:p>
    <w:p>
      <w:pPr>
        <w:pStyle w:val="Normal"/>
        <w:spacing w:lineRule="atLeast" w:line="0"/>
        <w:ind w:firstLine="567"/>
        <w:jc w:val="both"/>
        <w:rPr/>
      </w:pPr>
      <w:r>
        <w:rPr/>
      </w:r>
    </w:p>
    <w:p>
      <w:pPr>
        <w:pStyle w:val="Normal"/>
        <w:tabs>
          <w:tab w:val="clear" w:pos="708"/>
          <w:tab w:val="left" w:pos="180" w:leader="none"/>
          <w:tab w:val="left" w:pos="540" w:leader="none"/>
        </w:tabs>
        <w:spacing w:lineRule="atLeast" w:line="0"/>
        <w:ind w:hanging="540" w:left="540"/>
        <w:jc w:val="center"/>
        <w:rPr>
          <w:b/>
          <w:caps/>
          <w:lang w:val="uk-UA"/>
        </w:rPr>
      </w:pPr>
      <w:r>
        <w:rPr>
          <w:b/>
          <w:caps/>
          <w:lang w:val="uk-UA"/>
        </w:rPr>
        <w:t>7.</w:t>
      </w:r>
      <w:r>
        <w:rPr>
          <w:caps/>
          <w:lang w:val="uk-UA"/>
        </w:rPr>
        <w:tab/>
      </w:r>
      <w:r>
        <w:rPr>
          <w:b/>
          <w:bCs/>
          <w:color w:val="000000"/>
        </w:rPr>
        <w:t>ОБСТОЯТЕЛЬСТВА НЕПРЕОДОЛИМОЙ СИЛЫ</w:t>
      </w:r>
    </w:p>
    <w:p>
      <w:pPr>
        <w:pStyle w:val="Normal"/>
        <w:widowControl w:val="false"/>
        <w:shd w:val="clear" w:color="auto" w:fill="FFFFFF"/>
        <w:tabs>
          <w:tab w:val="clear" w:pos="708"/>
          <w:tab w:val="left" w:pos="426" w:leader="none"/>
          <w:tab w:val="left" w:pos="970" w:leader="none"/>
        </w:tabs>
        <w:spacing w:lineRule="atLeast" w:line="0"/>
        <w:ind w:firstLine="567" w:right="5"/>
        <w:jc w:val="both"/>
        <w:rPr>
          <w:color w:val="000000"/>
          <w:spacing w:val="-1"/>
        </w:rPr>
      </w:pPr>
      <w:r>
        <w:rPr/>
        <w:t>7.1. </w:t>
      </w:r>
      <w:r>
        <w:rPr>
          <w:color w:val="000000"/>
        </w:rPr>
        <w:t xml:space="preserve">Стороны освобождаются от ответственности за частичное или полное неисполнение, или ненадлежащее исполнение обязательств по настоящему Контракту, если будет доказано, что такое неисполнение или ненадлежащее исполнение связано </w:t>
        <w:br/>
        <w:t xml:space="preserve">с </w:t>
      </w:r>
      <w:r>
        <w:rPr/>
        <w:t>обстоятельствами непреодолимой силы</w:t>
      </w:r>
      <w:r>
        <w:rPr>
          <w:color w:val="000000"/>
        </w:rPr>
        <w:t>.</w:t>
      </w:r>
    </w:p>
    <w:p>
      <w:pPr>
        <w:pStyle w:val="11"/>
        <w:widowControl w:val="false"/>
        <w:numPr>
          <w:ilvl w:val="1"/>
          <w:numId w:val="1"/>
        </w:numPr>
        <w:shd w:val="clear" w:color="auto" w:fill="FFFFFF"/>
        <w:tabs>
          <w:tab w:val="clear" w:pos="708"/>
          <w:tab w:val="left" w:pos="426" w:leader="none"/>
          <w:tab w:val="left" w:pos="970" w:leader="none"/>
        </w:tabs>
        <w:spacing w:lineRule="atLeast" w:line="0"/>
        <w:ind w:firstLine="567" w:left="0"/>
        <w:jc w:val="both"/>
        <w:rPr>
          <w:color w:val="000000"/>
          <w:spacing w:val="-1"/>
        </w:rPr>
      </w:pPr>
      <w:r>
        <w:rPr>
          <w:color w:val="000000"/>
        </w:rPr>
        <w:t xml:space="preserve">Под </w:t>
      </w:r>
      <w:r>
        <w:rPr/>
        <w:t>обстоятельствами непреодолимой силы</w:t>
      </w:r>
      <w:r>
        <w:rPr>
          <w:color w:val="000000"/>
        </w:rPr>
        <w:t xml:space="preserve"> следует понимать чрезвычайные обстоятельства, не действовавшие во время подписания настоящего Контракта и возникшие независимо от воли Сторон, которые не знали об их существовании и не могли принять меры, могущие существенно повлиять на их предотвращение.</w:t>
      </w:r>
    </w:p>
    <w:p>
      <w:pPr>
        <w:pStyle w:val="11"/>
        <w:widowControl w:val="false"/>
        <w:numPr>
          <w:ilvl w:val="1"/>
          <w:numId w:val="1"/>
        </w:numPr>
        <w:shd w:val="clear" w:color="auto" w:fill="FFFFFF"/>
        <w:tabs>
          <w:tab w:val="clear" w:pos="708"/>
          <w:tab w:val="left" w:pos="426" w:leader="none"/>
          <w:tab w:val="left" w:pos="970" w:leader="none"/>
        </w:tabs>
        <w:spacing w:lineRule="atLeast" w:line="0"/>
        <w:ind w:firstLine="567" w:left="0"/>
        <w:jc w:val="both"/>
        <w:rPr>
          <w:color w:val="000000"/>
          <w:spacing w:val="-1"/>
        </w:rPr>
      </w:pPr>
      <w:r>
        <w:rPr>
          <w:color w:val="000000"/>
        </w:rPr>
        <w:t xml:space="preserve">Под </w:t>
      </w:r>
      <w:r>
        <w:rPr/>
        <w:t>обстоятельствами непреодолимой силы</w:t>
      </w:r>
      <w:r>
        <w:rPr>
          <w:color w:val="000000"/>
        </w:rPr>
        <w:t xml:space="preserve"> следует понимать пожары, землетрясения, природные катастрофы, войны и военные действия, забастовки, общественные беспорядки, блокады, эпидемии (эпизоотии), запретительные меры международных организаций, органов государственной власти, управления и банковских учреждений, закрытия портов, железных дорог, транспортных магистралей.</w:t>
      </w:r>
    </w:p>
    <w:p>
      <w:pPr>
        <w:pStyle w:val="11"/>
        <w:widowControl w:val="false"/>
        <w:numPr>
          <w:ilvl w:val="1"/>
          <w:numId w:val="1"/>
        </w:numPr>
        <w:shd w:val="clear" w:color="auto" w:fill="FFFFFF"/>
        <w:tabs>
          <w:tab w:val="clear" w:pos="708"/>
          <w:tab w:val="left" w:pos="0" w:leader="none"/>
          <w:tab w:val="left" w:pos="426" w:leader="none"/>
        </w:tabs>
        <w:spacing w:lineRule="atLeast" w:line="0"/>
        <w:ind w:firstLine="567" w:left="0" w:right="5"/>
        <w:jc w:val="both"/>
        <w:rPr/>
      </w:pPr>
      <w:r>
        <w:rPr>
          <w:color w:val="000000"/>
        </w:rPr>
        <w:t xml:space="preserve">Сторона, которая попала под </w:t>
      </w:r>
      <w:r>
        <w:rPr/>
        <w:t>обстоятельства непреодолимой силы</w:t>
      </w:r>
      <w:r>
        <w:rPr>
          <w:color w:val="000000"/>
        </w:rPr>
        <w:t xml:space="preserve"> и вследствие этого была лишена возможности надлежащим образом исполнять свои обязательства по Контракту, обязана </w:t>
      </w:r>
      <w:r>
        <w:rPr>
          <w:color w:val="000000"/>
          <w:spacing w:val="-8"/>
        </w:rPr>
        <w:t xml:space="preserve">немедленно (в течение пяти календарных дней) сообщить об их действии другой Стороне. Не </w:t>
      </w:r>
      <w:r>
        <w:rPr>
          <w:color w:val="000000"/>
          <w:spacing w:val="-2"/>
        </w:rPr>
        <w:t xml:space="preserve">информирование </w:t>
      </w:r>
      <w:r>
        <w:rPr>
          <w:color w:val="000000"/>
          <w:spacing w:val="-3"/>
        </w:rPr>
        <w:t xml:space="preserve">или </w:t>
      </w:r>
      <w:r>
        <w:rPr>
          <w:color w:val="000000"/>
          <w:spacing w:val="-2"/>
        </w:rPr>
        <w:t xml:space="preserve">несвоевременное информирование о действии </w:t>
      </w:r>
      <w:r>
        <w:rPr/>
        <w:t>обстоятельств непреодолимой силы</w:t>
      </w:r>
      <w:r>
        <w:rPr>
          <w:color w:val="000000"/>
        </w:rPr>
        <w:t xml:space="preserve"> лишает соответствующую Сторону права ссылаться на их действие.</w:t>
      </w:r>
    </w:p>
    <w:p>
      <w:pPr>
        <w:pStyle w:val="Normal"/>
        <w:shd w:val="clear" w:color="auto" w:fill="FFFFFF"/>
        <w:tabs>
          <w:tab w:val="clear" w:pos="708"/>
          <w:tab w:val="left" w:pos="426" w:leader="none"/>
          <w:tab w:val="left" w:pos="970" w:leader="none"/>
        </w:tabs>
        <w:spacing w:lineRule="atLeast" w:line="0"/>
        <w:ind w:firstLine="567" w:right="5"/>
        <w:jc w:val="both"/>
        <w:rPr/>
      </w:pPr>
      <w:r>
        <w:rPr>
          <w:color w:val="000000"/>
          <w:spacing w:val="-1"/>
        </w:rPr>
        <w:t>7.5.</w:t>
      </w:r>
      <w:r>
        <w:rPr>
          <w:color w:val="000000"/>
        </w:rPr>
        <w:tab/>
        <w:t xml:space="preserve">В случае, если </w:t>
      </w:r>
      <w:r>
        <w:rPr/>
        <w:t>обстоятельства непреодолимой силы</w:t>
      </w:r>
      <w:r>
        <w:rPr>
          <w:color w:val="000000"/>
        </w:rPr>
        <w:t>, указанные выше, при условии их надлежащего подтверждения, продолжают действовать в течение 3 (трех) месяцев, каждая из Сторон настоящего Контракта вправе выступить с инициативой о пересмотре условий настоящего Контракта или его прекращения в соответствии с условиями действующего законодательства Российской Федерации.</w:t>
      </w:r>
    </w:p>
    <w:p>
      <w:pPr>
        <w:pStyle w:val="11"/>
        <w:widowControl w:val="false"/>
        <w:numPr>
          <w:ilvl w:val="1"/>
          <w:numId w:val="2"/>
        </w:numPr>
        <w:shd w:val="clear" w:color="auto" w:fill="FFFFFF"/>
        <w:tabs>
          <w:tab w:val="clear" w:pos="708"/>
          <w:tab w:val="left" w:pos="426" w:leader="none"/>
          <w:tab w:val="left" w:pos="1018" w:leader="none"/>
        </w:tabs>
        <w:spacing w:lineRule="atLeast" w:line="0"/>
        <w:ind w:firstLine="567" w:left="0"/>
        <w:jc w:val="both"/>
        <w:rPr>
          <w:color w:val="000000"/>
          <w:spacing w:val="-1"/>
        </w:rPr>
      </w:pPr>
      <w:r>
        <w:rPr>
          <w:color w:val="000000"/>
        </w:rPr>
        <w:t>Возникновение форс-мажорного обстоятельства в период просрочки исполнения Стороной своего обязательства по настоящему Контракту лишает Сторону права ссылаться на эти обстоятельства, как на основания для освобождения от ответственности по настоящему Контракту.</w:t>
      </w:r>
    </w:p>
    <w:p>
      <w:pPr>
        <w:pStyle w:val="11"/>
        <w:widowControl w:val="false"/>
        <w:numPr>
          <w:ilvl w:val="1"/>
          <w:numId w:val="3"/>
        </w:numPr>
        <w:shd w:val="clear" w:color="auto" w:fill="FFFFFF"/>
        <w:tabs>
          <w:tab w:val="clear" w:pos="708"/>
          <w:tab w:val="left" w:pos="426" w:leader="none"/>
          <w:tab w:val="left" w:pos="1018" w:leader="none"/>
        </w:tabs>
        <w:spacing w:lineRule="atLeast" w:line="0"/>
        <w:ind w:firstLine="567" w:left="0" w:right="5"/>
        <w:jc w:val="both"/>
        <w:rPr>
          <w:color w:val="000000"/>
          <w:spacing w:val="-1"/>
        </w:rPr>
      </w:pPr>
      <w:r>
        <w:rPr>
          <w:color w:val="000000"/>
        </w:rPr>
        <w:t xml:space="preserve">Фактом, подтверждающим наличие обстоятельств непреодолимой силы, является справка, </w:t>
      </w:r>
      <w:r>
        <w:rPr>
          <w:color w:val="000000"/>
          <w:spacing w:val="-1"/>
        </w:rPr>
        <w:t xml:space="preserve">выданная компетентным органом государственной власти или компетентным учреждением, организацией </w:t>
      </w:r>
      <w:r>
        <w:rPr>
          <w:color w:val="000000"/>
        </w:rPr>
        <w:t>по местонахождению Стороны, что подпала под влияние обстоятельств непреодолимой силы.</w:t>
      </w:r>
    </w:p>
    <w:p>
      <w:pPr>
        <w:pStyle w:val="11"/>
        <w:widowControl w:val="false"/>
        <w:shd w:val="clear" w:color="auto" w:fill="FFFFFF"/>
        <w:tabs>
          <w:tab w:val="clear" w:pos="708"/>
          <w:tab w:val="left" w:pos="1018" w:leader="none"/>
        </w:tabs>
        <w:spacing w:lineRule="atLeast" w:line="0"/>
        <w:ind w:left="360" w:right="5"/>
        <w:jc w:val="center"/>
        <w:rPr>
          <w:b/>
          <w:bCs/>
          <w:color w:val="000000"/>
          <w:spacing w:val="-1"/>
        </w:rPr>
      </w:pPr>
      <w:r>
        <w:rPr>
          <w:b/>
          <w:bCs/>
          <w:color w:val="000000"/>
          <w:spacing w:val="-1"/>
        </w:rPr>
      </w:r>
    </w:p>
    <w:p>
      <w:pPr>
        <w:pStyle w:val="11"/>
        <w:widowControl w:val="false"/>
        <w:numPr>
          <w:ilvl w:val="0"/>
          <w:numId w:val="2"/>
        </w:numPr>
        <w:shd w:val="clear" w:color="auto" w:fill="FFFFFF"/>
        <w:tabs>
          <w:tab w:val="clear" w:pos="708"/>
          <w:tab w:val="left" w:pos="1018" w:leader="none"/>
        </w:tabs>
        <w:spacing w:lineRule="atLeast" w:line="0"/>
        <w:ind w:hanging="360" w:left="360" w:right="5"/>
        <w:jc w:val="center"/>
        <w:rPr>
          <w:b/>
          <w:bCs/>
          <w:color w:val="000000"/>
          <w:spacing w:val="-1"/>
        </w:rPr>
      </w:pPr>
      <w:r>
        <w:rPr>
          <w:b/>
          <w:bCs/>
          <w:color w:val="000000"/>
          <w:spacing w:val="-1"/>
          <w:lang w:val="ug-CN"/>
        </w:rPr>
        <w:t>РАССМОТРЕНИЕ И РАЗРЕШЕНИЕ СПОРОВ</w:t>
      </w:r>
    </w:p>
    <w:p>
      <w:pPr>
        <w:pStyle w:val="Normal"/>
        <w:widowControl w:val="false"/>
        <w:spacing w:lineRule="atLeast" w:line="0"/>
        <w:ind w:firstLine="567"/>
        <w:jc w:val="both"/>
        <w:rPr>
          <w:lang w:val="ug-CN"/>
        </w:rPr>
      </w:pPr>
      <w:r>
        <w:rPr>
          <w:lang w:val="ug-CN"/>
        </w:rPr>
        <w:t>8.1.</w:t>
      </w:r>
      <w:r>
        <w:rPr/>
        <w:t> </w:t>
      </w:r>
      <w:r>
        <w:rPr>
          <w:lang w:val="ug-CN"/>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widowControl w:val="false"/>
        <w:spacing w:lineRule="atLeast" w:line="0"/>
        <w:ind w:firstLine="567"/>
        <w:jc w:val="both"/>
        <w:rPr>
          <w:lang w:val="ug-CN"/>
        </w:rPr>
      </w:pPr>
      <w:r>
        <w:rPr>
          <w:lang w:val="ug-CN"/>
        </w:rPr>
        <w:t>8.2.</w:t>
      </w:r>
      <w:r>
        <w:rPr/>
        <w:t> </w:t>
      </w:r>
      <w:r>
        <w:rPr>
          <w:lang w:val="ug-CN"/>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widowControl w:val="false"/>
        <w:spacing w:lineRule="atLeast" w:line="0"/>
        <w:ind w:firstLine="567"/>
        <w:jc w:val="both"/>
        <w:rPr>
          <w:lang w:val="ug-CN"/>
        </w:rPr>
      </w:pPr>
      <w:r>
        <w:rPr>
          <w:lang w:val="ug-CN"/>
        </w:rPr>
        <w:t>8.3.</w:t>
      </w:r>
      <w:r>
        <w:rPr/>
        <w:t> </w:t>
      </w:r>
      <w:r>
        <w:rPr>
          <w:lang w:val="ug-CN"/>
        </w:rPr>
        <w:t>Срок рассмотрения претензии не может превышать 5 (пяти)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Normal"/>
        <w:widowControl w:val="false"/>
        <w:spacing w:lineRule="atLeast" w:line="0"/>
        <w:ind w:firstLine="567"/>
        <w:jc w:val="both"/>
        <w:rPr/>
      </w:pPr>
      <w:r>
        <w:rPr>
          <w:lang w:val="ug-CN"/>
        </w:rPr>
        <w:t>8.4.</w:t>
      </w:r>
      <w:r>
        <w:rPr/>
        <w:t> </w:t>
      </w:r>
      <w:r>
        <w:rPr>
          <w:lang w:val="ug-CN"/>
        </w:rPr>
        <w:t>При не урегулировании Сторонами спора в досудебном порядке спор разрешается в судебном порядке в Арбитражном суде Донецкой Народной Республики.</w:t>
      </w:r>
    </w:p>
    <w:p>
      <w:pPr>
        <w:pStyle w:val="Normal"/>
        <w:widowControl w:val="false"/>
        <w:spacing w:lineRule="atLeast" w:line="0"/>
        <w:ind w:firstLine="567"/>
        <w:jc w:val="both"/>
        <w:rPr>
          <w:lang w:val="ug-CN"/>
        </w:rPr>
      </w:pPr>
      <w:r>
        <w:rPr>
          <w:lang w:val="ug-CN"/>
        </w:rPr>
      </w:r>
    </w:p>
    <w:p>
      <w:pPr>
        <w:pStyle w:val="Normal"/>
        <w:widowControl w:val="false"/>
        <w:shd w:val="clear" w:color="auto" w:fill="FFFFFF"/>
        <w:spacing w:lineRule="atLeast" w:line="0"/>
        <w:jc w:val="center"/>
        <w:rPr>
          <w:b/>
          <w:bCs/>
          <w:color w:val="000000"/>
          <w:lang w:val="ug-CN"/>
        </w:rPr>
      </w:pPr>
      <w:r>
        <w:rPr>
          <w:b/>
          <w:bCs/>
          <w:color w:val="000000"/>
          <w:lang w:val="ug-CN"/>
        </w:rPr>
        <w:t>9. СРОК ДЕЙСТВИЯ КОНТРАКТА</w:t>
      </w:r>
    </w:p>
    <w:p>
      <w:pPr>
        <w:pStyle w:val="Normal"/>
        <w:widowControl w:val="false"/>
        <w:shd w:val="clear" w:color="auto" w:fill="FFFFFF"/>
        <w:spacing w:lineRule="atLeast" w:line="0"/>
        <w:ind w:firstLine="567"/>
        <w:jc w:val="both"/>
        <w:rPr>
          <w:color w:val="000000"/>
        </w:rPr>
      </w:pPr>
      <w:r>
        <w:rPr>
          <w:color w:val="000000"/>
          <w:lang w:val="ug-CN"/>
        </w:rPr>
        <w:t>9.1.</w:t>
      </w:r>
      <w:r>
        <w:rPr>
          <w:color w:val="000000"/>
        </w:rPr>
        <w:t> </w:t>
      </w:r>
      <w:r>
        <w:rPr>
          <w:color w:val="000000"/>
          <w:lang w:val="ug-CN"/>
        </w:rPr>
        <w:t>Контракт вступает в силу с даты подписания и действует по</w:t>
      </w:r>
      <w:r>
        <w:rPr>
          <w:color w:val="000000"/>
        </w:rPr>
        <w:t xml:space="preserve"> </w:t>
      </w:r>
      <w:r>
        <w:rPr>
          <w:b/>
          <w:bCs/>
          <w:color w:val="000000"/>
        </w:rPr>
        <w:t>30.11.</w:t>
      </w:r>
      <w:r>
        <w:rPr>
          <w:b/>
          <w:bCs/>
          <w:color w:val="000000"/>
          <w:lang w:val="ug-CN"/>
        </w:rPr>
        <w:t xml:space="preserve">2026 года включительно, </w:t>
      </w:r>
      <w:r>
        <w:rPr>
          <w:color w:val="000000"/>
          <w:lang w:val="ug-CN"/>
        </w:rPr>
        <w:t xml:space="preserve">а в части неисполненных обязательств – до полного их исполнения Сторонами. </w:t>
      </w:r>
    </w:p>
    <w:p>
      <w:pPr>
        <w:pStyle w:val="Normal"/>
        <w:widowControl w:val="false"/>
        <w:shd w:val="clear" w:color="auto" w:fill="FFFFFF"/>
        <w:spacing w:lineRule="atLeast" w:line="0"/>
        <w:ind w:firstLine="567"/>
        <w:jc w:val="both"/>
        <w:rPr>
          <w:color w:val="000000"/>
        </w:rPr>
      </w:pPr>
      <w:r>
        <w:rPr>
          <w:color w:val="000000"/>
        </w:rPr>
        <w:t xml:space="preserve">9.2. Контракт, может быть расторгнут досрочно по соглашению Сторон, либо по решению суда, либо по иным основаниям, предусмотренным действующим законодательством, в том числе в рамках одностороннего отказа стороны Контракта от исполнения Контракта в соответствии с положением ч.8 -11, 13-19, 21-23 и 25 ст.95 Закона № 44-ФЗ. </w:t>
      </w:r>
    </w:p>
    <w:p>
      <w:pPr>
        <w:pStyle w:val="Normal"/>
        <w:widowControl w:val="false"/>
        <w:shd w:val="clear" w:color="auto" w:fill="FFFFFF"/>
        <w:tabs>
          <w:tab w:val="clear" w:pos="708"/>
          <w:tab w:val="left" w:pos="0" w:leader="none"/>
        </w:tabs>
        <w:spacing w:lineRule="atLeast" w:line="0"/>
        <w:ind w:firstLine="567" w:right="5"/>
        <w:jc w:val="both"/>
        <w:rPr>
          <w:color w:val="000000"/>
          <w:spacing w:val="-1"/>
          <w:lang w:val="ug-CN"/>
        </w:rPr>
      </w:pPr>
      <w:r>
        <w:rPr>
          <w:lang w:val="ug-CN"/>
        </w:rPr>
        <w:t>9.3.</w:t>
      </w:r>
      <w:r>
        <w:rPr/>
        <w:t> </w:t>
      </w:r>
      <w:r>
        <w:rPr>
          <w:color w:val="000000"/>
          <w:lang w:val="ug-CN"/>
        </w:rPr>
        <w:t>Стороны имеют право в одностороннем порядке отказаться от исполнения настоящего Контракта, а также в случае нарушения одной из Сторон условий настоящего Контракта, а именно:</w:t>
      </w:r>
    </w:p>
    <w:p>
      <w:pPr>
        <w:pStyle w:val="Normal"/>
        <w:widowControl w:val="false"/>
        <w:shd w:val="clear" w:color="auto" w:fill="FFFFFF"/>
        <w:tabs>
          <w:tab w:val="clear" w:pos="708"/>
          <w:tab w:val="left" w:pos="811" w:leader="none"/>
        </w:tabs>
        <w:spacing w:lineRule="atLeast" w:line="0"/>
        <w:ind w:firstLine="567" w:right="5"/>
        <w:jc w:val="both"/>
        <w:rPr>
          <w:lang w:val="ug-CN"/>
        </w:rPr>
      </w:pPr>
      <w:r>
        <w:rPr>
          <w:color w:val="000000"/>
          <w:spacing w:val="-1"/>
          <w:lang w:val="ug-CN"/>
        </w:rPr>
        <w:t>1)</w:t>
      </w:r>
      <w:r>
        <w:rPr>
          <w:color w:val="000000"/>
          <w:lang w:val="ug-CN"/>
        </w:rPr>
        <w:tab/>
        <w:t>не передачи нефтепродуктов по «</w:t>
      </w:r>
      <w:r>
        <w:rPr>
          <w:color w:val="000000"/>
        </w:rPr>
        <w:t>талонам</w:t>
      </w:r>
      <w:r>
        <w:rPr>
          <w:color w:val="000000"/>
          <w:lang w:val="ug-CN"/>
        </w:rPr>
        <w:t>», ассортимент, количество, цена которых согласованы Сторонами в соответствии с условиями настоящего Контракта;</w:t>
      </w:r>
    </w:p>
    <w:p>
      <w:pPr>
        <w:pStyle w:val="Normal"/>
        <w:widowControl w:val="false"/>
        <w:shd w:val="clear" w:color="auto" w:fill="FFFFFF"/>
        <w:tabs>
          <w:tab w:val="clear" w:pos="708"/>
          <w:tab w:val="left" w:pos="778" w:leader="none"/>
        </w:tabs>
        <w:spacing w:lineRule="atLeast" w:line="0"/>
        <w:ind w:firstLine="567"/>
        <w:jc w:val="both"/>
        <w:rPr>
          <w:color w:val="000000"/>
          <w:lang w:val="ug-CN"/>
        </w:rPr>
      </w:pPr>
      <w:r>
        <w:rPr>
          <w:color w:val="000000"/>
          <w:spacing w:val="-1"/>
          <w:lang w:val="ug-CN"/>
        </w:rPr>
        <w:t xml:space="preserve">2) </w:t>
      </w:r>
      <w:r>
        <w:rPr>
          <w:color w:val="000000"/>
          <w:lang w:val="ug-CN"/>
        </w:rPr>
        <w:t xml:space="preserve">не оплаты за переданные Нефтепродукты по </w:t>
      </w:r>
      <w:r>
        <w:rPr>
          <w:color w:val="000000"/>
        </w:rPr>
        <w:t>УПД</w:t>
      </w:r>
      <w:r>
        <w:rPr>
          <w:color w:val="000000"/>
          <w:lang w:val="ug-CN"/>
        </w:rPr>
        <w:t>.</w:t>
      </w:r>
    </w:p>
    <w:p>
      <w:pPr>
        <w:pStyle w:val="Normal"/>
        <w:widowControl w:val="false"/>
        <w:shd w:val="clear" w:color="auto" w:fill="FFFFFF"/>
        <w:tabs>
          <w:tab w:val="clear" w:pos="708"/>
          <w:tab w:val="left" w:pos="778" w:leader="none"/>
        </w:tabs>
        <w:spacing w:lineRule="atLeast" w:line="0"/>
        <w:ind w:firstLine="567"/>
        <w:jc w:val="both"/>
        <w:rPr>
          <w:color w:val="000000"/>
          <w:lang w:val="ug-CN"/>
        </w:rPr>
      </w:pPr>
      <w:r>
        <w:rPr>
          <w:color w:val="000000"/>
          <w:lang w:val="ug-CN"/>
        </w:rPr>
      </w:r>
    </w:p>
    <w:p>
      <w:pPr>
        <w:pStyle w:val="Normal"/>
        <w:widowControl w:val="false"/>
        <w:shd w:val="clear" w:color="auto" w:fill="FFFFFF"/>
        <w:spacing w:lineRule="atLeast" w:line="0"/>
        <w:ind w:right="5"/>
        <w:jc w:val="center"/>
        <w:rPr>
          <w:b/>
          <w:bCs/>
          <w:color w:val="000000"/>
          <w:lang w:val="ug-CN"/>
        </w:rPr>
      </w:pPr>
      <w:r>
        <w:rPr>
          <w:b/>
          <w:bCs/>
          <w:color w:val="000000"/>
          <w:lang w:val="ug-CN"/>
        </w:rPr>
        <w:t>10. КОНФИДЕНЦИАЛЬНОСТЬ</w:t>
      </w:r>
    </w:p>
    <w:p>
      <w:pPr>
        <w:pStyle w:val="11"/>
        <w:widowControl w:val="false"/>
        <w:shd w:val="clear" w:color="auto" w:fill="FFFFFF"/>
        <w:tabs>
          <w:tab w:val="clear" w:pos="708"/>
          <w:tab w:val="left" w:pos="0" w:leader="none"/>
        </w:tabs>
        <w:spacing w:lineRule="atLeast" w:line="0"/>
        <w:ind w:firstLine="567" w:left="0"/>
        <w:jc w:val="both"/>
        <w:rPr>
          <w:color w:val="000000"/>
          <w:spacing w:val="-1"/>
          <w:lang w:val="ug-CN"/>
        </w:rPr>
      </w:pPr>
      <w:r>
        <w:rPr>
          <w:color w:val="000000"/>
          <w:lang w:val="ug-CN"/>
        </w:rPr>
        <w:t>10.1</w:t>
      </w:r>
      <w:r>
        <w:rPr>
          <w:color w:val="000000"/>
        </w:rPr>
        <w:t> </w:t>
      </w:r>
      <w:r>
        <w:rPr>
          <w:color w:val="000000"/>
          <w:lang w:val="ug-CN"/>
        </w:rPr>
        <w:t>В течение срока действия Контракта (если больший срок не предусмотрен законодательством Российской Федерации), Стороны обязуются обеспечивать конфиденциальность условий Контракта, любой информации и (или) документов, полученной(-ых) от другой Стороны либо предоставленной(-ых) Стороне при исполнении Контракта (далее – конфиденциальная информация).</w:t>
      </w:r>
    </w:p>
    <w:p>
      <w:pPr>
        <w:pStyle w:val="11"/>
        <w:widowControl w:val="false"/>
        <w:numPr>
          <w:ilvl w:val="1"/>
          <w:numId w:val="4"/>
        </w:numPr>
        <w:shd w:val="clear" w:color="auto" w:fill="FFFFFF"/>
        <w:tabs>
          <w:tab w:val="clear" w:pos="708"/>
          <w:tab w:val="left" w:pos="1134" w:leader="none"/>
        </w:tabs>
        <w:spacing w:lineRule="atLeast" w:line="0"/>
        <w:ind w:firstLine="567" w:left="0" w:right="5"/>
        <w:jc w:val="both"/>
        <w:rPr>
          <w:color w:val="000000"/>
          <w:spacing w:val="-1"/>
          <w:lang w:val="ug-CN"/>
        </w:rPr>
      </w:pPr>
      <w:r>
        <w:rPr>
          <w:color w:val="000000"/>
          <w:lang w:val="ug-CN"/>
        </w:rPr>
        <w:t>Стороны при получении любой конфиденциальной информации, в том числе в устной форме, не вправе распространять ее, и обязуются обрабатывать такую информацию с той степенью заботливости и осмотрительности, которая применяется относительно его информации того же уровня важности.</w:t>
      </w:r>
    </w:p>
    <w:p>
      <w:pPr>
        <w:pStyle w:val="Normal"/>
        <w:widowControl w:val="false"/>
        <w:shd w:val="clear" w:color="auto" w:fill="FFFFFF"/>
        <w:tabs>
          <w:tab w:val="clear" w:pos="708"/>
          <w:tab w:val="left" w:pos="1134" w:leader="none"/>
        </w:tabs>
        <w:spacing w:lineRule="atLeast" w:line="0"/>
        <w:ind w:firstLine="567" w:right="5"/>
        <w:jc w:val="both"/>
        <w:rPr>
          <w:lang w:val="ug-CN"/>
        </w:rPr>
      </w:pPr>
      <w:r>
        <w:rPr>
          <w:color w:val="000000"/>
          <w:lang w:val="ug-CN"/>
        </w:rPr>
        <w:t>Стороны вправе предоставить конфиденциальную информацию третьему лицу только при совокупном соблюдении следующих условий:</w:t>
      </w:r>
    </w:p>
    <w:p>
      <w:pPr>
        <w:pStyle w:val="Normal"/>
        <w:widowControl w:val="false"/>
        <w:shd w:val="clear" w:color="auto" w:fill="FFFFFF"/>
        <w:tabs>
          <w:tab w:val="clear" w:pos="708"/>
          <w:tab w:val="left" w:pos="1134" w:leader="none"/>
        </w:tabs>
        <w:spacing w:lineRule="atLeast" w:line="0"/>
        <w:ind w:firstLine="567"/>
        <w:jc w:val="both"/>
        <w:rPr>
          <w:lang w:val="ug-CN"/>
        </w:rPr>
      </w:pPr>
      <w:r>
        <w:rPr>
          <w:color w:val="000000"/>
          <w:lang w:val="ug-CN"/>
        </w:rPr>
        <w:t xml:space="preserve">– </w:t>
      </w:r>
      <w:r>
        <w:rPr>
          <w:color w:val="000000"/>
          <w:lang w:val="ug-CN"/>
        </w:rPr>
        <w:t>наличие письменного согласия другой Стороны;</w:t>
      </w:r>
    </w:p>
    <w:p>
      <w:pPr>
        <w:pStyle w:val="Normal"/>
        <w:widowControl w:val="false"/>
        <w:shd w:val="clear" w:color="auto" w:fill="FFFFFF"/>
        <w:tabs>
          <w:tab w:val="clear" w:pos="708"/>
          <w:tab w:val="left" w:pos="1134" w:leader="none"/>
        </w:tabs>
        <w:spacing w:lineRule="atLeast" w:line="0"/>
        <w:ind w:firstLine="567" w:right="5"/>
        <w:jc w:val="both"/>
        <w:rPr>
          <w:lang w:val="ug-CN"/>
        </w:rPr>
      </w:pPr>
      <w:r>
        <w:rPr>
          <w:color w:val="000000"/>
          <w:lang w:val="ug-CN"/>
        </w:rPr>
        <w:t xml:space="preserve">– </w:t>
      </w:r>
      <w:r>
        <w:rPr>
          <w:color w:val="000000"/>
          <w:lang w:val="ug-CN"/>
        </w:rPr>
        <w:t>заключение между Стороной и лицом, которому предоставляется конфиденциальная информация соглашение об обеспечении конфиденциальности такой информации на условиях, аналогичных изложенным в настоящем разделе Контракта.</w:t>
      </w:r>
    </w:p>
    <w:p>
      <w:pPr>
        <w:pStyle w:val="Normal"/>
        <w:widowControl w:val="false"/>
        <w:shd w:val="clear" w:color="auto" w:fill="FFFFFF"/>
        <w:tabs>
          <w:tab w:val="clear" w:pos="708"/>
          <w:tab w:val="left" w:pos="1134" w:leader="none"/>
        </w:tabs>
        <w:spacing w:lineRule="atLeast" w:line="0"/>
        <w:ind w:firstLine="567"/>
        <w:jc w:val="both"/>
        <w:rPr>
          <w:lang w:val="ug-CN"/>
        </w:rPr>
      </w:pPr>
      <w:r>
        <w:rPr>
          <w:color w:val="000000"/>
          <w:spacing w:val="-1"/>
          <w:lang w:val="ug-CN"/>
        </w:rPr>
        <w:t>10.3.</w:t>
      </w:r>
      <w:r>
        <w:rPr>
          <w:color w:val="000000"/>
          <w:spacing w:val="-1"/>
        </w:rPr>
        <w:t> </w:t>
      </w:r>
      <w:r>
        <w:rPr>
          <w:color w:val="000000"/>
          <w:lang w:val="ug-CN"/>
        </w:rPr>
        <w:t>Информация, полученная Сторонами, не рассматривается как конфиденциальная и, соответственно, у Сторон не возникает обязательств по сохранению конфиденциальности в отношении такой информации, если она удовлетворяет одной из следующих характеристик:</w:t>
      </w:r>
    </w:p>
    <w:p>
      <w:pPr>
        <w:pStyle w:val="Normal"/>
        <w:widowControl w:val="false"/>
        <w:shd w:val="clear" w:color="auto" w:fill="FFFFFF"/>
        <w:tabs>
          <w:tab w:val="clear" w:pos="708"/>
          <w:tab w:val="left" w:pos="1134" w:leader="none"/>
        </w:tabs>
        <w:spacing w:lineRule="atLeast" w:line="0"/>
        <w:ind w:firstLine="567"/>
        <w:jc w:val="both"/>
        <w:rPr>
          <w:lang w:val="ug-CN"/>
        </w:rPr>
      </w:pPr>
      <w:r>
        <w:rPr>
          <w:color w:val="000000"/>
          <w:lang w:val="ug-CN"/>
        </w:rPr>
        <w:t xml:space="preserve">– </w:t>
      </w:r>
      <w:r>
        <w:rPr>
          <w:color w:val="000000"/>
          <w:lang w:val="ug-CN"/>
        </w:rPr>
        <w:t>информация во время ее раскрытия является публично известной;</w:t>
      </w:r>
    </w:p>
    <w:p>
      <w:pPr>
        <w:pStyle w:val="Normal"/>
        <w:widowControl w:val="false"/>
        <w:shd w:val="clear" w:color="auto" w:fill="FFFFFF"/>
        <w:tabs>
          <w:tab w:val="clear" w:pos="708"/>
          <w:tab w:val="left" w:pos="1134" w:leader="none"/>
        </w:tabs>
        <w:spacing w:lineRule="atLeast" w:line="0"/>
        <w:ind w:firstLine="567" w:right="5"/>
        <w:jc w:val="both"/>
        <w:rPr>
          <w:lang w:val="ug-CN"/>
        </w:rPr>
      </w:pPr>
      <w:r>
        <w:rPr>
          <w:color w:val="000000"/>
          <w:lang w:val="ug-CN"/>
        </w:rPr>
        <w:t xml:space="preserve">– </w:t>
      </w:r>
      <w:r>
        <w:rPr>
          <w:color w:val="000000"/>
          <w:lang w:val="ug-CN"/>
        </w:rPr>
        <w:t>информация представлена Стороной с письменным указанием на то, что она не является конфиденциальной;</w:t>
      </w:r>
    </w:p>
    <w:p>
      <w:pPr>
        <w:pStyle w:val="Normal"/>
        <w:widowControl w:val="false"/>
        <w:shd w:val="clear" w:color="auto" w:fill="FFFFFF"/>
        <w:tabs>
          <w:tab w:val="clear" w:pos="708"/>
          <w:tab w:val="left" w:pos="1134" w:leader="none"/>
        </w:tabs>
        <w:spacing w:lineRule="atLeast" w:line="0"/>
        <w:ind w:firstLine="567"/>
        <w:jc w:val="both"/>
        <w:rPr>
          <w:lang w:val="ug-CN"/>
        </w:rPr>
      </w:pPr>
      <w:r>
        <w:rPr>
          <w:color w:val="000000"/>
          <w:lang w:val="ug-CN"/>
        </w:rPr>
        <w:t xml:space="preserve">– </w:t>
      </w:r>
      <w:r>
        <w:rPr>
          <w:color w:val="000000"/>
          <w:lang w:val="ug-CN"/>
        </w:rPr>
        <w:t>информация получена от любого третьего лица на законных основаниях.</w:t>
      </w:r>
    </w:p>
    <w:p>
      <w:pPr>
        <w:pStyle w:val="Normal"/>
        <w:widowControl w:val="false"/>
        <w:shd w:val="clear" w:color="auto" w:fill="FFFFFF"/>
        <w:tabs>
          <w:tab w:val="clear" w:pos="708"/>
          <w:tab w:val="left" w:pos="1134" w:leader="none"/>
        </w:tabs>
        <w:spacing w:lineRule="atLeast" w:line="0"/>
        <w:ind w:firstLine="567"/>
        <w:jc w:val="both"/>
        <w:rPr>
          <w:lang w:val="ug-CN"/>
        </w:rPr>
      </w:pPr>
      <w:r>
        <w:rPr>
          <w:color w:val="000000"/>
          <w:spacing w:val="-1"/>
          <w:lang w:val="ug-CN"/>
        </w:rPr>
        <w:t>10.4.</w:t>
      </w:r>
      <w:r>
        <w:rPr>
          <w:color w:val="000000"/>
          <w:spacing w:val="-1"/>
        </w:rPr>
        <w:t> </w:t>
      </w:r>
      <w:r>
        <w:rPr>
          <w:color w:val="000000"/>
          <w:lang w:val="ug-CN"/>
        </w:rPr>
        <w:t>В случае неисполнения или ненадлежащего исполнения Стороной обязательств,предусмотренных настоящим разделом Контракта, такая Сторона несет ответственность в соответствии с законодательством Российской Федерации в виде полного возмещения причиненных другой Стороне убытков.</w:t>
      </w:r>
    </w:p>
    <w:p>
      <w:pPr>
        <w:pStyle w:val="11"/>
        <w:widowControl w:val="false"/>
        <w:numPr>
          <w:ilvl w:val="1"/>
          <w:numId w:val="5"/>
        </w:numPr>
        <w:shd w:val="clear" w:color="auto" w:fill="FFFFFF"/>
        <w:tabs>
          <w:tab w:val="clear" w:pos="708"/>
          <w:tab w:val="left" w:pos="1013" w:leader="none"/>
          <w:tab w:val="left" w:pos="1134" w:leader="none"/>
        </w:tabs>
        <w:spacing w:lineRule="atLeast" w:line="0"/>
        <w:ind w:firstLine="567" w:left="0" w:right="5"/>
        <w:jc w:val="both"/>
        <w:rPr>
          <w:color w:val="000000"/>
          <w:spacing w:val="-1"/>
          <w:lang w:val="ug-CN"/>
        </w:rPr>
      </w:pPr>
      <w:r>
        <w:rPr>
          <w:color w:val="000000"/>
          <w:lang w:val="ug-CN"/>
        </w:rPr>
        <w:t>Стороны вправе предоставлять конфиденциальную информацию государственным органам, своим контрагентам, консультантам, аудиторам, адвокатам, страховщикам, аффилированным лицам, акционерам, лицам, входящим в ту же группу, что и Стороны и пр.</w:t>
      </w:r>
    </w:p>
    <w:p>
      <w:pPr>
        <w:pStyle w:val="11"/>
        <w:widowControl w:val="false"/>
        <w:numPr>
          <w:ilvl w:val="1"/>
          <w:numId w:val="5"/>
        </w:numPr>
        <w:shd w:val="clear" w:color="auto" w:fill="FFFFFF"/>
        <w:tabs>
          <w:tab w:val="clear" w:pos="708"/>
          <w:tab w:val="left" w:pos="1013" w:leader="none"/>
          <w:tab w:val="left" w:pos="1134" w:leader="none"/>
        </w:tabs>
        <w:spacing w:lineRule="atLeast" w:line="0"/>
        <w:ind w:firstLine="567" w:left="0" w:right="5"/>
        <w:jc w:val="both"/>
        <w:rPr>
          <w:color w:val="000000"/>
          <w:spacing w:val="-1"/>
          <w:lang w:val="ug-CN"/>
        </w:rPr>
      </w:pPr>
      <w:r>
        <w:rPr>
          <w:color w:val="000000"/>
          <w:lang w:val="ug-CN"/>
        </w:rPr>
        <w:t>Каждая из Сторон предоставляет другой Стороне заверение, что ею получено согласие физических лиц, привлеченных к исполнению Контракта тем или иным способом, на обработку их персональных данных, позволяющее включать такие персональные данные в текст Контракта, передавать их другой Стороне, а также обрабатывать их иными способами, необходимыми для реализации прав и выполнения обязанностей Сторонами по Контракту.</w:t>
      </w:r>
    </w:p>
    <w:p>
      <w:pPr>
        <w:pStyle w:val="Normal"/>
        <w:widowControl w:val="false"/>
        <w:shd w:val="clear" w:color="auto" w:fill="FFFFFF"/>
        <w:tabs>
          <w:tab w:val="clear" w:pos="708"/>
          <w:tab w:val="left" w:pos="1134" w:leader="none"/>
        </w:tabs>
        <w:spacing w:lineRule="atLeast" w:line="0"/>
        <w:ind w:firstLine="567"/>
        <w:jc w:val="both"/>
        <w:rPr>
          <w:lang w:val="ug-CN"/>
        </w:rPr>
      </w:pPr>
      <w:r>
        <w:rPr>
          <w:color w:val="000000"/>
          <w:lang w:val="ug-CN"/>
        </w:rPr>
        <w:t>В случае привлечения к исполнению Контракта физических лиц, согласие на обработку персональных данных которых не было получено на момент предоставления заверения, указанного в абз. 1 настоящего пункта Контракта, Сторона, привлекающая таких лиц, обязана получить согласие на обработку их персональных данных в объеме, указанном в абз.1 настоящего пункта Контракта.</w:t>
      </w:r>
    </w:p>
    <w:p>
      <w:pPr>
        <w:pStyle w:val="Normal"/>
        <w:widowControl w:val="false"/>
        <w:shd w:val="clear" w:color="auto" w:fill="FFFFFF"/>
        <w:tabs>
          <w:tab w:val="clear" w:pos="708"/>
          <w:tab w:val="left" w:pos="1134" w:leader="none"/>
        </w:tabs>
        <w:spacing w:lineRule="atLeast" w:line="0"/>
        <w:ind w:firstLine="709" w:right="5"/>
        <w:jc w:val="both"/>
        <w:rPr>
          <w:color w:val="000000"/>
          <w:lang w:val="ug-CN"/>
        </w:rPr>
      </w:pPr>
      <w:r>
        <w:rPr>
          <w:color w:val="000000"/>
          <w:lang w:val="ug-CN"/>
        </w:rPr>
        <w:t>В случае несоответствия заверения, предоставленного в абз. 1 настоящего пункта Контракта, действительности, и (или) невыполнения обязанности, указанной в абз. 2 настоящего пункта Контракта, нарушившая Сторона несет все вызванные этим негативные последствия.</w:t>
      </w:r>
    </w:p>
    <w:p>
      <w:pPr>
        <w:pStyle w:val="Normal"/>
        <w:widowControl w:val="false"/>
        <w:shd w:val="clear" w:color="auto" w:fill="FFFFFF"/>
        <w:tabs>
          <w:tab w:val="clear" w:pos="708"/>
          <w:tab w:val="left" w:pos="1134" w:leader="none"/>
        </w:tabs>
        <w:spacing w:lineRule="atLeast" w:line="0"/>
        <w:ind w:firstLine="709" w:right="5"/>
        <w:jc w:val="both"/>
        <w:rPr>
          <w:color w:val="000000"/>
          <w:lang w:val="ug-CN"/>
        </w:rPr>
      </w:pPr>
      <w:r>
        <w:rPr>
          <w:color w:val="000000"/>
          <w:lang w:val="ug-CN"/>
        </w:rPr>
      </w:r>
    </w:p>
    <w:p>
      <w:pPr>
        <w:pStyle w:val="ListParagraph"/>
        <w:widowControl w:val="false"/>
        <w:numPr>
          <w:ilvl w:val="0"/>
          <w:numId w:val="5"/>
        </w:numPr>
        <w:shd w:val="clear" w:color="auto" w:fill="FFFFFF"/>
        <w:spacing w:lineRule="atLeast" w:line="0"/>
        <w:jc w:val="center"/>
        <w:rPr>
          <w:b/>
          <w:bCs/>
          <w:color w:val="000000"/>
          <w:lang w:val="ug-CN"/>
        </w:rPr>
      </w:pPr>
      <w:r>
        <w:rPr>
          <w:b/>
          <w:bCs/>
          <w:color w:val="000000"/>
          <w:lang w:val="ug-CN"/>
        </w:rPr>
        <w:t>ПРОЧИЕ УСЛОВИЯ</w:t>
      </w:r>
    </w:p>
    <w:p>
      <w:pPr>
        <w:pStyle w:val="Normal"/>
        <w:widowControl w:val="false"/>
        <w:shd w:val="clear" w:color="auto" w:fill="FFFFFF"/>
        <w:tabs>
          <w:tab w:val="clear" w:pos="708"/>
          <w:tab w:val="left" w:pos="1013" w:leader="none"/>
        </w:tabs>
        <w:spacing w:lineRule="atLeast" w:line="0"/>
        <w:ind w:firstLine="566" w:right="5"/>
        <w:jc w:val="both"/>
        <w:rPr>
          <w:color w:val="000000"/>
          <w:lang w:val="ug-CN"/>
        </w:rPr>
      </w:pPr>
      <w:r>
        <w:rPr>
          <w:color w:val="000000"/>
          <w:lang w:val="ug-CN"/>
        </w:rPr>
        <w:t>11.1.</w:t>
      </w:r>
      <w:r>
        <w:rPr/>
        <w:t> </w:t>
      </w:r>
      <w:r>
        <w:rPr>
          <w:color w:val="000000"/>
          <w:lang w:val="ug-CN"/>
        </w:rPr>
        <w:t>Контракт составлен в 2-х экземплярах, имеющих одинаковую юридическую силу, по одному для каждой из Сторон.</w:t>
      </w:r>
    </w:p>
    <w:p>
      <w:pPr>
        <w:pStyle w:val="Normal"/>
        <w:widowControl w:val="false"/>
        <w:shd w:val="clear" w:color="auto" w:fill="FFFFFF"/>
        <w:tabs>
          <w:tab w:val="clear" w:pos="708"/>
          <w:tab w:val="left" w:pos="0" w:leader="none"/>
        </w:tabs>
        <w:spacing w:lineRule="atLeast" w:line="0"/>
        <w:ind w:firstLine="566" w:right="5"/>
        <w:jc w:val="both"/>
        <w:rPr>
          <w:color w:val="000000"/>
          <w:lang w:val="ug-CN"/>
        </w:rPr>
      </w:pPr>
      <w:r>
        <w:rPr>
          <w:color w:val="000000"/>
          <w:lang w:val="ug-CN"/>
        </w:rPr>
        <w:t>11.2.</w:t>
      </w:r>
      <w:r>
        <w:rPr>
          <w:color w:val="000000"/>
        </w:rPr>
        <w:t> </w:t>
      </w:r>
      <w:r>
        <w:rPr>
          <w:color w:val="000000"/>
          <w:lang w:val="ug-CN"/>
        </w:rPr>
        <w:t>В случае изменения у какой-либо из Сторон местонахождения, наименования,</w:t>
      </w:r>
      <w:r>
        <w:rPr>
          <w:color w:val="000000"/>
        </w:rPr>
        <w:br/>
      </w:r>
      <w:r>
        <w:rPr>
          <w:color w:val="000000"/>
          <w:lang w:val="ug-CN"/>
        </w:rPr>
        <w:t>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w:t>
      </w:r>
      <w:r>
        <w:rPr>
          <w:color w:val="000000"/>
        </w:rPr>
        <w:br/>
      </w:r>
      <w:r>
        <w:rPr>
          <w:color w:val="000000"/>
          <w:lang w:val="ug-CN"/>
        </w:rPr>
        <w:t xml:space="preserve">об этом другую Сторону. Каждая Сторона несет ответственность за правильность своих реквизитов, указанных в настоящем </w:t>
      </w:r>
      <w:r>
        <w:rPr/>
        <w:t>Контракт</w:t>
      </w:r>
      <w:r>
        <w:rPr>
          <w:color w:val="000000"/>
          <w:lang w:val="ug-CN"/>
        </w:rPr>
        <w:t>е, и обязуется своевременно в письменной форме уведомлять иную Сторону об их изменении, а в случае не уведомления несёт риск наступления негативных последствий.</w:t>
      </w:r>
    </w:p>
    <w:p>
      <w:pPr>
        <w:pStyle w:val="Normal"/>
        <w:widowControl w:val="false"/>
        <w:shd w:val="clear" w:color="auto" w:fill="FFFFFF"/>
        <w:tabs>
          <w:tab w:val="clear" w:pos="708"/>
          <w:tab w:val="left" w:pos="0" w:leader="none"/>
        </w:tabs>
        <w:spacing w:lineRule="atLeast" w:line="0"/>
        <w:ind w:firstLine="566" w:right="5"/>
        <w:jc w:val="both"/>
        <w:rPr>
          <w:color w:val="000000"/>
        </w:rPr>
      </w:pPr>
      <w:r>
        <w:rPr>
          <w:color w:val="000000"/>
          <w:lang w:val="ug-CN"/>
        </w:rPr>
        <w:t>11.3.</w:t>
      </w:r>
      <w:r>
        <w:rPr>
          <w:color w:val="000000"/>
        </w:rPr>
        <w:t> </w:t>
      </w:r>
      <w:r>
        <w:rPr>
          <w:color w:val="000000"/>
          <w:lang w:val="ug-CN"/>
        </w:rPr>
        <w:t>Изменение существенных условий Контракта при его исполнении не допускается за исключением случаев, предусмотренных</w:t>
      </w:r>
      <w:r>
        <w:rPr>
          <w:color w:val="000000"/>
        </w:rPr>
        <w:t xml:space="preserve"> ч.1 ст.95 </w:t>
      </w:r>
      <w:r>
        <w:rPr>
          <w:color w:val="000000"/>
          <w:lang w:val="ug-CN"/>
        </w:rPr>
        <w:t>Законом № 44-ФЗ.</w:t>
      </w:r>
    </w:p>
    <w:p>
      <w:pPr>
        <w:pStyle w:val="Normal"/>
        <w:widowControl w:val="false"/>
        <w:shd w:val="clear" w:color="auto" w:fill="FFFFFF"/>
        <w:tabs>
          <w:tab w:val="clear" w:pos="708"/>
          <w:tab w:val="left" w:pos="0" w:leader="none"/>
        </w:tabs>
        <w:spacing w:lineRule="atLeast" w:line="0"/>
        <w:ind w:firstLine="566" w:right="5"/>
        <w:jc w:val="both"/>
        <w:rPr>
          <w:color w:val="000000"/>
          <w:lang w:val="ug-CN"/>
        </w:rPr>
      </w:pPr>
      <w:r>
        <w:rPr>
          <w:color w:val="000000"/>
          <w:lang w:val="ug-CN"/>
        </w:rPr>
        <w:t>11.4.</w:t>
      </w:r>
      <w:r>
        <w:rPr>
          <w:color w:val="000000"/>
        </w:rPr>
        <w:t> </w:t>
      </w:r>
      <w:r>
        <w:rPr>
          <w:color w:val="000000"/>
          <w:lang w:val="ug-CN"/>
        </w:rPr>
        <w:t>Любые изменения, дополнения и приложения к Контракту, выполненные</w:t>
      </w:r>
      <w:r>
        <w:rPr>
          <w:color w:val="000000"/>
        </w:rPr>
        <w:br/>
      </w:r>
      <w:r>
        <w:rPr>
          <w:color w:val="000000"/>
          <w:lang w:val="ug-CN"/>
        </w:rPr>
        <w:t>в письменной форме и подписанные каждой из Сторон, являются его неотъемлемой частью.</w:t>
      </w:r>
    </w:p>
    <w:p>
      <w:pPr>
        <w:pStyle w:val="Normal"/>
        <w:widowControl w:val="false"/>
        <w:spacing w:lineRule="atLeast" w:line="0"/>
        <w:ind w:firstLine="566"/>
        <w:jc w:val="both"/>
        <w:rPr>
          <w:color w:val="000000"/>
          <w:lang w:val="ug-CN"/>
        </w:rPr>
      </w:pPr>
      <w:r>
        <w:rPr>
          <w:color w:val="000000"/>
          <w:lang w:val="ug-CN"/>
        </w:rPr>
        <w:t>11.5.</w:t>
      </w:r>
      <w:r>
        <w:rPr>
          <w:color w:val="000000"/>
        </w:rPr>
        <w:t> </w:t>
      </w:r>
      <w:r>
        <w:rPr>
          <w:color w:val="000000"/>
          <w:lang w:val="ug-CN"/>
        </w:rPr>
        <w:t>При исполнении Контракта не допускается перемена Поставщика,</w:t>
      </w:r>
      <w:r>
        <w:rPr>
          <w:color w:val="000000"/>
        </w:rPr>
        <w:br/>
      </w:r>
      <w:r>
        <w:rPr>
          <w:color w:val="000000"/>
          <w:lang w:val="ug-CN"/>
        </w:rP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Normal"/>
        <w:widowControl w:val="false"/>
        <w:spacing w:lineRule="atLeast" w:line="0"/>
        <w:ind w:firstLine="566"/>
        <w:jc w:val="both"/>
        <w:rPr>
          <w:lang w:val="ug-CN"/>
        </w:rPr>
      </w:pPr>
      <w:r>
        <w:rPr>
          <w:lang w:val="ug-C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w:t>
      </w:r>
      <w:r>
        <w:rPr/>
        <w:br/>
      </w:r>
      <w:r>
        <w:rPr>
          <w:lang w:val="ug-CN"/>
        </w:rPr>
        <w:t>к Контракту.</w:t>
      </w:r>
    </w:p>
    <w:p>
      <w:pPr>
        <w:pStyle w:val="Normal"/>
        <w:widowControl w:val="false"/>
        <w:spacing w:lineRule="atLeast" w:line="0"/>
        <w:ind w:firstLine="566"/>
        <w:jc w:val="both"/>
        <w:rPr>
          <w:lang w:val="ug-CN"/>
        </w:rPr>
      </w:pPr>
      <w:r>
        <w:rPr>
          <w:lang w:val="ug-CN"/>
        </w:rPr>
        <w:t>11.6.</w:t>
      </w:r>
      <w:r>
        <w:rPr/>
        <w:t> </w:t>
      </w:r>
      <w:r>
        <w:rPr>
          <w:lang w:val="ug-CN"/>
        </w:rPr>
        <w:t>Поставщик подтверждает, что соответствует единым требованиям к участникам закупок в соответствии со ст. 31 Закона № 44-ФЗ, не является юридическим лицом,</w:t>
      </w:r>
      <w:r>
        <w:rPr/>
        <w:br/>
      </w:r>
      <w:r>
        <w:rPr>
          <w:lang w:val="ug-CN"/>
        </w:rPr>
        <w:t>в отношении которого применяются специальные экономические меры, предусмотренные подпунктом «а» пункта 2 Указа Президента Российской Федерации от 03.05.2022 № 252</w:t>
      </w:r>
      <w:r>
        <w:rPr/>
        <w:br/>
      </w:r>
      <w:r>
        <w:rPr>
          <w:lang w:val="ug-CN"/>
        </w:rPr>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находящейся под контролем таких лиц.</w:t>
      </w:r>
    </w:p>
    <w:p>
      <w:pPr>
        <w:pStyle w:val="Normal"/>
        <w:widowControl w:val="false"/>
        <w:shd w:val="clear" w:color="auto" w:fill="FFFFFF"/>
        <w:tabs>
          <w:tab w:val="clear" w:pos="708"/>
          <w:tab w:val="left" w:pos="1018" w:leader="none"/>
        </w:tabs>
        <w:spacing w:lineRule="atLeast" w:line="0"/>
        <w:ind w:firstLine="566"/>
        <w:jc w:val="both"/>
        <w:rPr>
          <w:lang w:val="ug-CN"/>
        </w:rPr>
      </w:pPr>
      <w:r>
        <w:rPr>
          <w:color w:val="000000"/>
          <w:lang w:val="ug-CN"/>
        </w:rPr>
        <w:t xml:space="preserve">Стороны установили, что введение какой-либо юрисдикцией, государством, объединением государств и (или) участниками какого-либо международного договора </w:t>
      </w:r>
      <w:r>
        <w:rPr>
          <w:color w:val="000000"/>
        </w:rPr>
        <w:br/>
      </w:r>
      <w:r>
        <w:rPr>
          <w:color w:val="000000"/>
          <w:lang w:val="ug-CN"/>
        </w:rPr>
        <w:t>в отношении Российской Федерации, Стороны, должностного лица Стороны, участника Стороны, конечного бенефициара Стороны и (или) аффилированного лица Стороны санкций, запретов и (или) ограничений и тому подобных мер не является обстоятельством непреодолимой силы по настоящему Контракту.</w:t>
      </w:r>
    </w:p>
    <w:p>
      <w:pPr>
        <w:pStyle w:val="Normal"/>
        <w:widowControl w:val="false"/>
        <w:spacing w:lineRule="atLeast" w:line="0"/>
        <w:ind w:firstLine="566"/>
        <w:jc w:val="both"/>
        <w:rPr>
          <w:lang w:val="ug-CN"/>
        </w:rPr>
      </w:pPr>
      <w:r>
        <w:rPr>
          <w:lang w:val="ug-CN"/>
        </w:rPr>
        <w:t>11.7.</w:t>
      </w:r>
      <w:r>
        <w:rPr/>
        <w:t> </w:t>
      </w:r>
      <w:r>
        <w:rPr>
          <w:lang w:val="ug-CN"/>
        </w:rPr>
        <w:t>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pPr>
        <w:pStyle w:val="Normal"/>
        <w:widowControl w:val="false"/>
        <w:shd w:val="clear" w:color="auto" w:fill="FFFFFF"/>
        <w:tabs>
          <w:tab w:val="clear" w:pos="708"/>
          <w:tab w:val="left" w:pos="0" w:leader="none"/>
        </w:tabs>
        <w:spacing w:lineRule="atLeast" w:line="0"/>
        <w:ind w:firstLine="567"/>
        <w:jc w:val="both"/>
        <w:rPr>
          <w:color w:val="000000"/>
          <w:lang w:val="ug-CN"/>
        </w:rPr>
      </w:pPr>
      <w:r>
        <w:rPr>
          <w:color w:val="000000"/>
          <w:lang w:val="ug-CN"/>
        </w:rPr>
        <w:t>11.8.</w:t>
      </w:r>
      <w:r>
        <w:rPr>
          <w:color w:val="000000"/>
        </w:rPr>
        <w:t> </w:t>
      </w:r>
      <w:r>
        <w:rPr>
          <w:color w:val="000000"/>
          <w:lang w:val="ug-CN"/>
        </w:rPr>
        <w:t>Документы, полученные по электронной почте, имеют силу оригинала</w:t>
      </w:r>
      <w:r>
        <w:rPr>
          <w:color w:val="000000"/>
        </w:rPr>
        <w:br/>
      </w:r>
      <w:r>
        <w:rPr>
          <w:color w:val="000000"/>
          <w:lang w:val="ug-CN"/>
        </w:rPr>
        <w:t>с обязательным условием их замены на оригиналы документов в течение 7 (семи) рабочих дней с момента их получения Стороной-адресатом по электронной почте.</w:t>
      </w:r>
    </w:p>
    <w:p>
      <w:pPr>
        <w:pStyle w:val="Normal"/>
        <w:widowControl w:val="false"/>
        <w:shd w:val="clear" w:color="auto" w:fill="FFFFFF"/>
        <w:tabs>
          <w:tab w:val="clear" w:pos="708"/>
          <w:tab w:val="left" w:pos="0" w:leader="none"/>
        </w:tabs>
        <w:spacing w:lineRule="atLeast" w:line="0"/>
        <w:ind w:right="5"/>
        <w:jc w:val="both"/>
        <w:rPr>
          <w:color w:val="000000"/>
          <w:spacing w:val="-1"/>
          <w:lang w:val="ug-CN"/>
        </w:rPr>
      </w:pPr>
      <w:r>
        <w:rPr>
          <w:color w:val="000000"/>
          <w:lang w:val="ug-CN"/>
        </w:rPr>
        <w:t xml:space="preserve">         </w:t>
      </w:r>
      <w:r>
        <w:rPr>
          <w:color w:val="000000"/>
          <w:lang w:val="ug-CN"/>
        </w:rPr>
        <w:t>Поставщик осуществляет документооборот в том числе и в электронном виде  (ЭДО) по телекоммуникационным каналам связи с применением усиленной квалифицированной электронной подписи (УКЭП), соответствующей требованиям Федерального закона</w:t>
      </w:r>
      <w:r>
        <w:rPr>
          <w:color w:val="000000"/>
        </w:rPr>
        <w:br/>
      </w:r>
      <w:r>
        <w:rPr>
          <w:color w:val="000000"/>
          <w:lang w:val="ug-CN"/>
        </w:rPr>
        <w:t xml:space="preserve">от 06.04.2011 №63-ФЗ </w:t>
      </w:r>
      <w:r>
        <w:rPr>
          <w:bCs/>
          <w:color w:val="000000"/>
        </w:rPr>
        <w:t>«</w:t>
      </w:r>
      <w:r>
        <w:rPr>
          <w:color w:val="000000"/>
          <w:lang w:val="ug-CN"/>
        </w:rPr>
        <w:t>Об электронной подписи».</w:t>
      </w:r>
    </w:p>
    <w:p>
      <w:pPr>
        <w:pStyle w:val="Normal"/>
        <w:widowControl w:val="false"/>
        <w:shd w:val="clear" w:color="auto" w:fill="FFFFFF"/>
        <w:tabs>
          <w:tab w:val="clear" w:pos="708"/>
          <w:tab w:val="left" w:pos="0" w:leader="none"/>
        </w:tabs>
        <w:spacing w:lineRule="atLeast" w:line="0"/>
        <w:ind w:firstLine="567"/>
        <w:jc w:val="both"/>
        <w:rPr>
          <w:color w:val="000000"/>
          <w:lang w:val="ug-CN"/>
        </w:rPr>
      </w:pPr>
      <w:r>
        <w:rPr>
          <w:color w:val="000000"/>
          <w:lang w:val="ug-CN"/>
        </w:rPr>
        <w:t>Сторона, в отношении которой начата процедура прекращения деятельности (ликвидации, реорганизации), обязана уведомить об этом другую Сторону в течение 5 (пяти) рабочих дней с момента принятия решения о начале процедуры прекращения. Сторона обязана в течение 5 (пяти) рабочих дней с момента получения соответствующего требования от другой Стороны осуществить все действия, необходимые для проведения взаиморасчетов и прекращения настоящего Контракта.</w:t>
      </w:r>
    </w:p>
    <w:p>
      <w:pPr>
        <w:pStyle w:val="Normal"/>
        <w:widowControl w:val="false"/>
        <w:shd w:val="clear" w:color="auto" w:fill="FFFFFF"/>
        <w:spacing w:lineRule="atLeast" w:line="0"/>
        <w:ind w:firstLine="624"/>
        <w:jc w:val="both"/>
        <w:rPr>
          <w:lang w:val="ug-CN"/>
        </w:rPr>
      </w:pPr>
      <w:r>
        <w:rPr>
          <w:color w:val="000000"/>
          <w:lang w:val="ug-CN"/>
        </w:rPr>
        <w:t>11.9.</w:t>
      </w:r>
      <w:r>
        <w:rPr>
          <w:color w:val="000000"/>
        </w:rPr>
        <w:t> </w:t>
      </w:r>
      <w:r>
        <w:rPr>
          <w:color w:val="000000"/>
          <w:lang w:val="ug-CN"/>
        </w:rPr>
        <w:t>Стороны настоящим заверяют и гарантируют, что соблюдают и обязуются соблюдать применимые нормы законодательства о противодействии коррупции (далее – Антикоррупционные нормы).</w:t>
      </w:r>
    </w:p>
    <w:p>
      <w:pPr>
        <w:pStyle w:val="Normal"/>
        <w:widowControl w:val="false"/>
        <w:shd w:val="clear" w:color="auto" w:fill="FFFFFF"/>
        <w:spacing w:lineRule="atLeast" w:line="0"/>
        <w:ind w:firstLine="566" w:right="5"/>
        <w:jc w:val="both"/>
        <w:rPr>
          <w:lang w:val="ug-CN"/>
        </w:rPr>
      </w:pPr>
      <w:r>
        <w:rPr>
          <w:color w:val="000000"/>
          <w:lang w:val="ug-CN"/>
        </w:rPr>
        <w:t>При исполнении своих обязательств по настоящему Контракту Стороны не совершают действий, которые противоречат Антикоррупционным нормам (в том числе получение или дача взятки, коммерческий подкуп, посредничество во взяточничестве или в коммерческом подкупе, злоупотребление полномочиями), и прилагают все необходимые и допустимые усилия для обеспечения соблюдения Антикоррупционных норм их дочерними, зависимыми и аффилированными организациями.</w:t>
      </w:r>
    </w:p>
    <w:p>
      <w:pPr>
        <w:pStyle w:val="Normal"/>
        <w:widowControl w:val="false"/>
        <w:shd w:val="clear" w:color="auto" w:fill="FFFFFF"/>
        <w:spacing w:lineRule="atLeast" w:line="0"/>
        <w:ind w:firstLine="566" w:right="5"/>
        <w:jc w:val="both"/>
        <w:rPr>
          <w:lang w:val="ug-CN"/>
        </w:rPr>
      </w:pPr>
      <w:r>
        <w:rPr>
          <w:color w:val="000000"/>
          <w:lang w:val="ug-CN"/>
        </w:rPr>
        <w:t>Сторона, получившая сведения о совершенном или готовящемся нарушении Антикоррупционных норм при заключении и (или) исполнении настоящего Контракта, обязана незамедлительно уведомить об э</w:t>
      </w:r>
      <w:r>
        <w:rPr>
          <w:color w:val="000000"/>
          <w:spacing w:val="-1"/>
          <w:lang w:val="ug-CN"/>
        </w:rPr>
        <w:t xml:space="preserve">том другую Сторону в письменной форме в порядке, предусмотренном </w:t>
      </w:r>
      <w:r>
        <w:rPr>
          <w:color w:val="000000"/>
          <w:lang w:val="ug-CN"/>
        </w:rPr>
        <w:t>Контрактом</w:t>
      </w:r>
      <w:r>
        <w:rPr>
          <w:color w:val="000000"/>
          <w:spacing w:val="-1"/>
          <w:lang w:val="ug-CN"/>
        </w:rPr>
        <w:t xml:space="preserve">. Уведомление должно </w:t>
      </w:r>
      <w:r>
        <w:rPr>
          <w:color w:val="000000"/>
          <w:lang w:val="ug-CN"/>
        </w:rPr>
        <w:t>включать описание совершенного или готовящегося нарушения Антикоррупционных норм, все имеющиеся у уведомляющей Стороны подтверждающие документы.</w:t>
      </w:r>
    </w:p>
    <w:p>
      <w:pPr>
        <w:pStyle w:val="Normal"/>
        <w:widowControl w:val="false"/>
        <w:shd w:val="clear" w:color="auto" w:fill="FFFFFF"/>
        <w:spacing w:lineRule="atLeast" w:line="0"/>
        <w:ind w:firstLine="566" w:right="5"/>
        <w:jc w:val="both"/>
        <w:rPr>
          <w:color w:val="000000"/>
          <w:lang w:val="ug-CN"/>
        </w:rPr>
      </w:pPr>
      <w:r>
        <w:rPr>
          <w:color w:val="000000"/>
          <w:lang w:val="ug-CN"/>
        </w:rPr>
        <w:t>За нарушение Антикоррупционных норм Стороны несут ответственность, установленную законодательством Российской Федерации.</w:t>
      </w:r>
    </w:p>
    <w:p>
      <w:pPr>
        <w:pStyle w:val="Normal"/>
        <w:widowControl w:val="false"/>
        <w:spacing w:lineRule="atLeast" w:line="0"/>
        <w:ind w:firstLine="566"/>
        <w:jc w:val="both"/>
        <w:rPr>
          <w:lang w:val="ug-CN"/>
        </w:rPr>
      </w:pPr>
      <w:r>
        <w:rPr>
          <w:lang w:val="ug-CN"/>
        </w:rPr>
        <w:t>11.10.</w:t>
      </w:r>
      <w:r>
        <w:rPr/>
        <w:t> </w:t>
      </w:r>
      <w:r>
        <w:rPr>
          <w:lang w:val="ug-CN"/>
        </w:rPr>
        <w:t>Во всем, что не оговорено в Контракте, Стороны руководствуются действующим законодательством Российской Федерации.</w:t>
      </w:r>
    </w:p>
    <w:p>
      <w:pPr>
        <w:pStyle w:val="Normal"/>
        <w:spacing w:lineRule="atLeast" w:line="0"/>
        <w:ind w:firstLine="567"/>
        <w:rPr/>
      </w:pPr>
      <w:r>
        <w:rPr/>
        <w:t xml:space="preserve">11.11. Неотъемлемой частью Контракта является следующее приложение: </w:t>
      </w:r>
    </w:p>
    <w:p>
      <w:pPr>
        <w:pStyle w:val="Normal"/>
        <w:spacing w:lineRule="atLeast" w:line="0"/>
        <w:rPr/>
      </w:pPr>
      <w:r>
        <w:rPr/>
        <w:t>- Спецификация (Приложение №1),</w:t>
      </w:r>
    </w:p>
    <w:p>
      <w:pPr>
        <w:pStyle w:val="Normal"/>
        <w:spacing w:lineRule="atLeast" w:line="0"/>
        <w:rPr/>
      </w:pPr>
      <w:r>
        <w:rPr/>
        <w:t>- Перечень АЗС (Приложение №2).</w:t>
      </w:r>
    </w:p>
    <w:p>
      <w:pPr>
        <w:pStyle w:val="Normal"/>
        <w:spacing w:lineRule="atLeast" w:line="0"/>
        <w:rPr/>
      </w:pPr>
      <w:r>
        <w:rPr/>
      </w:r>
    </w:p>
    <w:p>
      <w:pPr>
        <w:pStyle w:val="ListParagraph"/>
        <w:widowControl w:val="false"/>
        <w:numPr>
          <w:ilvl w:val="0"/>
          <w:numId w:val="5"/>
        </w:numPr>
        <w:shd w:val="clear" w:color="auto" w:fill="FFFFFF"/>
        <w:spacing w:lineRule="atLeast" w:line="0"/>
        <w:jc w:val="center"/>
        <w:rPr>
          <w:b/>
          <w:bCs/>
          <w:color w:val="000000"/>
          <w:lang w:val="ug-CN"/>
        </w:rPr>
      </w:pPr>
      <w:r>
        <w:rPr>
          <w:b/>
          <w:bCs/>
          <w:color w:val="000000"/>
          <w:lang w:val="ug-CN"/>
        </w:rPr>
        <w:t>МЕСТОНАХОЖДЕНИЕ, БАНКОВСКИЕ РЕКВИЗИТЫ И ПОДПИСИ СТОРОН</w:t>
      </w:r>
    </w:p>
    <w:p>
      <w:pPr>
        <w:pStyle w:val="ListParagraph"/>
        <w:widowControl w:val="false"/>
        <w:shd w:val="clear" w:color="auto" w:fill="FFFFFF"/>
        <w:spacing w:lineRule="atLeast" w:line="0"/>
        <w:ind w:left="444"/>
        <w:rPr>
          <w:b/>
          <w:bCs/>
          <w:color w:val="000000"/>
          <w:lang w:val="ug-CN"/>
        </w:rPr>
      </w:pPr>
      <w:r>
        <w:rPr>
          <w:b/>
          <w:bCs/>
          <w:color w:val="000000"/>
          <w:lang w:val="ug-CN"/>
        </w:rPr>
      </w:r>
    </w:p>
    <w:tbl>
      <w:tblPr>
        <w:tblW w:w="9854" w:type="dxa"/>
        <w:jc w:val="left"/>
        <w:tblInd w:w="84" w:type="dxa"/>
        <w:tblLayout w:type="fixed"/>
        <w:tblCellMar>
          <w:top w:w="0" w:type="dxa"/>
          <w:left w:w="108" w:type="dxa"/>
          <w:bottom w:w="0" w:type="dxa"/>
          <w:right w:w="108" w:type="dxa"/>
        </w:tblCellMar>
        <w:tblLook w:firstRow="1" w:noVBand="1" w:lastRow="0" w:firstColumn="1" w:lastColumn="0" w:noHBand="0" w:val="04a0"/>
      </w:tblPr>
      <w:tblGrid>
        <w:gridCol w:w="4845"/>
        <w:gridCol w:w="5008"/>
      </w:tblGrid>
      <w:tr>
        <w:trPr>
          <w:trHeight w:val="42" w:hRule="atLeast"/>
        </w:trPr>
        <w:tc>
          <w:tcPr>
            <w:tcW w:w="4845" w:type="dxa"/>
            <w:tcBorders/>
          </w:tcPr>
          <w:p>
            <w:pPr>
              <w:pStyle w:val="Normal"/>
              <w:widowControl w:val="false"/>
              <w:spacing w:lineRule="atLeast" w:line="0"/>
              <w:ind w:firstLine="34"/>
              <w:jc w:val="center"/>
              <w:rPr>
                <w:b/>
                <w:lang w:eastAsia="uk-UA"/>
              </w:rPr>
            </w:pPr>
            <w:r>
              <w:rPr>
                <w:b/>
                <w:lang w:val="uk-UA" w:eastAsia="uk-UA"/>
              </w:rPr>
              <w:t>ЗАКАЗЧИК</w:t>
            </w:r>
            <w:r>
              <w:rPr>
                <w:b/>
                <w:lang w:eastAsia="uk-UA"/>
              </w:rPr>
              <w:t>:</w:t>
            </w:r>
          </w:p>
          <w:p>
            <w:pPr>
              <w:pStyle w:val="Normal"/>
              <w:shd w:val="clear" w:color="auto" w:fill="FFFFFF"/>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bCs/>
                <w:sz w:val="24"/>
                <w:szCs w:val="24"/>
                <w:lang w:eastAsia="ru-RU"/>
              </w:rPr>
              <w:t>Федеральное государственное бюджетное образовательное учреждение высшего образования "Донецкий национальный технический университет"</w:t>
            </w:r>
          </w:p>
          <w:p>
            <w:pPr>
              <w:pStyle w:val="Normal"/>
              <w:shd w:val="clear" w:color="auto" w:fill="FFFFFF"/>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b/>
                <w:bCs/>
                <w:sz w:val="24"/>
                <w:szCs w:val="24"/>
                <w:lang w:eastAsia="ru-RU"/>
              </w:rPr>
              <w:t xml:space="preserve">Сокращенное наименование: </w:t>
            </w:r>
            <w:r>
              <w:rPr>
                <w:rFonts w:eastAsia="Times New Roman" w:cs="Times New Roman"/>
                <w:b w:val="false"/>
                <w:bCs w:val="false"/>
                <w:sz w:val="24"/>
                <w:szCs w:val="24"/>
                <w:lang w:eastAsia="ru-RU"/>
              </w:rPr>
              <w:t>ФГБОУ ВО "ДонНТУ", Донецкий национальный технический университет, ДонНТУ</w:t>
            </w:r>
          </w:p>
          <w:p>
            <w:pPr>
              <w:pStyle w:val="Normal"/>
              <w:shd w:val="clear" w:color="auto" w:fill="FFFFFF"/>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b/>
                <w:bCs/>
                <w:sz w:val="24"/>
                <w:szCs w:val="24"/>
                <w:lang w:eastAsia="ru-RU"/>
              </w:rPr>
              <w:t>Юридический адрес:</w:t>
            </w:r>
            <w:r>
              <w:rPr>
                <w:rFonts w:eastAsia="Times New Roman" w:cs="Times New Roman"/>
                <w:bCs/>
                <w:sz w:val="24"/>
                <w:szCs w:val="24"/>
                <w:lang w:eastAsia="ru-RU"/>
              </w:rPr>
              <w:t xml:space="preserve"> 283001, Донецкая Народная Республика, г.о. Донецк, г. Донецк, ул. Артема, д. 58</w:t>
            </w:r>
          </w:p>
          <w:p>
            <w:pPr>
              <w:pStyle w:val="Normal"/>
              <w:shd w:val="clear" w:color="auto" w:fill="FFFFFF"/>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bCs/>
                <w:sz w:val="24"/>
                <w:szCs w:val="24"/>
                <w:lang w:eastAsia="ru-RU"/>
              </w:rPr>
              <w:t>ИНН/КПП 9303013012/930301001</w:t>
            </w:r>
          </w:p>
          <w:p>
            <w:pPr>
              <w:pStyle w:val="Normal"/>
              <w:shd w:val="clear" w:color="auto" w:fill="FFFFFF"/>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bCs/>
                <w:sz w:val="24"/>
                <w:szCs w:val="24"/>
                <w:lang w:eastAsia="ru-RU"/>
              </w:rPr>
              <w:t>ОГРН 1229300078633</w:t>
            </w:r>
          </w:p>
          <w:p>
            <w:pPr>
              <w:pStyle w:val="Normal"/>
              <w:shd w:val="clear" w:color="auto" w:fill="FFFFFF"/>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bCs/>
                <w:sz w:val="24"/>
                <w:szCs w:val="24"/>
                <w:lang w:eastAsia="ru-RU"/>
              </w:rPr>
              <w:t>ОКПО 95580141</w:t>
            </w:r>
          </w:p>
          <w:p>
            <w:pPr>
              <w:pStyle w:val="Normal"/>
              <w:shd w:val="clear" w:color="auto" w:fill="FFFFFF"/>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bCs/>
                <w:sz w:val="24"/>
                <w:szCs w:val="24"/>
                <w:lang w:eastAsia="ru-RU"/>
              </w:rPr>
              <w:t>ОКАТО 21401000000</w:t>
            </w:r>
          </w:p>
          <w:p>
            <w:pPr>
              <w:pStyle w:val="Normal"/>
              <w:shd w:val="clear" w:color="auto" w:fill="FFFFFF"/>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bCs/>
                <w:sz w:val="24"/>
                <w:szCs w:val="24"/>
                <w:lang w:eastAsia="ru-RU"/>
              </w:rPr>
              <w:t>ОКОГУ 1322600</w:t>
            </w:r>
          </w:p>
          <w:p>
            <w:pPr>
              <w:pStyle w:val="Normal"/>
              <w:shd w:val="clear" w:color="auto" w:fill="FFFFFF"/>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bCs/>
                <w:sz w:val="24"/>
                <w:szCs w:val="24"/>
                <w:lang w:eastAsia="ru-RU"/>
              </w:rPr>
              <w:t>ОКТМО 21701000001</w:t>
            </w:r>
          </w:p>
          <w:p>
            <w:pPr>
              <w:pStyle w:val="Normal"/>
              <w:shd w:val="clear" w:color="auto" w:fill="FFFFFF"/>
              <w:spacing w:lineRule="auto" w:line="240" w:before="0" w:after="0"/>
              <w:jc w:val="both"/>
              <w:rPr>
                <w:rFonts w:ascii="Times New Roman" w:hAnsi="Times New Roman" w:cs="Times New Roman"/>
                <w:sz w:val="24"/>
                <w:szCs w:val="24"/>
              </w:rPr>
            </w:pPr>
            <w:r>
              <w:rPr>
                <w:rFonts w:eastAsia="Times New Roman" w:cs="Times New Roman"/>
                <w:bCs/>
                <w:sz w:val="24"/>
                <w:szCs w:val="24"/>
                <w:lang w:eastAsia="ru-RU"/>
              </w:rPr>
              <w:t>УФК по Нижегородской области, г Нижний Новгород (ФГБОУ ВО "ДонНТУ", л/с 20826НЛ5490)</w:t>
            </w:r>
          </w:p>
          <w:p>
            <w:pPr>
              <w:pStyle w:val="Normal"/>
              <w:shd w:val="clear" w:color="auto" w:fill="FFFFFF"/>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b/>
                <w:bCs/>
                <w:sz w:val="24"/>
                <w:szCs w:val="24"/>
                <w:lang w:eastAsia="ru-RU"/>
              </w:rPr>
              <w:t>Казначейский счет</w:t>
            </w:r>
            <w:r>
              <w:rPr>
                <w:rFonts w:eastAsia="Times New Roman" w:cs="Times New Roman"/>
                <w:bCs/>
                <w:sz w:val="24"/>
                <w:szCs w:val="24"/>
                <w:lang w:eastAsia="ru-RU"/>
              </w:rPr>
              <w:t xml:space="preserve"> 03214643000000013252</w:t>
            </w:r>
          </w:p>
          <w:p>
            <w:pPr>
              <w:pStyle w:val="Normal"/>
              <w:shd w:val="clear" w:color="auto" w:fill="FFFFFF"/>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b/>
                <w:bCs/>
                <w:sz w:val="24"/>
                <w:szCs w:val="24"/>
                <w:lang w:eastAsia="ru-RU"/>
              </w:rPr>
              <w:t>Счет банка получателя</w:t>
            </w:r>
            <w:r>
              <w:rPr>
                <w:rFonts w:eastAsia="Times New Roman" w:cs="Times New Roman"/>
                <w:bCs/>
                <w:sz w:val="24"/>
                <w:szCs w:val="24"/>
                <w:lang w:eastAsia="ru-RU"/>
              </w:rPr>
              <w:t xml:space="preserve"> (к/с) 40102810745370000024</w:t>
            </w:r>
          </w:p>
          <w:p>
            <w:pPr>
              <w:pStyle w:val="Normal"/>
              <w:shd w:val="clear" w:color="auto" w:fill="FFFFFF"/>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b/>
                <w:bCs/>
                <w:sz w:val="24"/>
                <w:szCs w:val="24"/>
                <w:lang w:eastAsia="ru-RU"/>
              </w:rPr>
              <w:t>БИК</w:t>
            </w:r>
            <w:r>
              <w:rPr>
                <w:rFonts w:eastAsia="Times New Roman" w:cs="Times New Roman"/>
                <w:bCs/>
                <w:sz w:val="24"/>
                <w:szCs w:val="24"/>
                <w:lang w:eastAsia="ru-RU"/>
              </w:rPr>
              <w:t xml:space="preserve"> 012202102</w:t>
            </w:r>
          </w:p>
          <w:p>
            <w:pPr>
              <w:pStyle w:val="Normal"/>
              <w:shd w:val="clear" w:color="auto" w:fill="FFFFFF"/>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bCs/>
                <w:sz w:val="24"/>
                <w:szCs w:val="24"/>
                <w:lang w:eastAsia="ru-RU"/>
              </w:rPr>
              <w:t>Наименование банка: ОКЦ №1 ВВГУ Банка России//УФК по Нижегородской области, г Нижний Новгород</w:t>
            </w:r>
          </w:p>
          <w:p>
            <w:pPr>
              <w:pStyle w:val="Normal"/>
              <w:shd w:val="clear" w:color="auto" w:fill="FFFFFF"/>
              <w:spacing w:lineRule="auto" w:line="240" w:before="0" w:after="0"/>
              <w:jc w:val="both"/>
              <w:rPr>
                <w:rFonts w:ascii="Times New Roman" w:hAnsi="Times New Roman" w:eastAsia="Times New Roman" w:cs="Times New Roman"/>
                <w:bCs/>
                <w:sz w:val="24"/>
                <w:szCs w:val="24"/>
                <w:lang w:eastAsia="ru-RU"/>
              </w:rPr>
            </w:pPr>
            <w:r>
              <w:rPr>
                <w:lang w:val="de-CH"/>
              </w:rPr>
              <w:t>E</w:t>
            </w:r>
            <w:r>
              <w:rPr>
                <w:lang w:val="en-US"/>
              </w:rPr>
              <w:t>-</w:t>
            </w:r>
            <w:r>
              <w:rPr>
                <w:lang w:val="de-CH"/>
              </w:rPr>
              <w:t>mail</w:t>
            </w:r>
            <w:r>
              <w:rPr>
                <w:lang w:val="en-US"/>
              </w:rPr>
              <w:t>: tender@donntu.ru</w:t>
            </w:r>
          </w:p>
          <w:p>
            <w:pPr>
              <w:pStyle w:val="Normal"/>
              <w:widowControl w:val="false"/>
              <w:spacing w:lineRule="atLeast" w:line="0"/>
              <w:rPr>
                <w:lang w:val="en-US"/>
              </w:rPr>
            </w:pPr>
            <w:r>
              <w:rPr>
                <w:lang w:val="en-US"/>
              </w:rPr>
            </w:r>
          </w:p>
          <w:p>
            <w:pPr>
              <w:pStyle w:val="Normal"/>
              <w:widowControl w:val="false"/>
              <w:spacing w:lineRule="atLeast" w:line="0"/>
              <w:rPr>
                <w:lang w:val="en-US"/>
              </w:rPr>
            </w:pPr>
            <w:r>
              <w:rPr>
                <w:lang w:val="en-US"/>
              </w:rPr>
            </w:r>
          </w:p>
          <w:p>
            <w:pPr>
              <w:pStyle w:val="Normal"/>
              <w:widowControl w:val="false"/>
              <w:spacing w:lineRule="atLeast" w:line="0"/>
              <w:ind w:left="246"/>
              <w:rPr>
                <w:b/>
                <w:bCs/>
                <w:color w:val="000000"/>
              </w:rPr>
            </w:pPr>
            <w:r>
              <w:rPr>
                <w:b/>
              </w:rPr>
              <w:t xml:space="preserve">Ректор ___________ </w:t>
            </w:r>
            <w:r>
              <w:rPr>
                <w:lang w:eastAsia="uk-UA"/>
              </w:rPr>
              <w:t>/</w:t>
            </w:r>
            <w:r>
              <w:rPr>
                <w:b/>
                <w:bCs/>
                <w:color w:val="000000"/>
              </w:rPr>
              <w:t>Аноприенко А.Я./</w:t>
            </w:r>
          </w:p>
          <w:p>
            <w:pPr>
              <w:pStyle w:val="Normal"/>
              <w:widowControl w:val="false"/>
              <w:spacing w:lineRule="atLeast" w:line="0"/>
              <w:ind w:firstLine="34"/>
              <w:rPr>
                <w:bCs/>
                <w:lang w:val="uk-UA" w:eastAsia="uk-UA"/>
              </w:rPr>
            </w:pPr>
            <w:r>
              <w:rPr>
                <w:bCs/>
                <w:lang w:val="uk-UA" w:eastAsia="uk-UA"/>
              </w:rPr>
            </w:r>
          </w:p>
          <w:p>
            <w:pPr>
              <w:pStyle w:val="Normal"/>
              <w:widowControl w:val="false"/>
              <w:spacing w:lineRule="atLeast" w:line="0"/>
              <w:ind w:firstLine="34"/>
              <w:rPr>
                <w:b/>
              </w:rPr>
            </w:pPr>
            <w:r>
              <w:rPr>
                <w:bCs/>
                <w:lang w:eastAsia="uk-UA"/>
              </w:rPr>
              <w:t xml:space="preserve">    </w:t>
            </w:r>
            <w:r>
              <w:rPr>
                <w:bCs/>
                <w:lang w:eastAsia="uk-UA"/>
              </w:rPr>
              <w:t>М.П.</w:t>
            </w:r>
          </w:p>
        </w:tc>
        <w:tc>
          <w:tcPr>
            <w:tcW w:w="5008" w:type="dxa"/>
            <w:tcBorders/>
          </w:tcPr>
          <w:p>
            <w:pPr>
              <w:pStyle w:val="Normal"/>
              <w:widowControl w:val="false"/>
              <w:spacing w:lineRule="atLeast" w:line="0"/>
              <w:ind w:firstLine="34"/>
              <w:jc w:val="center"/>
              <w:rPr>
                <w:b/>
                <w:lang w:eastAsia="uk-UA"/>
              </w:rPr>
            </w:pPr>
            <w:r>
              <w:rPr>
                <w:b/>
                <w:sz w:val="24"/>
                <w:szCs w:val="24"/>
                <w:lang w:val="uk-UA" w:eastAsia="uk-UA"/>
              </w:rPr>
              <w:t>ПОСТАВЩИК:</w:t>
            </w:r>
          </w:p>
          <w:p>
            <w:pPr>
              <w:pStyle w:val="BodyText"/>
              <w:widowControl w:val="false"/>
              <w:tabs>
                <w:tab w:val="clear" w:pos="708"/>
                <w:tab w:val="left" w:pos="1220" w:leader="none"/>
              </w:tabs>
              <w:spacing w:lineRule="atLeast" w:line="0"/>
              <w:jc w:val="both"/>
              <w:rPr>
                <w:sz w:val="24"/>
                <w:szCs w:val="24"/>
                <w:lang w:val="uk-UA" w:eastAsia="uk-UA"/>
              </w:rPr>
            </w:pPr>
            <w:r>
              <w:rPr>
                <w:sz w:val="24"/>
                <w:szCs w:val="24"/>
                <w:lang w:val="uk-UA" w:eastAsia="uk-UA"/>
              </w:rPr>
            </w:r>
          </w:p>
          <w:p>
            <w:pPr>
              <w:pStyle w:val="BodyText"/>
              <w:widowControl w:val="false"/>
              <w:tabs>
                <w:tab w:val="clear" w:pos="708"/>
                <w:tab w:val="left" w:pos="1220" w:leader="none"/>
              </w:tabs>
              <w:spacing w:lineRule="atLeast" w:line="0"/>
              <w:jc w:val="both"/>
              <w:rPr>
                <w:sz w:val="24"/>
                <w:szCs w:val="24"/>
                <w:lang w:val="uk-UA" w:eastAsia="uk-UA"/>
              </w:rPr>
            </w:pPr>
            <w:r>
              <w:rPr>
                <w:sz w:val="24"/>
                <w:szCs w:val="24"/>
                <w:lang w:val="uk-UA" w:eastAsia="uk-UA"/>
              </w:rPr>
            </w:r>
          </w:p>
          <w:p>
            <w:pPr>
              <w:pStyle w:val="BodyText"/>
              <w:widowControl w:val="false"/>
              <w:tabs>
                <w:tab w:val="clear" w:pos="708"/>
                <w:tab w:val="left" w:pos="1220" w:leader="none"/>
              </w:tabs>
              <w:spacing w:lineRule="atLeast" w:line="0"/>
              <w:jc w:val="both"/>
              <w:rPr>
                <w:sz w:val="24"/>
                <w:szCs w:val="24"/>
                <w:lang w:val="uk-UA" w:eastAsia="uk-UA"/>
              </w:rPr>
            </w:pPr>
            <w:r>
              <w:rPr>
                <w:sz w:val="24"/>
                <w:szCs w:val="24"/>
                <w:lang w:val="uk-UA" w:eastAsia="uk-UA"/>
              </w:rPr>
            </w:r>
          </w:p>
          <w:p>
            <w:pPr>
              <w:pStyle w:val="BodyText"/>
              <w:widowControl w:val="false"/>
              <w:tabs>
                <w:tab w:val="clear" w:pos="708"/>
                <w:tab w:val="left" w:pos="1220" w:leader="none"/>
              </w:tabs>
              <w:spacing w:lineRule="atLeast" w:line="0"/>
              <w:jc w:val="both"/>
              <w:rPr>
                <w:sz w:val="24"/>
                <w:szCs w:val="24"/>
                <w:lang w:val="uk-UA" w:eastAsia="uk-UA"/>
              </w:rPr>
            </w:pPr>
            <w:r>
              <w:rPr>
                <w:sz w:val="24"/>
                <w:szCs w:val="24"/>
                <w:lang w:val="uk-UA" w:eastAsia="uk-UA"/>
              </w:rPr>
            </w:r>
          </w:p>
          <w:p>
            <w:pPr>
              <w:pStyle w:val="BodyText"/>
              <w:widowControl w:val="false"/>
              <w:tabs>
                <w:tab w:val="clear" w:pos="708"/>
                <w:tab w:val="left" w:pos="1220" w:leader="none"/>
              </w:tabs>
              <w:spacing w:lineRule="atLeast" w:line="0"/>
              <w:jc w:val="both"/>
              <w:rPr>
                <w:sz w:val="24"/>
                <w:szCs w:val="24"/>
                <w:lang w:val="uk-UA" w:eastAsia="uk-UA"/>
              </w:rPr>
            </w:pPr>
            <w:r>
              <w:rPr>
                <w:sz w:val="24"/>
                <w:szCs w:val="24"/>
                <w:lang w:val="uk-UA" w:eastAsia="uk-UA"/>
              </w:rPr>
            </w:r>
          </w:p>
          <w:p>
            <w:pPr>
              <w:pStyle w:val="BodyText"/>
              <w:widowControl w:val="false"/>
              <w:tabs>
                <w:tab w:val="clear" w:pos="708"/>
                <w:tab w:val="left" w:pos="1220" w:leader="none"/>
              </w:tabs>
              <w:spacing w:lineRule="atLeast" w:line="0"/>
              <w:jc w:val="both"/>
              <w:rPr>
                <w:sz w:val="24"/>
                <w:szCs w:val="24"/>
                <w:lang w:val="uk-UA" w:eastAsia="uk-UA"/>
              </w:rPr>
            </w:pPr>
            <w:r>
              <w:rPr>
                <w:sz w:val="24"/>
                <w:szCs w:val="24"/>
                <w:lang w:val="uk-UA" w:eastAsia="uk-UA"/>
              </w:rPr>
            </w:r>
          </w:p>
          <w:p>
            <w:pPr>
              <w:pStyle w:val="BodyText"/>
              <w:widowControl w:val="false"/>
              <w:tabs>
                <w:tab w:val="clear" w:pos="708"/>
                <w:tab w:val="left" w:pos="1220" w:leader="none"/>
              </w:tabs>
              <w:spacing w:lineRule="atLeast" w:line="0"/>
              <w:jc w:val="both"/>
              <w:rPr>
                <w:color w:val="000000"/>
                <w:sz w:val="24"/>
                <w:szCs w:val="24"/>
              </w:rPr>
            </w:pPr>
            <w:r>
              <w:rPr>
                <w:color w:val="000000"/>
                <w:sz w:val="24"/>
                <w:szCs w:val="24"/>
              </w:rPr>
            </w:r>
          </w:p>
        </w:tc>
      </w:tr>
    </w:tbl>
    <w:p>
      <w:pPr>
        <w:pStyle w:val="Normal"/>
        <w:widowControl w:val="false"/>
        <w:numPr>
          <w:ilvl w:val="0"/>
          <w:numId w:val="0"/>
        </w:numPr>
        <w:tabs>
          <w:tab w:val="clear" w:pos="708"/>
          <w:tab w:val="left" w:pos="6379" w:leader="none"/>
          <w:tab w:val="left" w:pos="8222" w:leader="none"/>
        </w:tabs>
        <w:spacing w:lineRule="atLeast" w:line="0"/>
        <w:ind w:firstLine="360" w:left="-360" w:right="141"/>
        <w:outlineLvl w:val="0"/>
        <w:rPr>
          <w:b/>
          <w:bCs/>
        </w:rPr>
      </w:pPr>
      <w:r>
        <w:rPr/>
        <w:tab/>
      </w:r>
      <w:r>
        <w:br w:type="page"/>
      </w:r>
    </w:p>
    <w:p>
      <w:pPr>
        <w:pStyle w:val="Normal"/>
        <w:widowControl w:val="false"/>
        <w:numPr>
          <w:ilvl w:val="0"/>
          <w:numId w:val="0"/>
        </w:numPr>
        <w:tabs>
          <w:tab w:val="clear" w:pos="708"/>
          <w:tab w:val="left" w:pos="6379" w:leader="none"/>
          <w:tab w:val="left" w:pos="8222" w:leader="none"/>
        </w:tabs>
        <w:spacing w:lineRule="atLeast" w:line="0" w:before="0" w:after="0"/>
        <w:ind w:firstLine="360" w:left="-360" w:right="141"/>
        <w:jc w:val="right"/>
        <w:outlineLvl w:val="0"/>
        <w:rPr>
          <w:b/>
          <w:bCs/>
        </w:rPr>
      </w:pPr>
      <w:r>
        <w:rPr>
          <w:b/>
          <w:bCs/>
        </w:rPr>
        <w:t>Приложение №1</w:t>
      </w:r>
    </w:p>
    <w:p>
      <w:pPr>
        <w:pStyle w:val="Normal"/>
        <w:widowControl w:val="false"/>
        <w:tabs>
          <w:tab w:val="clear" w:pos="708"/>
          <w:tab w:val="left" w:pos="7938" w:leader="none"/>
          <w:tab w:val="left" w:pos="8222" w:leader="none"/>
        </w:tabs>
        <w:spacing w:lineRule="atLeast" w:line="0"/>
        <w:ind w:firstLine="360" w:left="-360" w:right="141"/>
        <w:rPr>
          <w:b/>
          <w:bCs/>
        </w:rPr>
      </w:pPr>
      <w:r>
        <w:rPr>
          <w:b/>
          <w:bCs/>
        </w:rPr>
        <w:t xml:space="preserve">                                                                                                          </w:t>
      </w:r>
      <w:r>
        <w:rPr>
          <w:b/>
          <w:bCs/>
        </w:rPr>
        <w:t>к Контракту №______________</w:t>
      </w:r>
    </w:p>
    <w:p>
      <w:pPr>
        <w:pStyle w:val="Normal"/>
        <w:widowControl w:val="false"/>
        <w:numPr>
          <w:ilvl w:val="0"/>
          <w:numId w:val="0"/>
        </w:numPr>
        <w:tabs>
          <w:tab w:val="clear" w:pos="708"/>
          <w:tab w:val="left" w:pos="7938" w:leader="none"/>
          <w:tab w:val="left" w:pos="8222" w:leader="none"/>
        </w:tabs>
        <w:spacing w:lineRule="atLeast" w:line="0"/>
        <w:ind w:hanging="0" w:left="-360" w:right="141"/>
        <w:outlineLvl w:val="0"/>
        <w:rPr>
          <w:b/>
          <w:bCs/>
        </w:rPr>
      </w:pPr>
      <w:r>
        <w:rPr>
          <w:b/>
          <w:bCs/>
        </w:rPr>
        <w:t xml:space="preserve">                                                                                                                </w:t>
      </w:r>
      <w:r>
        <w:rPr>
          <w:b/>
          <w:bCs/>
        </w:rPr>
        <w:t>от ____.08.2026 г.</w:t>
      </w:r>
    </w:p>
    <w:p>
      <w:pPr>
        <w:pStyle w:val="Normal"/>
        <w:shd w:val="clear" w:color="auto" w:fill="FFFFFF"/>
        <w:spacing w:lineRule="auto" w:line="240" w:before="0" w:after="0"/>
        <w:jc w:val="both"/>
        <w:rPr>
          <w:rFonts w:ascii="Times New Roman" w:hAnsi="Times New Roman" w:eastAsia="Times New Roman" w:cs="Times New Roman"/>
          <w:bCs/>
          <w:sz w:val="24"/>
          <w:szCs w:val="24"/>
          <w:lang w:eastAsia="ru-RU"/>
        </w:rPr>
      </w:pPr>
      <w:r>
        <w:rPr>
          <w:rFonts w:eastAsia="Times New Roman" w:cs="Times New Roman"/>
          <w:bCs/>
          <w:sz w:val="24"/>
          <w:szCs w:val="24"/>
          <w:lang w:eastAsia="ru-RU"/>
        </w:rPr>
      </w:r>
    </w:p>
    <w:p>
      <w:pPr>
        <w:pStyle w:val="Normal"/>
        <w:widowControl w:val="false"/>
        <w:numPr>
          <w:ilvl w:val="0"/>
          <w:numId w:val="0"/>
        </w:numPr>
        <w:tabs>
          <w:tab w:val="clear" w:pos="708"/>
          <w:tab w:val="left" w:pos="7938" w:leader="none"/>
          <w:tab w:val="left" w:pos="8222" w:leader="none"/>
        </w:tabs>
        <w:spacing w:lineRule="atLeast" w:line="0"/>
        <w:ind w:hanging="0" w:left="-360" w:right="141"/>
        <w:outlineLvl w:val="0"/>
        <w:rPr>
          <w:b/>
          <w:bCs/>
        </w:rPr>
      </w:pPr>
      <w:r>
        <w:rPr>
          <w:b/>
          <w:bCs/>
        </w:rPr>
      </w:r>
    </w:p>
    <w:p>
      <w:pPr>
        <w:pStyle w:val="Normal"/>
        <w:widowControl w:val="false"/>
        <w:numPr>
          <w:ilvl w:val="0"/>
          <w:numId w:val="0"/>
        </w:numPr>
        <w:tabs>
          <w:tab w:val="clear" w:pos="708"/>
          <w:tab w:val="left" w:pos="7938" w:leader="none"/>
          <w:tab w:val="left" w:pos="8222" w:leader="none"/>
        </w:tabs>
        <w:spacing w:lineRule="atLeast" w:line="0"/>
        <w:ind w:hanging="0" w:left="-360" w:right="141"/>
        <w:jc w:val="center"/>
        <w:outlineLvl w:val="0"/>
        <w:rPr>
          <w:b/>
        </w:rPr>
      </w:pPr>
      <w:r>
        <w:rPr>
          <w:b/>
        </w:rPr>
        <w:t>СПЕЦИФИКАЦИЯ</w:t>
      </w:r>
    </w:p>
    <w:p>
      <w:pPr>
        <w:pStyle w:val="Normal"/>
        <w:widowControl w:val="false"/>
        <w:numPr>
          <w:ilvl w:val="0"/>
          <w:numId w:val="0"/>
        </w:numPr>
        <w:tabs>
          <w:tab w:val="clear" w:pos="708"/>
          <w:tab w:val="left" w:pos="7938" w:leader="none"/>
          <w:tab w:val="left" w:pos="8222" w:leader="none"/>
        </w:tabs>
        <w:spacing w:lineRule="atLeast" w:line="0"/>
        <w:ind w:hanging="0" w:left="-360" w:right="141"/>
        <w:jc w:val="center"/>
        <w:outlineLvl w:val="0"/>
        <w:rPr>
          <w:b/>
        </w:rPr>
      </w:pPr>
      <w:r>
        <w:rPr>
          <w:b/>
        </w:rPr>
      </w:r>
    </w:p>
    <w:tbl>
      <w:tblPr>
        <w:tblpPr w:vertAnchor="text" w:horzAnchor="margin" w:tblpXSpec="center" w:bottomFromText="200" w:leftFromText="180" w:rightFromText="180" w:tblpY="6"/>
        <w:tblW w:w="5000" w:type="pct"/>
        <w:jc w:val="center"/>
        <w:tblInd w:w="0" w:type="dxa"/>
        <w:tblLayout w:type="fixed"/>
        <w:tblCellMar>
          <w:top w:w="0" w:type="dxa"/>
          <w:left w:w="70" w:type="dxa"/>
          <w:bottom w:w="0" w:type="dxa"/>
          <w:right w:w="70" w:type="dxa"/>
        </w:tblCellMar>
        <w:tblLook w:firstRow="1" w:noVBand="1" w:lastRow="0" w:firstColumn="1" w:lastColumn="0" w:noHBand="0" w:val="04a0"/>
      </w:tblPr>
      <w:tblGrid>
        <w:gridCol w:w="437"/>
        <w:gridCol w:w="1397"/>
        <w:gridCol w:w="1277"/>
        <w:gridCol w:w="1840"/>
        <w:gridCol w:w="1327"/>
        <w:gridCol w:w="762"/>
        <w:gridCol w:w="762"/>
        <w:gridCol w:w="843"/>
        <w:gridCol w:w="1382"/>
        <w:gridCol w:w="17"/>
        <w:gridCol w:w="160"/>
      </w:tblGrid>
      <w:tr>
        <w:trPr>
          <w:trHeight w:val="1515" w:hRule="atLeast"/>
          <w:cantSplit w:val="true"/>
        </w:trPr>
        <w:tc>
          <w:tcPr>
            <w:tcW w:w="437" w:type="dxa"/>
            <w:tcBorders>
              <w:top w:val="single" w:sz="6" w:space="0" w:color="000000"/>
              <w:left w:val="single" w:sz="4" w:space="0" w:color="000000"/>
              <w:bottom w:val="single" w:sz="6" w:space="0" w:color="000000"/>
              <w:right w:val="single" w:sz="4" w:space="0" w:color="000000"/>
            </w:tcBorders>
          </w:tcPr>
          <w:p>
            <w:pPr>
              <w:pStyle w:val="Normal"/>
              <w:widowControl w:val="false"/>
              <w:shd w:val="clear" w:color="auto" w:fill="FFFFFF"/>
              <w:spacing w:lineRule="atLeast" w:line="0"/>
              <w:ind w:left="-32" w:right="-40"/>
              <w:jc w:val="center"/>
              <w:rPr>
                <w:b/>
                <w:bCs/>
                <w:lang w:eastAsia="en-US"/>
              </w:rPr>
            </w:pPr>
            <w:r>
              <w:rPr>
                <w:b/>
                <w:bCs/>
                <w:lang w:eastAsia="en-US"/>
              </w:rPr>
            </w:r>
          </w:p>
          <w:p>
            <w:pPr>
              <w:pStyle w:val="Normal"/>
              <w:widowControl w:val="false"/>
              <w:shd w:val="clear" w:color="auto" w:fill="FFFFFF"/>
              <w:spacing w:lineRule="atLeast" w:line="0"/>
              <w:ind w:left="-32" w:right="-40"/>
              <w:jc w:val="center"/>
              <w:rPr>
                <w:lang w:eastAsia="en-US"/>
              </w:rPr>
            </w:pPr>
            <w:r>
              <w:rPr>
                <w:b/>
                <w:bCs/>
                <w:lang w:eastAsia="en-US"/>
              </w:rPr>
              <w:t xml:space="preserve">№ </w:t>
            </w:r>
            <w:r>
              <w:rPr>
                <w:b/>
                <w:bCs/>
                <w:lang w:eastAsia="en-US"/>
              </w:rPr>
              <w:t>п/п</w:t>
            </w:r>
          </w:p>
        </w:tc>
        <w:tc>
          <w:tcPr>
            <w:tcW w:w="1397" w:type="dxa"/>
            <w:tcBorders>
              <w:top w:val="single" w:sz="6" w:space="0" w:color="000000"/>
              <w:left w:val="single" w:sz="4" w:space="0" w:color="000000"/>
              <w:bottom w:val="single" w:sz="6" w:space="0" w:color="000000"/>
              <w:right w:val="single" w:sz="4" w:space="0" w:color="000000"/>
            </w:tcBorders>
            <w:vAlign w:val="center"/>
          </w:tcPr>
          <w:p>
            <w:pPr>
              <w:pStyle w:val="Normal"/>
              <w:widowControl w:val="false"/>
              <w:shd w:val="clear" w:color="auto" w:fill="FFFFFF"/>
              <w:spacing w:lineRule="atLeast" w:line="0"/>
              <w:ind w:left="-32" w:right="-40"/>
              <w:jc w:val="center"/>
              <w:rPr>
                <w:b/>
                <w:bCs/>
                <w:lang w:eastAsia="en-US"/>
              </w:rPr>
            </w:pPr>
            <w:r>
              <w:rPr>
                <w:b/>
                <w:bCs/>
                <w:lang w:eastAsia="en-US"/>
              </w:rPr>
              <w:t>ОКПД-2/ КТРУ</w:t>
            </w:r>
          </w:p>
        </w:tc>
        <w:tc>
          <w:tcPr>
            <w:tcW w:w="127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widowControl w:val="false"/>
              <w:spacing w:lineRule="atLeast" w:line="0"/>
              <w:jc w:val="center"/>
              <w:rPr>
                <w:b/>
                <w:bCs/>
                <w:lang w:eastAsia="en-US"/>
              </w:rPr>
            </w:pPr>
            <w:r>
              <w:rPr>
                <w:b/>
                <w:bCs/>
                <w:lang w:eastAsia="en-US"/>
              </w:rPr>
              <w:t>Наимено</w:t>
            </w:r>
          </w:p>
          <w:p>
            <w:pPr>
              <w:pStyle w:val="Normal"/>
              <w:widowControl w:val="false"/>
              <w:spacing w:lineRule="atLeast" w:line="0"/>
              <w:jc w:val="center"/>
              <w:rPr>
                <w:lang w:eastAsia="en-US"/>
              </w:rPr>
            </w:pPr>
            <w:r>
              <w:rPr>
                <w:b/>
                <w:bCs/>
                <w:lang w:eastAsia="en-US"/>
              </w:rPr>
              <w:t>вание товара</w:t>
            </w:r>
          </w:p>
        </w:tc>
        <w:tc>
          <w:tcPr>
            <w:tcW w:w="1840" w:type="dxa"/>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pPr>
              <w:pStyle w:val="Normal"/>
              <w:widowControl w:val="false"/>
              <w:spacing w:lineRule="atLeast" w:line="0"/>
              <w:ind w:right="82"/>
              <w:jc w:val="center"/>
              <w:rPr>
                <w:bCs/>
                <w:color w:val="000000"/>
                <w:lang w:eastAsia="en-US"/>
              </w:rPr>
            </w:pPr>
            <w:r>
              <w:rPr>
                <w:b/>
                <w:bCs/>
                <w:lang w:eastAsia="en-US"/>
              </w:rPr>
              <w:t>Технические характеристики товара</w:t>
            </w:r>
          </w:p>
        </w:tc>
        <w:tc>
          <w:tcPr>
            <w:tcW w:w="132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widowControl w:val="false"/>
              <w:spacing w:lineRule="atLeast" w:line="0"/>
              <w:jc w:val="center"/>
              <w:rPr>
                <w:b/>
                <w:bCs/>
                <w:lang w:eastAsia="en-US"/>
              </w:rPr>
            </w:pPr>
            <w:r>
              <w:rPr>
                <w:b/>
                <w:bCs/>
                <w:lang w:eastAsia="en-US"/>
              </w:rPr>
              <w:t>Страна</w:t>
            </w:r>
          </w:p>
          <w:p>
            <w:pPr>
              <w:pStyle w:val="Normal"/>
              <w:widowControl w:val="false"/>
              <w:spacing w:lineRule="atLeast" w:line="0"/>
              <w:jc w:val="center"/>
              <w:rPr>
                <w:b/>
                <w:bCs/>
                <w:lang w:eastAsia="en-US"/>
              </w:rPr>
            </w:pPr>
            <w:r>
              <w:rPr>
                <w:b/>
                <w:bCs/>
                <w:lang w:eastAsia="en-US"/>
              </w:rPr>
              <w:t>происхож</w:t>
            </w:r>
          </w:p>
          <w:p>
            <w:pPr>
              <w:pStyle w:val="Normal"/>
              <w:widowControl w:val="false"/>
              <w:spacing w:lineRule="atLeast" w:line="0"/>
              <w:jc w:val="center"/>
              <w:rPr>
                <w:bCs/>
                <w:color w:val="000000"/>
                <w:lang w:eastAsia="en-US"/>
              </w:rPr>
            </w:pPr>
            <w:r>
              <w:rPr>
                <w:b/>
                <w:bCs/>
                <w:lang w:eastAsia="en-US"/>
              </w:rPr>
              <w:t>дения</w:t>
            </w:r>
          </w:p>
        </w:tc>
        <w:tc>
          <w:tcPr>
            <w:tcW w:w="76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widowControl w:val="false"/>
              <w:spacing w:lineRule="atLeast" w:line="0"/>
              <w:jc w:val="center"/>
              <w:rPr>
                <w:lang w:eastAsia="en-US"/>
              </w:rPr>
            </w:pPr>
            <w:r>
              <w:rPr>
                <w:b/>
                <w:bCs/>
                <w:lang w:eastAsia="en-US"/>
              </w:rPr>
              <w:t>Кол-во</w:t>
            </w:r>
          </w:p>
        </w:tc>
        <w:tc>
          <w:tcPr>
            <w:tcW w:w="76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widowControl w:val="false"/>
              <w:spacing w:lineRule="atLeast" w:line="0"/>
              <w:jc w:val="center"/>
              <w:rPr>
                <w:b/>
                <w:bCs/>
                <w:lang w:eastAsia="en-US"/>
              </w:rPr>
            </w:pPr>
            <w:r>
              <w:rPr>
                <w:b/>
                <w:bCs/>
                <w:lang w:eastAsia="en-US"/>
              </w:rPr>
              <w:t>Ед.</w:t>
            </w:r>
          </w:p>
          <w:p>
            <w:pPr>
              <w:pStyle w:val="Normal"/>
              <w:widowControl w:val="false"/>
              <w:spacing w:lineRule="atLeast" w:line="0"/>
              <w:jc w:val="center"/>
              <w:rPr>
                <w:bCs/>
                <w:lang w:eastAsia="en-US"/>
              </w:rPr>
            </w:pPr>
            <w:r>
              <w:rPr>
                <w:b/>
                <w:bCs/>
                <w:lang w:eastAsia="en-US"/>
              </w:rPr>
              <w:t>изм.</w:t>
            </w:r>
          </w:p>
        </w:tc>
        <w:tc>
          <w:tcPr>
            <w:tcW w:w="843"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widowControl w:val="false"/>
              <w:spacing w:lineRule="atLeast" w:line="0"/>
              <w:jc w:val="center"/>
              <w:rPr>
                <w:bCs/>
                <w:lang w:eastAsia="en-US"/>
              </w:rPr>
            </w:pPr>
            <w:r>
              <w:rPr>
                <w:b/>
                <w:bCs/>
                <w:lang w:eastAsia="en-US"/>
              </w:rPr>
              <w:t xml:space="preserve">Цена с НДС, руб/л        </w:t>
              <w:br/>
            </w:r>
          </w:p>
        </w:tc>
        <w:tc>
          <w:tcPr>
            <w:tcW w:w="138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widowControl w:val="false"/>
              <w:spacing w:lineRule="atLeast" w:line="0"/>
              <w:jc w:val="center"/>
              <w:rPr>
                <w:b/>
                <w:bCs/>
                <w:lang w:eastAsia="en-US"/>
              </w:rPr>
            </w:pPr>
            <w:r>
              <w:rPr>
                <w:b/>
                <w:bCs/>
                <w:lang w:eastAsia="en-US"/>
              </w:rPr>
              <w:t>Сумма с НДС,</w:t>
            </w:r>
          </w:p>
          <w:p>
            <w:pPr>
              <w:pStyle w:val="Normal"/>
              <w:widowControl w:val="false"/>
              <w:spacing w:lineRule="atLeast" w:line="0"/>
              <w:jc w:val="center"/>
              <w:rPr>
                <w:bCs/>
                <w:lang w:eastAsia="en-US"/>
              </w:rPr>
            </w:pPr>
            <w:r>
              <w:rPr>
                <w:b/>
                <w:bCs/>
                <w:lang w:eastAsia="en-US"/>
              </w:rPr>
              <w:t>руб.</w:t>
            </w:r>
          </w:p>
        </w:tc>
        <w:tc>
          <w:tcPr>
            <w:tcW w:w="177" w:type="dxa"/>
            <w:gridSpan w:val="2"/>
            <w:tcBorders/>
          </w:tcPr>
          <w:p>
            <w:pPr>
              <w:pStyle w:val="Normal"/>
              <w:widowControl w:val="false"/>
              <w:spacing w:lineRule="atLeast" w:line="0"/>
              <w:rPr/>
            </w:pPr>
            <w:r>
              <w:rPr/>
            </w:r>
          </w:p>
        </w:tc>
      </w:tr>
      <w:tr>
        <w:trPr>
          <w:trHeight w:val="530" w:hRule="atLeast"/>
          <w:cantSplit w:val="true"/>
        </w:trPr>
        <w:tc>
          <w:tcPr>
            <w:tcW w:w="437" w:type="dxa"/>
            <w:tcBorders>
              <w:top w:val="single" w:sz="6" w:space="0" w:color="000000"/>
              <w:left w:val="single" w:sz="4" w:space="0" w:color="000000"/>
              <w:bottom w:val="single" w:sz="6" w:space="0" w:color="000000"/>
              <w:right w:val="single" w:sz="4" w:space="0" w:color="000000"/>
            </w:tcBorders>
          </w:tcPr>
          <w:p>
            <w:pPr>
              <w:pStyle w:val="Normal"/>
              <w:widowControl w:val="false"/>
              <w:spacing w:lineRule="atLeast" w:line="0"/>
              <w:jc w:val="center"/>
              <w:rPr>
                <w:lang w:eastAsia="en-US"/>
              </w:rPr>
            </w:pPr>
            <w:r>
              <w:rPr>
                <w:lang w:eastAsia="en-US"/>
              </w:rPr>
              <w:t>1</w:t>
            </w:r>
          </w:p>
        </w:tc>
        <w:tc>
          <w:tcPr>
            <w:tcW w:w="1397" w:type="dxa"/>
            <w:tcBorders>
              <w:top w:val="single" w:sz="6" w:space="0" w:color="000000"/>
              <w:left w:val="single" w:sz="4" w:space="0" w:color="000000"/>
              <w:bottom w:val="single" w:sz="6" w:space="0" w:color="000000"/>
              <w:right w:val="single" w:sz="4" w:space="0" w:color="000000"/>
            </w:tcBorders>
            <w:vAlign w:val="center"/>
          </w:tcPr>
          <w:p>
            <w:pPr>
              <w:pStyle w:val="Normal"/>
              <w:shd w:val="clear" w:color="auto" w:fill="FFFFFF"/>
              <w:spacing w:lineRule="auto" w:line="276"/>
              <w:ind w:right="-40"/>
              <w:jc w:val="center"/>
              <w:rPr>
                <w:sz w:val="22"/>
                <w:szCs w:val="22"/>
                <w:lang w:eastAsia="en-US"/>
              </w:rPr>
            </w:pPr>
            <w:r>
              <w:rPr>
                <w:sz w:val="22"/>
                <w:szCs w:val="22"/>
                <w:lang w:eastAsia="en-US"/>
              </w:rPr>
              <w:t>19.20.21.100/</w:t>
            </w:r>
          </w:p>
          <w:p>
            <w:pPr>
              <w:pStyle w:val="Normal"/>
              <w:shd w:val="clear" w:color="auto" w:fill="FFFFFF"/>
              <w:spacing w:lineRule="auto" w:line="276"/>
              <w:ind w:right="-58"/>
              <w:jc w:val="center"/>
              <w:rPr>
                <w:sz w:val="22"/>
                <w:szCs w:val="22"/>
                <w:lang w:eastAsia="en-US"/>
              </w:rPr>
            </w:pPr>
            <w:r>
              <w:rPr>
                <w:sz w:val="22"/>
                <w:szCs w:val="22"/>
                <w:lang w:eastAsia="en-US"/>
              </w:rPr>
              <w:t>19.20.21.100-00000006</w:t>
            </w:r>
          </w:p>
          <w:p>
            <w:pPr>
              <w:pStyle w:val="Normal"/>
              <w:widowControl w:val="false"/>
              <w:spacing w:lineRule="atLeast" w:line="0"/>
              <w:ind w:left="-74"/>
              <w:jc w:val="center"/>
              <w:rPr>
                <w:lang w:eastAsia="en-US"/>
              </w:rPr>
            </w:pPr>
            <w:r>
              <w:rPr>
                <w:lang w:eastAsia="en-US"/>
              </w:rPr>
            </w:r>
          </w:p>
        </w:tc>
        <w:tc>
          <w:tcPr>
            <w:tcW w:w="1277" w:type="dxa"/>
            <w:tcBorders>
              <w:top w:val="single" w:sz="6" w:space="0" w:color="000000"/>
              <w:left w:val="single" w:sz="4" w:space="0" w:color="000000"/>
              <w:bottom w:val="single" w:sz="6" w:space="0" w:color="000000"/>
              <w:right w:val="single" w:sz="6" w:space="0" w:color="000000"/>
            </w:tcBorders>
            <w:tcMar>
              <w:left w:w="57" w:type="dxa"/>
              <w:right w:w="57" w:type="dxa"/>
            </w:tcMar>
            <w:vAlign w:val="center"/>
          </w:tcPr>
          <w:p>
            <w:pPr>
              <w:pStyle w:val="Normal"/>
              <w:shd w:val="clear" w:color="auto" w:fill="FFFFFF"/>
              <w:jc w:val="center"/>
              <w:rPr>
                <w:sz w:val="22"/>
                <w:szCs w:val="22"/>
              </w:rPr>
            </w:pPr>
            <w:r>
              <w:rPr>
                <w:sz w:val="22"/>
                <w:szCs w:val="22"/>
              </w:rPr>
              <w:t>Бензин</w:t>
            </w:r>
          </w:p>
          <w:p>
            <w:pPr>
              <w:pStyle w:val="Normal"/>
              <w:shd w:val="clear" w:color="auto" w:fill="FFFFFF"/>
              <w:jc w:val="center"/>
              <w:rPr>
                <w:sz w:val="22"/>
                <w:szCs w:val="22"/>
              </w:rPr>
            </w:pPr>
            <w:r>
              <w:rPr>
                <w:sz w:val="22"/>
                <w:szCs w:val="22"/>
              </w:rPr>
              <w:t>АИ-92</w:t>
            </w:r>
          </w:p>
          <w:p>
            <w:pPr>
              <w:pStyle w:val="Normal"/>
              <w:widowControl w:val="false"/>
              <w:spacing w:lineRule="atLeast" w:line="0"/>
              <w:jc w:val="center"/>
              <w:rPr>
                <w:b/>
                <w:bCs/>
                <w:lang w:eastAsia="en-US"/>
              </w:rPr>
            </w:pPr>
            <w:r>
              <w:rPr>
                <w:b/>
                <w:bCs/>
                <w:lang w:eastAsia="en-US"/>
              </w:rPr>
            </w:r>
          </w:p>
        </w:tc>
        <w:tc>
          <w:tcPr>
            <w:tcW w:w="1840" w:type="dxa"/>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pPr>
              <w:pStyle w:val="Normal"/>
              <w:jc w:val="center"/>
              <w:rPr>
                <w:sz w:val="22"/>
                <w:szCs w:val="22"/>
              </w:rPr>
            </w:pPr>
            <w:r>
              <w:rPr>
                <w:sz w:val="22"/>
                <w:szCs w:val="22"/>
              </w:rPr>
              <w:t>Бензин автомобильный (розничная реализация)</w:t>
            </w:r>
          </w:p>
          <w:p>
            <w:pPr>
              <w:pStyle w:val="Normal"/>
              <w:jc w:val="center"/>
              <w:rPr>
                <w:sz w:val="22"/>
                <w:szCs w:val="22"/>
              </w:rPr>
            </w:pPr>
            <w:r>
              <w:rPr>
                <w:sz w:val="22"/>
                <w:szCs w:val="22"/>
              </w:rPr>
              <w:t>Октановое число бензина автомобильного по исследовательскому методу:</w:t>
            </w:r>
          </w:p>
          <w:p>
            <w:pPr>
              <w:pStyle w:val="Normal"/>
              <w:widowControl w:val="false"/>
              <w:spacing w:lineRule="atLeast" w:line="0"/>
              <w:jc w:val="center"/>
              <w:rPr>
                <w:b/>
                <w:bCs/>
                <w:lang w:eastAsia="en-US"/>
              </w:rPr>
            </w:pPr>
            <w:r>
              <w:rPr>
                <w:sz w:val="22"/>
                <w:szCs w:val="22"/>
              </w:rPr>
              <w:t xml:space="preserve">≥ </w:t>
            </w:r>
            <w:r>
              <w:rPr>
                <w:sz w:val="22"/>
                <w:szCs w:val="22"/>
              </w:rPr>
              <w:t>92 и &lt;95 Экологический класс: не ниже К5</w:t>
            </w:r>
          </w:p>
        </w:tc>
        <w:tc>
          <w:tcPr>
            <w:tcW w:w="132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widowControl w:val="false"/>
              <w:spacing w:lineRule="atLeast" w:line="0"/>
              <w:jc w:val="center"/>
              <w:rPr>
                <w:b/>
                <w:bCs/>
                <w:lang w:eastAsia="en-US"/>
              </w:rPr>
            </w:pPr>
            <w:r>
              <w:rPr>
                <w:bCs/>
                <w:color w:val="000000"/>
                <w:sz w:val="22"/>
                <w:szCs w:val="22"/>
                <w:lang w:eastAsia="en-US"/>
              </w:rPr>
              <w:t>Российская Федерация</w:t>
            </w:r>
          </w:p>
        </w:tc>
        <w:tc>
          <w:tcPr>
            <w:tcW w:w="762" w:type="dxa"/>
            <w:tcBorders>
              <w:top w:val="single" w:sz="6" w:space="0" w:color="000000"/>
              <w:left w:val="single" w:sz="4" w:space="0" w:color="000000"/>
              <w:bottom w:val="single" w:sz="6" w:space="0" w:color="000000"/>
              <w:right w:val="single" w:sz="4" w:space="0" w:color="000000"/>
            </w:tcBorders>
            <w:tcMar>
              <w:left w:w="57" w:type="dxa"/>
              <w:right w:w="57" w:type="dxa"/>
            </w:tcMar>
            <w:vAlign w:val="center"/>
          </w:tcPr>
          <w:p>
            <w:pPr>
              <w:pStyle w:val="Normal"/>
              <w:widowControl w:val="false"/>
              <w:spacing w:lineRule="atLeast" w:line="0"/>
              <w:jc w:val="center"/>
              <w:rPr>
                <w:lang w:eastAsia="en-US"/>
              </w:rPr>
            </w:pPr>
            <w:r>
              <w:rPr>
                <w:sz w:val="22"/>
                <w:szCs w:val="22"/>
                <w:lang w:eastAsia="en-US"/>
              </w:rPr>
              <w:t>750</w:t>
            </w:r>
          </w:p>
        </w:tc>
        <w:tc>
          <w:tcPr>
            <w:tcW w:w="762" w:type="dxa"/>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pPr>
              <w:pStyle w:val="Normal"/>
              <w:widowControl w:val="false"/>
              <w:spacing w:lineRule="atLeast" w:line="0"/>
              <w:jc w:val="center"/>
              <w:rPr>
                <w:lang w:eastAsia="en-US"/>
              </w:rPr>
            </w:pPr>
            <w:r>
              <w:rPr>
                <w:sz w:val="22"/>
                <w:szCs w:val="22"/>
                <w:lang w:eastAsia="en-US"/>
              </w:rPr>
              <w:t>литр</w:t>
            </w:r>
          </w:p>
        </w:tc>
        <w:tc>
          <w:tcPr>
            <w:tcW w:w="843" w:type="dxa"/>
            <w:tcBorders>
              <w:top w:val="single" w:sz="6" w:space="0" w:color="000000"/>
              <w:left w:val="single" w:sz="6" w:space="0" w:color="000000"/>
              <w:bottom w:val="single" w:sz="6" w:space="0" w:color="000000"/>
              <w:right w:val="single" w:sz="4" w:space="0" w:color="000000"/>
            </w:tcBorders>
            <w:tcMar>
              <w:left w:w="57" w:type="dxa"/>
              <w:right w:w="57" w:type="dxa"/>
            </w:tcMar>
            <w:vAlign w:val="center"/>
          </w:tcPr>
          <w:p>
            <w:pPr>
              <w:pStyle w:val="Normal"/>
              <w:widowControl w:val="false"/>
              <w:spacing w:lineRule="atLeast" w:line="0"/>
              <w:jc w:val="center"/>
              <w:rPr>
                <w:b/>
                <w:bCs/>
                <w:lang w:eastAsia="en-US"/>
              </w:rPr>
            </w:pPr>
            <w:r>
              <w:rPr>
                <w:b/>
                <w:bCs/>
                <w:lang w:eastAsia="en-US"/>
              </w:rPr>
            </w:r>
          </w:p>
        </w:tc>
        <w:tc>
          <w:tcPr>
            <w:tcW w:w="138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widowControl w:val="false"/>
              <w:spacing w:lineRule="atLeast" w:line="0"/>
              <w:jc w:val="center"/>
              <w:rPr>
                <w:b/>
                <w:bCs/>
                <w:lang w:eastAsia="en-US"/>
              </w:rPr>
            </w:pPr>
            <w:r>
              <w:rPr>
                <w:b/>
                <w:bCs/>
                <w:lang w:eastAsia="en-US"/>
              </w:rPr>
            </w:r>
          </w:p>
        </w:tc>
        <w:tc>
          <w:tcPr>
            <w:tcW w:w="177" w:type="dxa"/>
            <w:gridSpan w:val="2"/>
            <w:tcBorders/>
          </w:tcPr>
          <w:p>
            <w:pPr>
              <w:pStyle w:val="Normal"/>
              <w:widowControl w:val="false"/>
              <w:spacing w:lineRule="atLeast" w:line="0"/>
              <w:rPr/>
            </w:pPr>
            <w:r>
              <w:rPr/>
            </w:r>
          </w:p>
        </w:tc>
      </w:tr>
      <w:tr>
        <w:trPr>
          <w:trHeight w:val="530" w:hRule="atLeast"/>
          <w:cantSplit w:val="true"/>
        </w:trPr>
        <w:tc>
          <w:tcPr>
            <w:tcW w:w="437" w:type="dxa"/>
            <w:tcBorders>
              <w:top w:val="single" w:sz="6" w:space="0" w:color="000000"/>
              <w:left w:val="single" w:sz="4" w:space="0" w:color="000000"/>
              <w:bottom w:val="single" w:sz="6" w:space="0" w:color="000000"/>
              <w:right w:val="single" w:sz="4" w:space="0" w:color="000000"/>
            </w:tcBorders>
          </w:tcPr>
          <w:p>
            <w:pPr>
              <w:pStyle w:val="Normal"/>
              <w:widowControl w:val="false"/>
              <w:spacing w:lineRule="atLeast" w:line="0"/>
              <w:jc w:val="center"/>
              <w:rPr>
                <w:lang w:eastAsia="en-US"/>
              </w:rPr>
            </w:pPr>
            <w:r>
              <w:rPr>
                <w:lang w:eastAsia="en-US"/>
              </w:rPr>
              <w:t>2</w:t>
            </w:r>
          </w:p>
        </w:tc>
        <w:tc>
          <w:tcPr>
            <w:tcW w:w="1397" w:type="dxa"/>
            <w:tcBorders>
              <w:top w:val="single" w:sz="6" w:space="0" w:color="000000"/>
              <w:left w:val="single" w:sz="4" w:space="0" w:color="000000"/>
              <w:bottom w:val="single" w:sz="6" w:space="0" w:color="000000"/>
              <w:right w:val="single" w:sz="4" w:space="0" w:color="000000"/>
            </w:tcBorders>
            <w:vAlign w:val="center"/>
          </w:tcPr>
          <w:p>
            <w:pPr>
              <w:pStyle w:val="Normal"/>
              <w:shd w:val="clear" w:color="auto" w:fill="FFFFFF"/>
              <w:jc w:val="center"/>
              <w:rPr>
                <w:sz w:val="22"/>
                <w:szCs w:val="22"/>
              </w:rPr>
            </w:pPr>
            <w:r>
              <w:rPr>
                <w:sz w:val="22"/>
                <w:szCs w:val="22"/>
              </w:rPr>
              <w:t>19.20.21.300/</w:t>
            </w:r>
          </w:p>
          <w:p>
            <w:pPr>
              <w:pStyle w:val="Normal"/>
              <w:shd w:val="clear" w:color="auto" w:fill="FFFFFF"/>
              <w:jc w:val="center"/>
              <w:rPr>
                <w:sz w:val="22"/>
                <w:szCs w:val="22"/>
              </w:rPr>
            </w:pPr>
            <w:r>
              <w:rPr>
                <w:sz w:val="22"/>
                <w:szCs w:val="22"/>
              </w:rPr>
              <w:t>19.20.21.300-</w:t>
            </w:r>
          </w:p>
          <w:p>
            <w:pPr>
              <w:pStyle w:val="Normal"/>
              <w:widowControl w:val="false"/>
              <w:spacing w:lineRule="atLeast" w:line="0"/>
              <w:ind w:left="-74"/>
              <w:jc w:val="center"/>
              <w:rPr/>
            </w:pPr>
            <w:r>
              <w:rPr>
                <w:sz w:val="22"/>
                <w:szCs w:val="22"/>
              </w:rPr>
              <w:t>00000009</w:t>
            </w:r>
          </w:p>
        </w:tc>
        <w:tc>
          <w:tcPr>
            <w:tcW w:w="1277" w:type="dxa"/>
            <w:tcBorders>
              <w:top w:val="single" w:sz="6" w:space="0" w:color="000000"/>
              <w:left w:val="single" w:sz="4" w:space="0" w:color="000000"/>
              <w:bottom w:val="single" w:sz="6" w:space="0" w:color="000000"/>
              <w:right w:val="single" w:sz="6" w:space="0" w:color="000000"/>
            </w:tcBorders>
            <w:tcMar>
              <w:left w:w="57" w:type="dxa"/>
              <w:right w:w="57" w:type="dxa"/>
            </w:tcMar>
            <w:vAlign w:val="center"/>
          </w:tcPr>
          <w:p>
            <w:pPr>
              <w:pStyle w:val="Normal"/>
              <w:widowControl w:val="false"/>
              <w:shd w:val="clear" w:color="auto" w:fill="FFFFFF"/>
              <w:spacing w:lineRule="atLeast" w:line="0"/>
              <w:ind w:right="-40"/>
              <w:jc w:val="center"/>
              <w:rPr>
                <w:highlight w:val="yellow"/>
              </w:rPr>
            </w:pPr>
            <w:r>
              <w:rPr>
                <w:sz w:val="22"/>
                <w:szCs w:val="22"/>
              </w:rPr>
              <w:t>Дизельное топливо ЕВРО летнее</w:t>
            </w:r>
          </w:p>
        </w:tc>
        <w:tc>
          <w:tcPr>
            <w:tcW w:w="1840" w:type="dxa"/>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pPr>
              <w:pStyle w:val="Normal"/>
              <w:jc w:val="center"/>
              <w:rPr>
                <w:sz w:val="22"/>
                <w:szCs w:val="22"/>
              </w:rPr>
            </w:pPr>
            <w:r>
              <w:rPr>
                <w:sz w:val="22"/>
                <w:szCs w:val="22"/>
              </w:rPr>
              <w:t>Топливо дизельное (розничная реализация)</w:t>
            </w:r>
          </w:p>
          <w:p>
            <w:pPr>
              <w:pStyle w:val="Normal"/>
              <w:jc w:val="center"/>
              <w:rPr>
                <w:sz w:val="22"/>
                <w:szCs w:val="22"/>
              </w:rPr>
            </w:pPr>
            <w:r>
              <w:rPr>
                <w:sz w:val="22"/>
                <w:szCs w:val="22"/>
              </w:rPr>
              <w:t>Тип топлива дизельного:</w:t>
            </w:r>
          </w:p>
          <w:p>
            <w:pPr>
              <w:pStyle w:val="Normal"/>
              <w:jc w:val="center"/>
              <w:rPr>
                <w:sz w:val="22"/>
                <w:szCs w:val="22"/>
              </w:rPr>
            </w:pPr>
            <w:r>
              <w:rPr>
                <w:sz w:val="22"/>
                <w:szCs w:val="22"/>
              </w:rPr>
              <w:t>летнее</w:t>
            </w:r>
          </w:p>
          <w:p>
            <w:pPr>
              <w:pStyle w:val="Normal"/>
              <w:jc w:val="center"/>
              <w:rPr>
                <w:sz w:val="22"/>
                <w:szCs w:val="22"/>
              </w:rPr>
            </w:pPr>
            <w:r>
              <w:rPr>
                <w:sz w:val="22"/>
                <w:szCs w:val="22"/>
              </w:rPr>
              <w:t>Экологический класс:</w:t>
            </w:r>
          </w:p>
          <w:p>
            <w:pPr>
              <w:pStyle w:val="Normal"/>
              <w:widowControl w:val="false"/>
              <w:spacing w:lineRule="atLeast" w:line="0"/>
              <w:jc w:val="center"/>
              <w:rPr>
                <w:rFonts w:eastAsia="Times New Roman"/>
                <w:highlight w:val="yellow"/>
              </w:rPr>
            </w:pPr>
            <w:r>
              <w:rPr>
                <w:sz w:val="22"/>
                <w:szCs w:val="22"/>
              </w:rPr>
              <w:t>не ниже К5</w:t>
            </w:r>
          </w:p>
        </w:tc>
        <w:tc>
          <w:tcPr>
            <w:tcW w:w="132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widowControl w:val="false"/>
              <w:spacing w:lineRule="atLeast" w:line="0"/>
              <w:jc w:val="center"/>
              <w:rPr>
                <w:bCs/>
                <w:color w:val="000000"/>
                <w:lang w:eastAsia="en-US"/>
              </w:rPr>
            </w:pPr>
            <w:r>
              <w:rPr>
                <w:bCs/>
                <w:color w:val="000000"/>
                <w:sz w:val="22"/>
                <w:szCs w:val="22"/>
                <w:lang w:eastAsia="en-US"/>
              </w:rPr>
              <w:t>Российская Федерация</w:t>
            </w:r>
          </w:p>
        </w:tc>
        <w:tc>
          <w:tcPr>
            <w:tcW w:w="762" w:type="dxa"/>
            <w:tcBorders>
              <w:top w:val="single" w:sz="6" w:space="0" w:color="000000"/>
              <w:left w:val="single" w:sz="4" w:space="0" w:color="000000"/>
              <w:bottom w:val="single" w:sz="6" w:space="0" w:color="000000"/>
              <w:right w:val="single" w:sz="4" w:space="0" w:color="000000"/>
            </w:tcBorders>
            <w:tcMar>
              <w:left w:w="57" w:type="dxa"/>
              <w:right w:w="57" w:type="dxa"/>
            </w:tcMar>
            <w:vAlign w:val="center"/>
          </w:tcPr>
          <w:p>
            <w:pPr>
              <w:pStyle w:val="Normal"/>
              <w:widowControl w:val="false"/>
              <w:spacing w:lineRule="atLeast" w:line="0"/>
              <w:jc w:val="center"/>
              <w:rPr>
                <w:lang w:eastAsia="en-US"/>
              </w:rPr>
            </w:pPr>
            <w:r>
              <w:rPr>
                <w:sz w:val="22"/>
                <w:szCs w:val="22"/>
                <w:lang w:eastAsia="en-US"/>
              </w:rPr>
              <w:t>400</w:t>
            </w:r>
          </w:p>
        </w:tc>
        <w:tc>
          <w:tcPr>
            <w:tcW w:w="762" w:type="dxa"/>
            <w:tcBorders>
              <w:top w:val="single" w:sz="6" w:space="0" w:color="000000"/>
              <w:left w:val="single" w:sz="6" w:space="0" w:color="000000"/>
              <w:bottom w:val="single" w:sz="6" w:space="0" w:color="000000"/>
              <w:right w:val="single" w:sz="6" w:space="0" w:color="000000"/>
            </w:tcBorders>
            <w:tcMar>
              <w:left w:w="57" w:type="dxa"/>
              <w:right w:w="57" w:type="dxa"/>
            </w:tcMar>
            <w:vAlign w:val="center"/>
          </w:tcPr>
          <w:p>
            <w:pPr>
              <w:pStyle w:val="Normal"/>
              <w:widowControl w:val="false"/>
              <w:spacing w:lineRule="atLeast" w:line="0"/>
              <w:jc w:val="center"/>
              <w:rPr>
                <w:lang w:eastAsia="en-US"/>
              </w:rPr>
            </w:pPr>
            <w:r>
              <w:rPr>
                <w:sz w:val="22"/>
                <w:szCs w:val="22"/>
                <w:lang w:eastAsia="en-US"/>
              </w:rPr>
              <w:t>литр</w:t>
            </w:r>
          </w:p>
        </w:tc>
        <w:tc>
          <w:tcPr>
            <w:tcW w:w="843" w:type="dxa"/>
            <w:tcBorders>
              <w:top w:val="single" w:sz="6" w:space="0" w:color="000000"/>
              <w:left w:val="single" w:sz="6" w:space="0" w:color="000000"/>
              <w:bottom w:val="single" w:sz="6" w:space="0" w:color="000000"/>
              <w:right w:val="single" w:sz="4" w:space="0" w:color="000000"/>
            </w:tcBorders>
            <w:tcMar>
              <w:left w:w="57" w:type="dxa"/>
              <w:right w:w="57" w:type="dxa"/>
            </w:tcMar>
            <w:vAlign w:val="center"/>
          </w:tcPr>
          <w:p>
            <w:pPr>
              <w:pStyle w:val="Normal"/>
              <w:widowControl w:val="false"/>
              <w:spacing w:lineRule="atLeast" w:line="0"/>
              <w:jc w:val="center"/>
              <w:rPr>
                <w:sz w:val="22"/>
                <w:szCs w:val="22"/>
              </w:rPr>
            </w:pPr>
            <w:r>
              <w:rPr>
                <w:sz w:val="22"/>
                <w:szCs w:val="22"/>
              </w:rPr>
            </w:r>
          </w:p>
        </w:tc>
        <w:tc>
          <w:tcPr>
            <w:tcW w:w="1382"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widowControl w:val="false"/>
              <w:spacing w:lineRule="atLeast" w:line="0"/>
              <w:jc w:val="center"/>
              <w:rPr>
                <w:sz w:val="22"/>
                <w:szCs w:val="22"/>
              </w:rPr>
            </w:pPr>
            <w:r>
              <w:rPr>
                <w:sz w:val="22"/>
                <w:szCs w:val="22"/>
              </w:rPr>
            </w:r>
          </w:p>
        </w:tc>
        <w:tc>
          <w:tcPr>
            <w:tcW w:w="177" w:type="dxa"/>
            <w:gridSpan w:val="2"/>
            <w:tcBorders/>
          </w:tcPr>
          <w:p>
            <w:pPr>
              <w:pStyle w:val="Normal"/>
              <w:widowControl w:val="false"/>
              <w:spacing w:lineRule="atLeast" w:line="0"/>
              <w:rPr/>
            </w:pPr>
            <w:r>
              <w:rPr/>
            </w:r>
          </w:p>
        </w:tc>
      </w:tr>
      <w:tr>
        <w:trPr>
          <w:trHeight w:val="538" w:hRule="atLeast"/>
          <w:cantSplit w:val="true"/>
        </w:trPr>
        <w:tc>
          <w:tcPr>
            <w:tcW w:w="8645" w:type="dxa"/>
            <w:gridSpan w:val="8"/>
            <w:tcBorders>
              <w:top w:val="single" w:sz="6" w:space="0" w:color="000000"/>
              <w:left w:val="single" w:sz="4" w:space="0" w:color="000000"/>
              <w:bottom w:val="single" w:sz="6" w:space="0" w:color="000000"/>
              <w:right w:val="single" w:sz="4" w:space="0" w:color="000000"/>
            </w:tcBorders>
          </w:tcPr>
          <w:p>
            <w:pPr>
              <w:pStyle w:val="Normal"/>
              <w:widowControl w:val="false"/>
              <w:spacing w:lineRule="atLeast" w:line="0"/>
              <w:rPr>
                <w:b/>
                <w:lang w:eastAsia="en-US"/>
              </w:rPr>
            </w:pPr>
            <w:r>
              <w:rPr>
                <w:b/>
                <w:lang w:eastAsia="en-US"/>
              </w:rPr>
              <w:t>Итого:</w:t>
            </w:r>
          </w:p>
        </w:tc>
        <w:tc>
          <w:tcPr>
            <w:tcW w:w="1399" w:type="dxa"/>
            <w:gridSpan w:val="2"/>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widowControl w:val="false"/>
              <w:spacing w:lineRule="atLeast" w:line="0"/>
              <w:ind w:right="116"/>
              <w:jc w:val="center"/>
              <w:rPr>
                <w:b/>
                <w:bCs/>
                <w:lang w:eastAsia="en-US"/>
              </w:rPr>
            </w:pPr>
            <w:r>
              <w:rPr>
                <w:b/>
                <w:bCs/>
                <w:lang w:eastAsia="en-US"/>
              </w:rPr>
            </w:r>
          </w:p>
        </w:tc>
        <w:tc>
          <w:tcPr>
            <w:tcW w:w="160" w:type="dxa"/>
            <w:tcBorders/>
          </w:tcPr>
          <w:p>
            <w:pPr>
              <w:pStyle w:val="Normal"/>
              <w:widowControl w:val="false"/>
              <w:rPr/>
            </w:pPr>
            <w:r>
              <w:rPr/>
            </w:r>
          </w:p>
        </w:tc>
      </w:tr>
      <w:tr>
        <w:trPr>
          <w:trHeight w:val="358" w:hRule="atLeast"/>
          <w:cantSplit w:val="true"/>
        </w:trPr>
        <w:tc>
          <w:tcPr>
            <w:tcW w:w="8645" w:type="dxa"/>
            <w:gridSpan w:val="8"/>
            <w:tcBorders>
              <w:top w:val="single" w:sz="6" w:space="0" w:color="000000"/>
              <w:left w:val="single" w:sz="4" w:space="0" w:color="000000"/>
              <w:bottom w:val="single" w:sz="6" w:space="0" w:color="000000"/>
              <w:right w:val="single" w:sz="4" w:space="0" w:color="000000"/>
            </w:tcBorders>
          </w:tcPr>
          <w:p>
            <w:pPr>
              <w:pStyle w:val="Normal"/>
              <w:widowControl w:val="false"/>
              <w:spacing w:lineRule="atLeast" w:line="0"/>
              <w:rPr>
                <w:b/>
                <w:lang w:eastAsia="en-US"/>
              </w:rPr>
            </w:pPr>
            <w:r>
              <w:rPr>
                <w:b/>
                <w:lang w:eastAsia="en-US"/>
              </w:rPr>
              <w:t>В т.ч. НДС 22%:</w:t>
            </w:r>
          </w:p>
        </w:tc>
        <w:tc>
          <w:tcPr>
            <w:tcW w:w="1399" w:type="dxa"/>
            <w:gridSpan w:val="2"/>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pPr>
              <w:pStyle w:val="Normal"/>
              <w:widowControl w:val="false"/>
              <w:spacing w:lineRule="atLeast" w:line="0"/>
              <w:ind w:right="116"/>
              <w:jc w:val="center"/>
              <w:rPr>
                <w:b/>
                <w:lang w:eastAsia="en-US"/>
              </w:rPr>
            </w:pPr>
            <w:r>
              <w:rPr>
                <w:b/>
                <w:lang w:eastAsia="en-US"/>
              </w:rPr>
            </w:r>
          </w:p>
        </w:tc>
        <w:tc>
          <w:tcPr>
            <w:tcW w:w="160" w:type="dxa"/>
            <w:tcBorders/>
          </w:tcPr>
          <w:p>
            <w:pPr>
              <w:pStyle w:val="Normal"/>
              <w:widowControl w:val="false"/>
              <w:rPr/>
            </w:pPr>
            <w:r>
              <w:rPr/>
            </w:r>
          </w:p>
        </w:tc>
      </w:tr>
    </w:tbl>
    <w:p>
      <w:pPr>
        <w:pStyle w:val="Normal"/>
        <w:spacing w:lineRule="atLeast" w:line="0"/>
        <w:ind w:firstLine="567"/>
        <w:jc w:val="both"/>
        <w:rPr>
          <w:b/>
          <w:bCs/>
          <w:color w:val="000000"/>
        </w:rPr>
      </w:pPr>
      <w:r/>
      <w:r>
        <w:rPr>
          <w:color w:val="000000"/>
        </w:rPr>
        <w:t xml:space="preserve">Общая сумма Контракта составляет: </w:t>
      </w:r>
      <w:r>
        <w:rPr>
          <w:b/>
          <w:bCs/>
          <w:color w:val="000000"/>
          <w:lang w:eastAsia="en-US"/>
        </w:rPr>
        <w:t>_______________ рублей</w:t>
      </w:r>
      <w:r>
        <w:rPr>
          <w:b/>
          <w:bCs/>
          <w:color w:val="000000"/>
        </w:rPr>
        <w:t xml:space="preserve"> (____________________________________________), в том числе НДС 22% - _____________ рублей (___________________________________________________). </w:t>
      </w:r>
    </w:p>
    <w:p>
      <w:pPr>
        <w:pStyle w:val="Normal"/>
        <w:spacing w:lineRule="atLeast" w:line="0"/>
        <w:ind w:firstLine="567"/>
        <w:jc w:val="both"/>
        <w:rPr>
          <w:b/>
          <w:bCs/>
          <w:color w:val="000000"/>
        </w:rPr>
      </w:pPr>
      <w:r>
        <w:rPr>
          <w:b/>
          <w:bCs/>
          <w:color w:val="000000"/>
        </w:rPr>
      </w:r>
    </w:p>
    <w:tbl>
      <w:tblPr>
        <w:tblW w:w="10214" w:type="dxa"/>
        <w:jc w:val="left"/>
        <w:tblInd w:w="-360" w:type="dxa"/>
        <w:tblLayout w:type="fixed"/>
        <w:tblCellMar>
          <w:top w:w="0" w:type="dxa"/>
          <w:left w:w="108" w:type="dxa"/>
          <w:bottom w:w="0" w:type="dxa"/>
          <w:right w:w="108" w:type="dxa"/>
        </w:tblCellMar>
        <w:tblLook w:firstRow="1" w:noVBand="1" w:lastRow="0" w:firstColumn="1" w:lastColumn="0" w:noHBand="0" w:val="04a0"/>
      </w:tblPr>
      <w:tblGrid>
        <w:gridCol w:w="5054"/>
        <w:gridCol w:w="5159"/>
      </w:tblGrid>
      <w:tr>
        <w:trPr/>
        <w:tc>
          <w:tcPr>
            <w:tcW w:w="5054" w:type="dxa"/>
            <w:tcBorders/>
          </w:tcPr>
          <w:p>
            <w:pPr>
              <w:pStyle w:val="Normal"/>
              <w:widowControl w:val="false"/>
              <w:tabs>
                <w:tab w:val="clear" w:pos="708"/>
                <w:tab w:val="left" w:pos="7938" w:leader="none"/>
                <w:tab w:val="left" w:pos="8222" w:leader="none"/>
              </w:tabs>
              <w:spacing w:lineRule="atLeast" w:line="0"/>
              <w:ind w:left="218" w:right="141"/>
              <w:jc w:val="center"/>
              <w:rPr>
                <w:b/>
                <w:lang w:eastAsia="uk-UA"/>
              </w:rPr>
            </w:pPr>
            <w:r>
              <w:rPr>
                <w:b/>
                <w:lang w:val="uk-UA" w:eastAsia="uk-UA"/>
              </w:rPr>
              <w:t>ЗАКАЗЧИК</w:t>
            </w:r>
            <w:r>
              <w:rPr>
                <w:b/>
                <w:lang w:eastAsia="uk-UA"/>
              </w:rPr>
              <w:t>:</w:t>
            </w:r>
          </w:p>
          <w:p>
            <w:pPr>
              <w:pStyle w:val="Normal"/>
              <w:widowControl w:val="false"/>
              <w:spacing w:lineRule="atLeast" w:line="0"/>
              <w:ind w:left="246"/>
              <w:jc w:val="center"/>
              <w:rPr>
                <w:b/>
                <w:lang w:eastAsia="en-US"/>
              </w:rPr>
            </w:pPr>
            <w:r>
              <w:rPr>
                <w:b/>
                <w:bCs/>
                <w:color w:val="000000"/>
              </w:rPr>
              <w:t>ФГБОУ ВО «</w:t>
            </w:r>
            <w:r>
              <w:rPr>
                <w:b/>
                <w:bCs/>
              </w:rPr>
              <w:t>ДОННТУ»</w:t>
            </w:r>
          </w:p>
          <w:p>
            <w:pPr>
              <w:pStyle w:val="Normal"/>
              <w:widowControl w:val="false"/>
              <w:spacing w:lineRule="atLeast" w:line="0"/>
              <w:ind w:left="246"/>
              <w:jc w:val="center"/>
              <w:rPr>
                <w:b/>
                <w:lang w:eastAsia="en-US"/>
              </w:rPr>
            </w:pPr>
            <w:r>
              <w:rPr>
                <w:b/>
                <w:lang w:eastAsia="en-US"/>
              </w:rPr>
            </w:r>
          </w:p>
          <w:p>
            <w:pPr>
              <w:pStyle w:val="Normal"/>
              <w:widowControl w:val="false"/>
              <w:spacing w:lineRule="atLeast" w:line="0"/>
              <w:ind w:left="218"/>
              <w:jc w:val="center"/>
              <w:rPr>
                <w:b/>
              </w:rPr>
            </w:pPr>
            <w:r>
              <w:rPr>
                <w:b/>
              </w:rPr>
            </w:r>
          </w:p>
          <w:p>
            <w:pPr>
              <w:pStyle w:val="Normal"/>
              <w:widowControl w:val="false"/>
              <w:spacing w:lineRule="atLeast" w:line="0"/>
              <w:ind w:left="246"/>
              <w:rPr>
                <w:b/>
                <w:bCs/>
                <w:color w:val="000000"/>
              </w:rPr>
            </w:pPr>
            <w:r>
              <w:rPr>
                <w:b/>
              </w:rPr>
              <w:t xml:space="preserve">Ректор___________ </w:t>
            </w:r>
            <w:r>
              <w:rPr>
                <w:lang w:eastAsia="uk-UA"/>
              </w:rPr>
              <w:t>/</w:t>
            </w:r>
            <w:r>
              <w:rPr>
                <w:b/>
                <w:bCs/>
                <w:color w:val="000000"/>
              </w:rPr>
              <w:t>Аноприенко А.Я./</w:t>
            </w:r>
          </w:p>
          <w:p>
            <w:pPr>
              <w:pStyle w:val="Normal"/>
              <w:widowControl w:val="false"/>
              <w:spacing w:lineRule="atLeast" w:line="0"/>
              <w:ind w:left="218"/>
              <w:jc w:val="both"/>
              <w:rPr>
                <w:color w:val="000000"/>
              </w:rPr>
            </w:pPr>
            <w:r>
              <w:rPr>
                <w:color w:val="000000"/>
              </w:rPr>
            </w:r>
          </w:p>
          <w:p>
            <w:pPr>
              <w:pStyle w:val="Normal"/>
              <w:widowControl w:val="false"/>
              <w:spacing w:lineRule="atLeast" w:line="0"/>
              <w:ind w:left="218"/>
              <w:jc w:val="both"/>
              <w:rPr/>
            </w:pPr>
            <w:r>
              <w:rPr>
                <w:color w:val="000000"/>
              </w:rPr>
              <w:t>М.П.</w:t>
            </w:r>
          </w:p>
        </w:tc>
        <w:tc>
          <w:tcPr>
            <w:tcW w:w="5159" w:type="dxa"/>
            <w:tcBorders/>
          </w:tcPr>
          <w:p>
            <w:pPr>
              <w:pStyle w:val="Normal"/>
              <w:widowControl w:val="false"/>
              <w:tabs>
                <w:tab w:val="clear" w:pos="708"/>
                <w:tab w:val="left" w:pos="7938" w:leader="none"/>
                <w:tab w:val="left" w:pos="8222" w:leader="none"/>
              </w:tabs>
              <w:spacing w:lineRule="atLeast" w:line="0"/>
              <w:ind w:left="218" w:right="141"/>
              <w:jc w:val="center"/>
              <w:rPr>
                <w:rFonts w:eastAsia="Arial"/>
                <w:b/>
              </w:rPr>
            </w:pPr>
            <w:r>
              <w:rPr>
                <w:rFonts w:eastAsia="Arial"/>
                <w:b/>
              </w:rPr>
              <w:t>ПОСТАВЩИК:</w:t>
            </w:r>
          </w:p>
          <w:p>
            <w:pPr>
              <w:pStyle w:val="Normal"/>
              <w:widowControl w:val="false"/>
              <w:tabs>
                <w:tab w:val="clear" w:pos="708"/>
                <w:tab w:val="left" w:pos="7938" w:leader="none"/>
                <w:tab w:val="left" w:pos="8222" w:leader="none"/>
              </w:tabs>
              <w:spacing w:lineRule="atLeast" w:line="0"/>
              <w:ind w:left="218" w:right="141"/>
              <w:jc w:val="center"/>
              <w:rPr>
                <w:rFonts w:eastAsia="Arial"/>
                <w:b/>
              </w:rPr>
            </w:pPr>
            <w:r>
              <w:rPr>
                <w:rFonts w:eastAsia="Arial"/>
                <w:b/>
              </w:rPr>
            </w:r>
          </w:p>
          <w:p>
            <w:pPr>
              <w:pStyle w:val="Normal"/>
              <w:widowControl w:val="false"/>
              <w:tabs>
                <w:tab w:val="clear" w:pos="708"/>
                <w:tab w:val="left" w:pos="7938" w:leader="none"/>
                <w:tab w:val="left" w:pos="8222" w:leader="none"/>
              </w:tabs>
              <w:spacing w:lineRule="atLeast" w:line="0"/>
              <w:ind w:left="218" w:right="141"/>
              <w:jc w:val="center"/>
              <w:rPr>
                <w:rFonts w:eastAsia="Arial"/>
                <w:b/>
              </w:rPr>
            </w:pPr>
            <w:r>
              <w:rPr>
                <w:rFonts w:eastAsia="Arial"/>
                <w:b/>
              </w:rPr>
            </w:r>
          </w:p>
          <w:p>
            <w:pPr>
              <w:pStyle w:val="Normal"/>
              <w:widowControl w:val="false"/>
              <w:tabs>
                <w:tab w:val="clear" w:pos="708"/>
                <w:tab w:val="left" w:pos="7938" w:leader="none"/>
                <w:tab w:val="left" w:pos="8222" w:leader="none"/>
              </w:tabs>
              <w:spacing w:lineRule="atLeast" w:line="0"/>
              <w:ind w:left="218" w:right="141"/>
              <w:jc w:val="center"/>
              <w:rPr>
                <w:rFonts w:eastAsia="Arial"/>
                <w:b/>
              </w:rPr>
            </w:pPr>
            <w:r>
              <w:rPr>
                <w:rFonts w:eastAsia="Arial"/>
                <w:b/>
              </w:rPr>
            </w:r>
          </w:p>
          <w:p>
            <w:pPr>
              <w:pStyle w:val="BodyText"/>
              <w:widowControl w:val="false"/>
              <w:spacing w:lineRule="atLeast" w:line="0"/>
              <w:rPr>
                <w:sz w:val="24"/>
                <w:szCs w:val="24"/>
                <w:lang w:val="uk-UA" w:eastAsia="uk-UA"/>
              </w:rPr>
            </w:pPr>
            <w:r>
              <w:rPr>
                <w:b/>
                <w:bCs/>
                <w:color w:val="000000"/>
                <w:sz w:val="24"/>
                <w:szCs w:val="24"/>
              </w:rPr>
              <w:t>Директор _______________ / /</w:t>
            </w:r>
          </w:p>
          <w:p>
            <w:pPr>
              <w:pStyle w:val="BodyText"/>
              <w:widowControl w:val="false"/>
              <w:spacing w:lineRule="atLeast" w:line="0"/>
              <w:ind w:left="218"/>
              <w:jc w:val="both"/>
              <w:rPr>
                <w:b/>
                <w:bCs/>
                <w:color w:val="000000"/>
                <w:sz w:val="24"/>
                <w:szCs w:val="24"/>
              </w:rPr>
            </w:pPr>
            <w:r>
              <w:rPr>
                <w:b/>
                <w:bCs/>
                <w:color w:val="000000"/>
                <w:sz w:val="24"/>
                <w:szCs w:val="24"/>
              </w:rPr>
            </w:r>
          </w:p>
          <w:p>
            <w:pPr>
              <w:pStyle w:val="BodyText"/>
              <w:widowControl w:val="false"/>
              <w:tabs>
                <w:tab w:val="clear" w:pos="708"/>
                <w:tab w:val="left" w:pos="1220" w:leader="none"/>
              </w:tabs>
              <w:spacing w:lineRule="atLeast" w:line="0"/>
              <w:jc w:val="both"/>
              <w:rPr>
                <w:sz w:val="24"/>
                <w:szCs w:val="24"/>
                <w:lang w:val="uk-UA"/>
              </w:rPr>
            </w:pPr>
            <w:r>
              <w:rPr>
                <w:sz w:val="24"/>
                <w:szCs w:val="24"/>
                <w:lang w:val="uk-UA" w:eastAsia="uk-UA"/>
              </w:rPr>
              <w:t>М.П.</w:t>
            </w:r>
          </w:p>
        </w:tc>
      </w:tr>
    </w:tbl>
    <w:p>
      <w:pPr>
        <w:pStyle w:val="Normal"/>
        <w:widowControl w:val="false"/>
        <w:numPr>
          <w:ilvl w:val="0"/>
          <w:numId w:val="0"/>
        </w:numPr>
        <w:tabs>
          <w:tab w:val="clear" w:pos="708"/>
          <w:tab w:val="left" w:pos="4510" w:leader="none"/>
        </w:tabs>
        <w:spacing w:lineRule="atLeast" w:line="0"/>
        <w:ind w:firstLine="360" w:left="-360" w:right="141"/>
        <w:outlineLvl w:val="0"/>
        <w:rPr/>
      </w:pPr>
      <w:r>
        <w:rPr/>
        <w:tab/>
        <w:tab/>
        <w:tab/>
      </w:r>
      <w:r>
        <w:br w:type="page"/>
      </w:r>
    </w:p>
    <w:p>
      <w:pPr>
        <w:pStyle w:val="Normal"/>
        <w:widowControl w:val="false"/>
        <w:numPr>
          <w:ilvl w:val="0"/>
          <w:numId w:val="0"/>
        </w:numPr>
        <w:tabs>
          <w:tab w:val="clear" w:pos="708"/>
          <w:tab w:val="left" w:pos="6379" w:leader="none"/>
          <w:tab w:val="left" w:pos="8222" w:leader="none"/>
        </w:tabs>
        <w:spacing w:lineRule="atLeast" w:line="0" w:before="0" w:after="0"/>
        <w:ind w:firstLine="360" w:left="-360" w:right="141"/>
        <w:outlineLvl w:val="0"/>
        <w:rPr>
          <w:b/>
          <w:bCs/>
        </w:rPr>
      </w:pPr>
      <w:r>
        <w:rPr/>
        <w:tab/>
      </w:r>
      <w:r>
        <w:rPr>
          <w:b/>
          <w:bCs/>
        </w:rPr>
        <w:t>Приложение №2</w:t>
      </w:r>
    </w:p>
    <w:p>
      <w:pPr>
        <w:pStyle w:val="Normal"/>
        <w:widowControl w:val="false"/>
        <w:tabs>
          <w:tab w:val="clear" w:pos="708"/>
          <w:tab w:val="left" w:pos="7938" w:leader="none"/>
          <w:tab w:val="left" w:pos="8222" w:leader="none"/>
        </w:tabs>
        <w:spacing w:lineRule="atLeast" w:line="0"/>
        <w:ind w:firstLine="360" w:left="-360" w:right="141"/>
        <w:rPr>
          <w:b/>
          <w:bCs/>
        </w:rPr>
      </w:pPr>
      <w:r>
        <w:rPr>
          <w:b/>
          <w:bCs/>
        </w:rPr>
        <w:t xml:space="preserve">                                                                                                          </w:t>
      </w:r>
      <w:r>
        <w:rPr>
          <w:b/>
          <w:bCs/>
        </w:rPr>
        <w:t>к Контракту №______________</w:t>
      </w:r>
    </w:p>
    <w:p>
      <w:pPr>
        <w:pStyle w:val="Normal"/>
        <w:widowControl w:val="false"/>
        <w:numPr>
          <w:ilvl w:val="0"/>
          <w:numId w:val="0"/>
        </w:numPr>
        <w:tabs>
          <w:tab w:val="clear" w:pos="708"/>
          <w:tab w:val="left" w:pos="7938" w:leader="none"/>
          <w:tab w:val="left" w:pos="8222" w:leader="none"/>
        </w:tabs>
        <w:spacing w:lineRule="atLeast" w:line="0"/>
        <w:ind w:hanging="0" w:left="-360" w:right="141"/>
        <w:outlineLvl w:val="0"/>
        <w:rPr>
          <w:b/>
          <w:bCs/>
        </w:rPr>
      </w:pPr>
      <w:r>
        <w:rPr>
          <w:b/>
          <w:bCs/>
        </w:rPr>
        <w:t xml:space="preserve">                                                                                                                </w:t>
      </w:r>
      <w:r>
        <w:rPr>
          <w:b/>
          <w:bCs/>
        </w:rPr>
        <w:t>от ____.08.2026 г.</w:t>
      </w:r>
    </w:p>
    <w:p>
      <w:pPr>
        <w:pStyle w:val="Normal"/>
        <w:widowControl w:val="false"/>
        <w:tabs>
          <w:tab w:val="clear" w:pos="708"/>
          <w:tab w:val="left" w:pos="7938" w:leader="none"/>
          <w:tab w:val="left" w:pos="8222" w:leader="none"/>
        </w:tabs>
        <w:spacing w:lineRule="atLeast" w:line="0"/>
        <w:ind w:firstLine="360" w:left="-360" w:right="141"/>
        <w:rPr>
          <w:b/>
          <w:bCs/>
        </w:rPr>
      </w:pPr>
      <w:r>
        <w:rPr>
          <w:b/>
          <w:bCs/>
        </w:rPr>
      </w:r>
    </w:p>
    <w:p>
      <w:pPr>
        <w:pStyle w:val="Normal"/>
        <w:spacing w:lineRule="atLeast" w:line="0"/>
        <w:jc w:val="center"/>
        <w:rPr>
          <w:b/>
        </w:rPr>
      </w:pPr>
      <w:bookmarkStart w:id="7" w:name="_Hlk216965842"/>
      <w:bookmarkEnd w:id="7"/>
      <w:r>
        <w:rPr>
          <w:b/>
        </w:rPr>
        <w:t>ПЕРЕЧЕНЬ АЗС</w:t>
      </w:r>
    </w:p>
    <w:p>
      <w:pPr>
        <w:pStyle w:val="Normal"/>
        <w:spacing w:lineRule="atLeast" w:line="0"/>
        <w:jc w:val="center"/>
        <w:rPr>
          <w:b/>
        </w:rPr>
      </w:pPr>
      <w:r>
        <w:rPr>
          <w:b/>
        </w:rPr>
      </w:r>
    </w:p>
    <w:tbl>
      <w:tblPr>
        <w:tblW w:w="9947"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955"/>
        <w:gridCol w:w="2680"/>
        <w:gridCol w:w="6312"/>
      </w:tblGrid>
      <w:tr>
        <w:trPr>
          <w:trHeight w:val="312" w:hRule="atLeast"/>
        </w:trPr>
        <w:tc>
          <w:tcPr>
            <w:tcW w:w="95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pacing w:lineRule="atLeast" w:line="120"/>
              <w:jc w:val="center"/>
              <w:rPr>
                <w:b/>
                <w:bCs/>
              </w:rPr>
            </w:pPr>
            <w:r>
              <w:rPr>
                <w:b/>
                <w:bCs/>
              </w:rPr>
              <w:t xml:space="preserve">№ </w:t>
            </w:r>
            <w:r>
              <w:rPr>
                <w:b/>
                <w:bCs/>
              </w:rPr>
              <w:t>п/п</w:t>
            </w:r>
          </w:p>
          <w:p>
            <w:pPr>
              <w:pStyle w:val="Normal"/>
              <w:spacing w:lineRule="atLeast" w:line="120"/>
              <w:jc w:val="center"/>
              <w:rPr>
                <w:b/>
                <w:bCs/>
              </w:rPr>
            </w:pPr>
            <w:r>
              <w:rPr>
                <w:b/>
                <w:bCs/>
              </w:rPr>
            </w:r>
          </w:p>
        </w:tc>
        <w:tc>
          <w:tcPr>
            <w:tcW w:w="2680" w:type="dxa"/>
            <w:tcBorders>
              <w:top w:val="single" w:sz="4" w:space="0" w:color="000000"/>
              <w:bottom w:val="single" w:sz="4" w:space="0" w:color="000000"/>
              <w:right w:val="single" w:sz="4" w:space="0" w:color="000000"/>
            </w:tcBorders>
            <w:shd w:color="auto" w:fill="auto" w:val="clear"/>
            <w:vAlign w:val="bottom"/>
          </w:tcPr>
          <w:p>
            <w:pPr>
              <w:pStyle w:val="Normal"/>
              <w:spacing w:lineRule="atLeast" w:line="120"/>
              <w:jc w:val="center"/>
              <w:rPr>
                <w:b/>
                <w:bCs/>
              </w:rPr>
            </w:pPr>
            <w:r>
              <w:rPr>
                <w:b/>
                <w:bCs/>
              </w:rPr>
              <w:t>Наименование АЗС</w:t>
            </w:r>
          </w:p>
          <w:p>
            <w:pPr>
              <w:pStyle w:val="Normal"/>
              <w:spacing w:lineRule="atLeast" w:line="120"/>
              <w:jc w:val="center"/>
              <w:rPr>
                <w:b/>
                <w:bCs/>
              </w:rPr>
            </w:pPr>
            <w:r>
              <w:rPr>
                <w:b/>
                <w:bCs/>
              </w:rPr>
            </w:r>
          </w:p>
        </w:tc>
        <w:tc>
          <w:tcPr>
            <w:tcW w:w="6312" w:type="dxa"/>
            <w:tcBorders>
              <w:top w:val="single" w:sz="4" w:space="0" w:color="000000"/>
              <w:bottom w:val="single" w:sz="4" w:space="0" w:color="000000"/>
              <w:right w:val="single" w:sz="4" w:space="0" w:color="000000"/>
            </w:tcBorders>
            <w:shd w:color="auto" w:fill="auto" w:val="clear"/>
            <w:vAlign w:val="bottom"/>
          </w:tcPr>
          <w:p>
            <w:pPr>
              <w:pStyle w:val="Normal"/>
              <w:spacing w:lineRule="atLeast" w:line="120"/>
              <w:jc w:val="center"/>
              <w:rPr>
                <w:b/>
                <w:bCs/>
              </w:rPr>
            </w:pPr>
            <w:r>
              <w:rPr>
                <w:b/>
                <w:bCs/>
              </w:rPr>
              <w:t>Адрес АЗС</w:t>
            </w:r>
          </w:p>
          <w:p>
            <w:pPr>
              <w:pStyle w:val="Normal"/>
              <w:spacing w:lineRule="atLeast" w:line="120"/>
              <w:jc w:val="center"/>
              <w:rPr>
                <w:b/>
                <w:bCs/>
              </w:rPr>
            </w:pPr>
            <w:r>
              <w:rPr>
                <w:b/>
                <w:bCs/>
              </w:rPr>
            </w:r>
          </w:p>
        </w:tc>
      </w:tr>
      <w:tr>
        <w:trPr>
          <w:trHeight w:val="292" w:hRule="atLeast"/>
        </w:trPr>
        <w:tc>
          <w:tcPr>
            <w:tcW w:w="955" w:type="dxa"/>
            <w:tcBorders>
              <w:left w:val="single" w:sz="4" w:space="0" w:color="000000"/>
              <w:bottom w:val="single" w:sz="4" w:space="0" w:color="000000"/>
              <w:right w:val="single" w:sz="4" w:space="0" w:color="000000"/>
            </w:tcBorders>
            <w:shd w:color="auto" w:fill="auto" w:val="clear"/>
            <w:vAlign w:val="bottom"/>
          </w:tcPr>
          <w:p>
            <w:pPr>
              <w:pStyle w:val="Normal"/>
              <w:spacing w:lineRule="atLeast" w:line="120"/>
              <w:jc w:val="center"/>
              <w:rPr/>
            </w:pPr>
            <w:r>
              <w:rPr/>
              <w:t>1</w:t>
            </w:r>
          </w:p>
        </w:tc>
        <w:tc>
          <w:tcPr>
            <w:tcW w:w="2680" w:type="dxa"/>
            <w:tcBorders>
              <w:bottom w:val="single" w:sz="4" w:space="0" w:color="000000"/>
              <w:right w:val="single" w:sz="4" w:space="0" w:color="000000"/>
            </w:tcBorders>
            <w:shd w:color="auto" w:fill="auto" w:val="clear"/>
            <w:vAlign w:val="center"/>
          </w:tcPr>
          <w:p>
            <w:pPr>
              <w:pStyle w:val="Normal"/>
              <w:spacing w:lineRule="atLeast" w:line="120"/>
              <w:rPr/>
            </w:pPr>
            <w:r>
              <w:rPr/>
            </w:r>
          </w:p>
        </w:tc>
        <w:tc>
          <w:tcPr>
            <w:tcW w:w="6312" w:type="dxa"/>
            <w:tcBorders>
              <w:bottom w:val="single" w:sz="4" w:space="0" w:color="000000"/>
              <w:right w:val="single" w:sz="4" w:space="0" w:color="000000"/>
            </w:tcBorders>
            <w:shd w:color="auto" w:fill="auto" w:val="clear"/>
            <w:vAlign w:val="center"/>
          </w:tcPr>
          <w:p>
            <w:pPr>
              <w:pStyle w:val="Normal"/>
              <w:spacing w:lineRule="atLeast" w:line="120"/>
              <w:rPr/>
            </w:pPr>
            <w:r>
              <w:rPr/>
            </w:r>
          </w:p>
        </w:tc>
      </w:tr>
    </w:tbl>
    <w:p>
      <w:pPr>
        <w:pStyle w:val="Normal"/>
        <w:tabs>
          <w:tab w:val="clear" w:pos="708"/>
          <w:tab w:val="left" w:pos="1344" w:leader="none"/>
        </w:tabs>
        <w:rPr>
          <w:b/>
          <w:bCs/>
        </w:rPr>
      </w:pPr>
      <w:r>
        <w:rPr>
          <w:b/>
          <w:bCs/>
        </w:rPr>
      </w:r>
    </w:p>
    <w:p>
      <w:pPr>
        <w:pStyle w:val="Normal"/>
        <w:tabs>
          <w:tab w:val="clear" w:pos="708"/>
          <w:tab w:val="left" w:pos="1344" w:leader="none"/>
        </w:tabs>
        <w:rPr>
          <w:b/>
          <w:bCs/>
        </w:rPr>
      </w:pPr>
      <w:r>
        <w:rPr>
          <w:b/>
          <w:bCs/>
        </w:rPr>
      </w:r>
    </w:p>
    <w:p>
      <w:pPr>
        <w:pStyle w:val="Normal"/>
        <w:tabs>
          <w:tab w:val="clear" w:pos="708"/>
          <w:tab w:val="left" w:pos="1344" w:leader="none"/>
        </w:tabs>
        <w:rPr>
          <w:b/>
          <w:bCs/>
        </w:rPr>
      </w:pPr>
      <w:r>
        <w:rPr>
          <w:b/>
          <w:bCs/>
        </w:rPr>
      </w:r>
    </w:p>
    <w:p>
      <w:pPr>
        <w:pStyle w:val="Normal"/>
        <w:tabs>
          <w:tab w:val="clear" w:pos="708"/>
          <w:tab w:val="left" w:pos="1344" w:leader="none"/>
        </w:tabs>
        <w:rPr>
          <w:b/>
          <w:bCs/>
        </w:rPr>
      </w:pPr>
      <w:r>
        <w:rPr>
          <w:b/>
          <w:bCs/>
        </w:rPr>
      </w:r>
    </w:p>
    <w:p>
      <w:pPr>
        <w:pStyle w:val="Normal"/>
        <w:tabs>
          <w:tab w:val="clear" w:pos="708"/>
          <w:tab w:val="left" w:pos="1344" w:leader="none"/>
        </w:tabs>
        <w:rPr>
          <w:b/>
          <w:bCs/>
        </w:rPr>
      </w:pPr>
      <w:r>
        <w:rPr>
          <w:b/>
          <w:bCs/>
        </w:rPr>
      </w:r>
    </w:p>
    <w:p>
      <w:pPr>
        <w:pStyle w:val="Normal"/>
        <w:tabs>
          <w:tab w:val="clear" w:pos="708"/>
          <w:tab w:val="left" w:pos="1344" w:leader="none"/>
        </w:tabs>
        <w:rPr>
          <w:b/>
          <w:bCs/>
        </w:rPr>
      </w:pPr>
      <w:r>
        <w:rPr>
          <w:b/>
          <w:bCs/>
        </w:rPr>
      </w:r>
    </w:p>
    <w:p>
      <w:pPr>
        <w:pStyle w:val="Normal"/>
        <w:tabs>
          <w:tab w:val="clear" w:pos="708"/>
          <w:tab w:val="left" w:pos="1344" w:leader="none"/>
        </w:tabs>
        <w:rPr>
          <w:b/>
          <w:bCs/>
        </w:rPr>
      </w:pPr>
      <w:r>
        <w:rPr>
          <w:b/>
          <w:bCs/>
        </w:rPr>
      </w:r>
    </w:p>
    <w:p>
      <w:pPr>
        <w:pStyle w:val="Normal"/>
        <w:spacing w:lineRule="atLeast" w:line="0"/>
        <w:rPr>
          <w:b/>
        </w:rPr>
      </w:pPr>
      <w:r>
        <w:rPr>
          <w:b/>
        </w:rPr>
      </w:r>
    </w:p>
    <w:p>
      <w:pPr>
        <w:pStyle w:val="Normal"/>
        <w:spacing w:lineRule="atLeast" w:line="0"/>
        <w:jc w:val="center"/>
        <w:rPr>
          <w:b/>
        </w:rPr>
      </w:pPr>
      <w:r>
        <w:rPr>
          <w:b/>
        </w:rPr>
      </w:r>
    </w:p>
    <w:tbl>
      <w:tblPr>
        <w:tblW w:w="10610" w:type="dxa"/>
        <w:jc w:val="left"/>
        <w:tblInd w:w="-361" w:type="dxa"/>
        <w:tblLayout w:type="fixed"/>
        <w:tblCellMar>
          <w:top w:w="0" w:type="dxa"/>
          <w:left w:w="108" w:type="dxa"/>
          <w:bottom w:w="0" w:type="dxa"/>
          <w:right w:w="108" w:type="dxa"/>
        </w:tblCellMar>
        <w:tblLook w:firstRow="1" w:noVBand="1" w:lastRow="0" w:firstColumn="1" w:lastColumn="0" w:noHBand="0" w:val="04a0"/>
      </w:tblPr>
      <w:tblGrid>
        <w:gridCol w:w="5015"/>
        <w:gridCol w:w="39"/>
        <w:gridCol w:w="5076"/>
        <w:gridCol w:w="88"/>
        <w:gridCol w:w="145"/>
        <w:gridCol w:w="246"/>
      </w:tblGrid>
      <w:tr>
        <w:trPr/>
        <w:tc>
          <w:tcPr>
            <w:tcW w:w="5054" w:type="dxa"/>
            <w:gridSpan w:val="2"/>
            <w:tcBorders/>
          </w:tcPr>
          <w:p>
            <w:pPr>
              <w:pStyle w:val="Normal"/>
              <w:widowControl w:val="false"/>
              <w:tabs>
                <w:tab w:val="clear" w:pos="708"/>
                <w:tab w:val="left" w:pos="7938" w:leader="none"/>
                <w:tab w:val="left" w:pos="8222" w:leader="none"/>
              </w:tabs>
              <w:spacing w:lineRule="atLeast" w:line="0"/>
              <w:ind w:left="218" w:right="141"/>
              <w:jc w:val="center"/>
              <w:rPr>
                <w:b/>
                <w:lang w:eastAsia="uk-UA"/>
              </w:rPr>
            </w:pPr>
            <w:r>
              <w:rPr>
                <w:b/>
                <w:lang w:val="uk-UA" w:eastAsia="uk-UA"/>
              </w:rPr>
              <w:t>ЗАКАЗЧИК</w:t>
            </w:r>
            <w:r>
              <w:rPr>
                <w:b/>
                <w:lang w:eastAsia="uk-UA"/>
              </w:rPr>
              <w:t>:</w:t>
            </w:r>
          </w:p>
          <w:p>
            <w:pPr>
              <w:pStyle w:val="Normal"/>
              <w:widowControl w:val="false"/>
              <w:spacing w:lineRule="atLeast" w:line="0"/>
              <w:ind w:left="246"/>
              <w:jc w:val="center"/>
              <w:rPr>
                <w:b/>
                <w:lang w:eastAsia="en-US"/>
              </w:rPr>
            </w:pPr>
            <w:r>
              <w:rPr>
                <w:b/>
                <w:bCs/>
                <w:color w:val="000000"/>
              </w:rPr>
              <w:t>ФГБОУ ВО «</w:t>
            </w:r>
            <w:r>
              <w:rPr>
                <w:b/>
                <w:bCs/>
              </w:rPr>
              <w:t>ДОННТУ»</w:t>
            </w:r>
          </w:p>
          <w:p>
            <w:pPr>
              <w:pStyle w:val="Normal"/>
              <w:widowControl w:val="false"/>
              <w:spacing w:lineRule="atLeast" w:line="0"/>
              <w:ind w:left="246"/>
              <w:jc w:val="center"/>
              <w:rPr>
                <w:b/>
                <w:lang w:eastAsia="en-US"/>
              </w:rPr>
            </w:pPr>
            <w:r>
              <w:rPr>
                <w:b/>
                <w:lang w:eastAsia="en-US"/>
              </w:rPr>
            </w:r>
          </w:p>
          <w:p>
            <w:pPr>
              <w:pStyle w:val="Normal"/>
              <w:widowControl w:val="false"/>
              <w:spacing w:lineRule="atLeast" w:line="0"/>
              <w:ind w:left="218"/>
              <w:jc w:val="center"/>
              <w:rPr>
                <w:b/>
              </w:rPr>
            </w:pPr>
            <w:r>
              <w:rPr>
                <w:b/>
              </w:rPr>
            </w:r>
          </w:p>
          <w:p>
            <w:pPr>
              <w:pStyle w:val="Normal"/>
              <w:widowControl w:val="false"/>
              <w:spacing w:lineRule="atLeast" w:line="0"/>
              <w:ind w:left="246"/>
              <w:rPr>
                <w:b/>
                <w:bCs/>
                <w:color w:val="000000"/>
              </w:rPr>
            </w:pPr>
            <w:r>
              <w:rPr>
                <w:b/>
              </w:rPr>
              <w:t xml:space="preserve">Ректор___________ </w:t>
            </w:r>
            <w:r>
              <w:rPr>
                <w:lang w:eastAsia="uk-UA"/>
              </w:rPr>
              <w:t>/</w:t>
            </w:r>
            <w:r>
              <w:rPr>
                <w:b/>
                <w:bCs/>
                <w:color w:val="000000"/>
              </w:rPr>
              <w:t>Аноприенко А.Я./</w:t>
            </w:r>
          </w:p>
          <w:p>
            <w:pPr>
              <w:pStyle w:val="Normal"/>
              <w:widowControl w:val="false"/>
              <w:spacing w:lineRule="atLeast" w:line="0"/>
              <w:ind w:left="218"/>
              <w:jc w:val="both"/>
              <w:rPr>
                <w:color w:val="000000"/>
              </w:rPr>
            </w:pPr>
            <w:r>
              <w:rPr>
                <w:color w:val="000000"/>
              </w:rPr>
            </w:r>
          </w:p>
          <w:p>
            <w:pPr>
              <w:pStyle w:val="Normal"/>
              <w:widowControl w:val="false"/>
              <w:spacing w:lineRule="atLeast" w:line="0"/>
              <w:ind w:left="218"/>
              <w:jc w:val="both"/>
              <w:rPr/>
            </w:pPr>
            <w:r>
              <w:rPr>
                <w:color w:val="000000"/>
              </w:rPr>
              <w:t>М.П.</w:t>
            </w:r>
          </w:p>
        </w:tc>
        <w:tc>
          <w:tcPr>
            <w:tcW w:w="5164" w:type="dxa"/>
            <w:gridSpan w:val="2"/>
            <w:tcBorders/>
          </w:tcPr>
          <w:p>
            <w:pPr>
              <w:pStyle w:val="Normal"/>
              <w:widowControl w:val="false"/>
              <w:tabs>
                <w:tab w:val="clear" w:pos="708"/>
                <w:tab w:val="left" w:pos="7938" w:leader="none"/>
                <w:tab w:val="left" w:pos="8222" w:leader="none"/>
              </w:tabs>
              <w:spacing w:lineRule="atLeast" w:line="0"/>
              <w:ind w:left="218" w:right="141"/>
              <w:jc w:val="center"/>
              <w:rPr>
                <w:rFonts w:eastAsia="Arial"/>
                <w:b/>
              </w:rPr>
            </w:pPr>
            <w:r>
              <w:rPr>
                <w:rFonts w:eastAsia="Arial"/>
                <w:b/>
              </w:rPr>
              <w:t>ПОСТАВЩИК:</w:t>
            </w:r>
          </w:p>
          <w:p>
            <w:pPr>
              <w:pStyle w:val="Normal"/>
              <w:widowControl w:val="false"/>
              <w:tabs>
                <w:tab w:val="clear" w:pos="708"/>
                <w:tab w:val="left" w:pos="7938" w:leader="none"/>
                <w:tab w:val="left" w:pos="8222" w:leader="none"/>
              </w:tabs>
              <w:spacing w:lineRule="atLeast" w:line="0"/>
              <w:ind w:left="218" w:right="141"/>
              <w:jc w:val="center"/>
              <w:rPr>
                <w:rFonts w:eastAsia="Arial"/>
                <w:b/>
              </w:rPr>
            </w:pPr>
            <w:r>
              <w:rPr>
                <w:rFonts w:eastAsia="Arial"/>
                <w:b/>
              </w:rPr>
            </w:r>
          </w:p>
          <w:p>
            <w:pPr>
              <w:pStyle w:val="Normal"/>
              <w:widowControl w:val="false"/>
              <w:tabs>
                <w:tab w:val="clear" w:pos="708"/>
                <w:tab w:val="left" w:pos="7938" w:leader="none"/>
                <w:tab w:val="left" w:pos="8222" w:leader="none"/>
              </w:tabs>
              <w:spacing w:lineRule="atLeast" w:line="0"/>
              <w:ind w:left="218" w:right="141"/>
              <w:jc w:val="center"/>
              <w:rPr>
                <w:rFonts w:eastAsia="Arial"/>
                <w:b/>
              </w:rPr>
            </w:pPr>
            <w:r>
              <w:rPr>
                <w:rFonts w:eastAsia="Arial"/>
                <w:b/>
              </w:rPr>
            </w:r>
          </w:p>
          <w:p>
            <w:pPr>
              <w:pStyle w:val="Normal"/>
              <w:widowControl w:val="false"/>
              <w:tabs>
                <w:tab w:val="clear" w:pos="708"/>
                <w:tab w:val="left" w:pos="7938" w:leader="none"/>
                <w:tab w:val="left" w:pos="8222" w:leader="none"/>
              </w:tabs>
              <w:spacing w:lineRule="atLeast" w:line="0"/>
              <w:ind w:left="218" w:right="141"/>
              <w:jc w:val="center"/>
              <w:rPr>
                <w:rFonts w:eastAsia="Arial"/>
                <w:b/>
              </w:rPr>
            </w:pPr>
            <w:r>
              <w:rPr>
                <w:rFonts w:eastAsia="Arial"/>
                <w:b/>
              </w:rPr>
            </w:r>
          </w:p>
          <w:p>
            <w:pPr>
              <w:pStyle w:val="BodyText"/>
              <w:widowControl w:val="false"/>
              <w:spacing w:lineRule="atLeast" w:line="0"/>
              <w:rPr>
                <w:sz w:val="24"/>
                <w:szCs w:val="24"/>
                <w:lang w:val="uk-UA" w:eastAsia="uk-UA"/>
              </w:rPr>
            </w:pPr>
            <w:r>
              <w:rPr>
                <w:b/>
                <w:bCs/>
                <w:color w:val="000000"/>
                <w:sz w:val="24"/>
                <w:szCs w:val="24"/>
              </w:rPr>
              <w:t>Директор _______________ /</w:t>
            </w:r>
            <w:r>
              <w:rPr>
                <w:b/>
                <w:bCs/>
                <w:color w:val="000000"/>
                <w:sz w:val="24"/>
                <w:szCs w:val="24"/>
                <w:lang w:val="uk-UA" w:eastAsia="uk-UA"/>
              </w:rPr>
              <w:t xml:space="preserve"> /</w:t>
            </w:r>
          </w:p>
          <w:p>
            <w:pPr>
              <w:pStyle w:val="BodyText"/>
              <w:widowControl w:val="false"/>
              <w:spacing w:lineRule="atLeast" w:line="0"/>
              <w:rPr>
                <w:sz w:val="24"/>
                <w:szCs w:val="24"/>
                <w:lang w:val="uk-UA" w:eastAsia="uk-UA"/>
              </w:rPr>
            </w:pPr>
            <w:r>
              <w:rPr>
                <w:sz w:val="24"/>
                <w:szCs w:val="24"/>
                <w:lang w:val="uk-UA" w:eastAsia="uk-UA"/>
              </w:rPr>
            </w:r>
          </w:p>
          <w:p>
            <w:pPr>
              <w:pStyle w:val="BodyText"/>
              <w:widowControl w:val="false"/>
              <w:spacing w:lineRule="atLeast" w:line="0"/>
              <w:rPr>
                <w:b w:val="false"/>
                <w:bCs w:val="false"/>
              </w:rPr>
            </w:pPr>
            <w:r>
              <w:rPr>
                <w:b w:val="false"/>
                <w:bCs w:val="false"/>
                <w:color w:val="000000"/>
                <w:sz w:val="24"/>
                <w:szCs w:val="24"/>
                <w:lang w:val="uk-UA" w:eastAsia="uk-UA"/>
              </w:rPr>
              <w:t>М.П.</w:t>
            </w:r>
          </w:p>
        </w:tc>
        <w:tc>
          <w:tcPr>
            <w:tcW w:w="145" w:type="dxa"/>
            <w:tcBorders/>
          </w:tcPr>
          <w:p>
            <w:pPr>
              <w:pStyle w:val="Normal"/>
              <w:rPr/>
            </w:pPr>
            <w:r>
              <w:rPr/>
            </w:r>
          </w:p>
        </w:tc>
        <w:tc>
          <w:tcPr>
            <w:tcW w:w="246" w:type="dxa"/>
            <w:tcBorders/>
          </w:tcPr>
          <w:p>
            <w:pPr>
              <w:pStyle w:val="Normal"/>
              <w:rPr/>
            </w:pPr>
            <w:r>
              <w:rPr/>
            </w:r>
          </w:p>
        </w:tc>
      </w:tr>
      <w:tr>
        <w:trPr/>
        <w:tc>
          <w:tcPr>
            <w:tcW w:w="5015" w:type="dxa"/>
            <w:tcBorders/>
          </w:tcPr>
          <w:p>
            <w:pPr>
              <w:pStyle w:val="Normal"/>
              <w:widowControl w:val="false"/>
              <w:spacing w:lineRule="atLeast" w:line="0"/>
              <w:ind w:left="218"/>
              <w:jc w:val="both"/>
              <w:rPr/>
            </w:pPr>
            <w:r>
              <w:rPr/>
            </w:r>
          </w:p>
        </w:tc>
        <w:tc>
          <w:tcPr>
            <w:tcW w:w="5115" w:type="dxa"/>
            <w:gridSpan w:val="2"/>
            <w:tcBorders/>
          </w:tcPr>
          <w:p>
            <w:pPr>
              <w:pStyle w:val="BodyText"/>
              <w:widowControl w:val="false"/>
              <w:tabs>
                <w:tab w:val="clear" w:pos="708"/>
                <w:tab w:val="left" w:pos="1220" w:leader="none"/>
              </w:tabs>
              <w:spacing w:lineRule="atLeast" w:line="0"/>
              <w:jc w:val="both"/>
              <w:rPr>
                <w:sz w:val="24"/>
                <w:szCs w:val="24"/>
                <w:lang w:val="uk-UA"/>
              </w:rPr>
            </w:pPr>
            <w:r>
              <w:rPr>
                <w:sz w:val="24"/>
                <w:szCs w:val="24"/>
                <w:lang w:val="uk-UA"/>
              </w:rPr>
            </w:r>
          </w:p>
        </w:tc>
        <w:tc>
          <w:tcPr>
            <w:tcW w:w="233" w:type="dxa"/>
            <w:gridSpan w:val="2"/>
            <w:tcBorders/>
          </w:tcPr>
          <w:p>
            <w:pPr>
              <w:pStyle w:val="Normal"/>
              <w:widowControl w:val="false"/>
              <w:rPr/>
            </w:pPr>
            <w:r>
              <w:rPr/>
            </w:r>
          </w:p>
        </w:tc>
        <w:tc>
          <w:tcPr>
            <w:tcW w:w="246" w:type="dxa"/>
            <w:tcBorders/>
          </w:tcPr>
          <w:p>
            <w:pPr>
              <w:pStyle w:val="Normal"/>
              <w:widowControl w:val="false"/>
              <w:rPr/>
            </w:pPr>
            <w:r>
              <w:rPr/>
            </w:r>
            <w:bookmarkStart w:id="8" w:name="_Hlk216965842_Копия_1"/>
            <w:bookmarkStart w:id="9" w:name="_Hlk216965842_Копия_1"/>
            <w:bookmarkEnd w:id="9"/>
          </w:p>
        </w:tc>
      </w:tr>
    </w:tbl>
    <w:p>
      <w:pPr>
        <w:pStyle w:val="Normal"/>
        <w:spacing w:lineRule="atLeast" w:line="0"/>
        <w:rPr/>
      </w:pPr>
      <w:r>
        <w:rPr/>
      </w:r>
    </w:p>
    <w:sectPr>
      <w:headerReference w:type="default" r:id="rId3"/>
      <w:type w:val="nextPage"/>
      <w:pgSz w:w="11906" w:h="16838"/>
      <w:pgMar w:left="1134" w:right="567" w:gutter="0" w:header="709" w:top="766" w:footer="0" w:bottom="567"/>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Liberation Sans">
    <w:altName w:val="Arial"/>
    <w:charset w:val="cc"/>
    <w:family w:val="roman"/>
    <w:pitch w:val="variable"/>
  </w:font>
  <w:font w:name="PT Astra Serif">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0067742"/>
    </w:sdtPr>
    <w:sdtContent>
      <w:p>
        <w:pPr>
          <w:pStyle w:val="Header"/>
          <w:jc w:val="center"/>
          <w:rPr>
            <w:sz w:val="16"/>
            <w:szCs w:val="16"/>
          </w:rPr>
        </w:pPr>
        <w:r>
          <w:rPr>
            <w:sz w:val="16"/>
            <w:szCs w:val="16"/>
          </w:rPr>
        </w:r>
      </w:p>
    </w:sdtContent>
  </w:sdt>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7"/>
      <w:numFmt w:val="decimal"/>
      <w:lvlText w:val="%1."/>
      <w:lvlJc w:val="left"/>
      <w:pPr>
        <w:tabs>
          <w:tab w:val="num" w:pos="0"/>
        </w:tabs>
        <w:ind w:left="360" w:hanging="360"/>
      </w:pPr>
      <w:rPr>
        <w:rFonts w:cs="Times New Roman"/>
      </w:rPr>
    </w:lvl>
    <w:lvl w:ilvl="1">
      <w:start w:val="2"/>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2">
    <w:lvl w:ilvl="0">
      <w:start w:val="7"/>
      <w:numFmt w:val="decimal"/>
      <w:lvlText w:val="%1."/>
      <w:lvlJc w:val="left"/>
      <w:pPr>
        <w:tabs>
          <w:tab w:val="num" w:pos="0"/>
        </w:tabs>
        <w:ind w:left="360" w:hanging="360"/>
      </w:pPr>
      <w:rPr>
        <w:rFonts w:cs="Times New Roman"/>
      </w:rPr>
    </w:lvl>
    <w:lvl w:ilvl="1">
      <w:start w:val="6"/>
      <w:numFmt w:val="decimal"/>
      <w:lvlText w:val="%1.%2."/>
      <w:lvlJc w:val="left"/>
      <w:pPr>
        <w:tabs>
          <w:tab w:val="num" w:pos="0"/>
        </w:tabs>
        <w:ind w:left="720" w:hanging="360"/>
      </w:pPr>
      <w:rPr>
        <w:rFonts w:cs="Times New Roman"/>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800" w:hanging="72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2880" w:hanging="108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396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3">
    <w:lvl w:ilvl="0">
      <w:start w:val="7"/>
      <w:numFmt w:val="decimal"/>
      <w:lvlText w:val="%1"/>
      <w:lvlJc w:val="left"/>
      <w:pPr>
        <w:tabs>
          <w:tab w:val="num" w:pos="0"/>
        </w:tabs>
        <w:ind w:left="360" w:hanging="360"/>
      </w:pPr>
      <w:rPr>
        <w:rFonts w:cs="Times New Roman"/>
      </w:rPr>
    </w:lvl>
    <w:lvl w:ilvl="1">
      <w:start w:val="7"/>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440" w:hanging="1440"/>
      </w:pPr>
      <w:rPr>
        <w:rFonts w:cs="Times New Roman"/>
      </w:rPr>
    </w:lvl>
  </w:abstractNum>
  <w:abstractNum w:abstractNumId="4">
    <w:lvl w:ilvl="0">
      <w:start w:val="10"/>
      <w:numFmt w:val="decimal"/>
      <w:lvlText w:val="%1."/>
      <w:lvlJc w:val="left"/>
      <w:pPr>
        <w:tabs>
          <w:tab w:val="num" w:pos="0"/>
        </w:tabs>
        <w:ind w:left="444" w:hanging="444"/>
      </w:pPr>
      <w:rPr>
        <w:rFonts w:cs="Times New Roman"/>
      </w:rPr>
    </w:lvl>
    <w:lvl w:ilvl="1">
      <w:start w:val="2"/>
      <w:numFmt w:val="decimal"/>
      <w:lvlText w:val="%1.%2."/>
      <w:lvlJc w:val="left"/>
      <w:pPr>
        <w:tabs>
          <w:tab w:val="num" w:pos="0"/>
        </w:tabs>
        <w:ind w:left="444" w:hanging="444"/>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lvl w:ilvl="0">
      <w:start w:val="10"/>
      <w:numFmt w:val="decimal"/>
      <w:lvlText w:val="%1."/>
      <w:lvlJc w:val="left"/>
      <w:pPr>
        <w:tabs>
          <w:tab w:val="num" w:pos="0"/>
        </w:tabs>
        <w:ind w:left="444" w:hanging="444"/>
      </w:pPr>
      <w:rPr>
        <w:rFonts w:cs="Times New Roman"/>
      </w:rPr>
    </w:lvl>
    <w:lvl w:ilvl="1">
      <w:start w:val="5"/>
      <w:numFmt w:val="decimal"/>
      <w:lvlText w:val="%1.%2."/>
      <w:lvlJc w:val="left"/>
      <w:pPr>
        <w:tabs>
          <w:tab w:val="num" w:pos="0"/>
        </w:tabs>
        <w:ind w:left="444" w:hanging="444"/>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b12b9"/>
    <w:pPr>
      <w:widowControl/>
      <w:suppressAutoHyphens w:val="true"/>
      <w:bidi w:val="0"/>
      <w:spacing w:before="0" w:after="0"/>
      <w:jc w:val="left"/>
    </w:pPr>
    <w:rPr>
      <w:rFonts w:ascii="Times New Roman" w:hAnsi="Times New Roman" w:eastAsia="Calibri" w:cs="Times New Roman" w:eastAsiaTheme="minorHAnsi"/>
      <w:color w:val="auto"/>
      <w:kern w:val="0"/>
      <w:sz w:val="24"/>
      <w:szCs w:val="24"/>
      <w:lang w:val="ru-RU" w:eastAsia="ru-RU" w:bidi="ar-SA"/>
    </w:rPr>
  </w:style>
  <w:style w:type="paragraph" w:styleId="Heading2">
    <w:name w:val="Heading 2"/>
    <w:basedOn w:val="Normal"/>
    <w:next w:val="Normal"/>
    <w:link w:val="2"/>
    <w:unhideWhenUsed/>
    <w:qFormat/>
    <w:rsid w:val="008b12b9"/>
    <w:pPr>
      <w:keepNext w:val="true"/>
      <w:spacing w:before="240" w:after="60"/>
      <w:outlineLvl w:val="1"/>
    </w:pPr>
    <w:rPr>
      <w:rFonts w:ascii="Cambria" w:hAnsi="Cambria" w:eastAsia="Times New Roman"/>
      <w:b/>
      <w:bCs/>
      <w:i/>
      <w:iCs/>
      <w:sz w:val="28"/>
      <w:szCs w:val="28"/>
    </w:rPr>
  </w:style>
  <w:style w:type="character" w:styleId="DefaultParagraphFont" w:default="1">
    <w:name w:val="Default Paragraph Font"/>
    <w:uiPriority w:val="1"/>
    <w:semiHidden/>
    <w:unhideWhenUsed/>
    <w:qFormat/>
    <w:rPr/>
  </w:style>
  <w:style w:type="character" w:styleId="2" w:customStyle="1">
    <w:name w:val="Заголовок 2 Знак"/>
    <w:basedOn w:val="DefaultParagraphFont"/>
    <w:qFormat/>
    <w:rsid w:val="008b12b9"/>
    <w:rPr>
      <w:rFonts w:ascii="Cambria" w:hAnsi="Cambria" w:eastAsia="Times New Roman" w:cs="Times New Roman"/>
      <w:b/>
      <w:bCs/>
      <w:i/>
      <w:iCs/>
      <w:sz w:val="28"/>
      <w:szCs w:val="28"/>
      <w:lang w:eastAsia="ru-RU"/>
    </w:rPr>
  </w:style>
  <w:style w:type="character" w:styleId="Style13" w:customStyle="1">
    <w:name w:val="Основной текст Знак"/>
    <w:basedOn w:val="DefaultParagraphFont"/>
    <w:qFormat/>
    <w:rsid w:val="008b12b9"/>
    <w:rPr>
      <w:rFonts w:ascii="Times New Roman" w:hAnsi="Times New Roman" w:eastAsia="Calibri" w:cs="Times New Roman"/>
      <w:sz w:val="28"/>
      <w:szCs w:val="20"/>
      <w:lang w:eastAsia="ar-SA"/>
    </w:rPr>
  </w:style>
  <w:style w:type="character" w:styleId="Style14" w:customStyle="1">
    <w:name w:val="Нижний колонтитул Знак"/>
    <w:basedOn w:val="DefaultParagraphFont"/>
    <w:qFormat/>
    <w:rsid w:val="008b12b9"/>
    <w:rPr>
      <w:rFonts w:ascii="Times New Roman" w:hAnsi="Times New Roman" w:eastAsia="Calibri" w:cs="Times New Roman"/>
      <w:sz w:val="24"/>
      <w:szCs w:val="24"/>
      <w:lang w:eastAsia="ru-RU"/>
    </w:rPr>
  </w:style>
  <w:style w:type="character" w:styleId="Emphasis">
    <w:name w:val="Emphasis"/>
    <w:qFormat/>
    <w:rsid w:val="008b12b9"/>
    <w:rPr>
      <w:i/>
      <w:iCs/>
    </w:rPr>
  </w:style>
  <w:style w:type="character" w:styleId="Hyperlink">
    <w:name w:val="Hyperlink"/>
    <w:basedOn w:val="DefaultParagraphFont"/>
    <w:uiPriority w:val="99"/>
    <w:unhideWhenUsed/>
    <w:rsid w:val="0066440a"/>
    <w:rPr>
      <w:color w:themeColor="hyperlink" w:val="0563C1"/>
      <w:u w:val="single"/>
    </w:rPr>
  </w:style>
  <w:style w:type="character" w:styleId="Style15" w:customStyle="1">
    <w:name w:val="Верхний колонтитул Знак"/>
    <w:basedOn w:val="DefaultParagraphFont"/>
    <w:uiPriority w:val="99"/>
    <w:qFormat/>
    <w:rsid w:val="00da170b"/>
    <w:rPr>
      <w:rFonts w:ascii="Times New Roman" w:hAnsi="Times New Roman" w:eastAsia="Calibri" w:cs="Times New Roman"/>
      <w:sz w:val="24"/>
      <w:szCs w:val="24"/>
      <w:lang w:eastAsia="ru-RU"/>
    </w:rPr>
  </w:style>
  <w:style w:type="paragraph" w:styleId="Style16">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Style13"/>
    <w:rsid w:val="008b12b9"/>
    <w:pPr/>
    <w:rPr>
      <w:sz w:val="28"/>
      <w:szCs w:val="20"/>
      <w:lang w:eastAsia="ar-SA"/>
    </w:rPr>
  </w:style>
  <w:style w:type="paragraph" w:styleId="List">
    <w:name w:val="List"/>
    <w:basedOn w:val="BodyText"/>
    <w:rsid w:val="008f5822"/>
    <w:pPr/>
    <w:rPr>
      <w:rFonts w:ascii="PT Astra Serif" w:hAnsi="PT Astra Serif" w:cs="Noto Sans Devanagari"/>
    </w:rPr>
  </w:style>
  <w:style w:type="paragraph" w:styleId="Caption">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Title">
    <w:name w:val="Title"/>
    <w:basedOn w:val="Normal"/>
    <w:next w:val="BodyText"/>
    <w:qFormat/>
    <w:pPr>
      <w:keepNext w:val="true"/>
      <w:spacing w:before="240" w:after="120"/>
    </w:pPr>
    <w:rPr>
      <w:rFonts w:ascii="PT Astra Serif" w:hAnsi="PT Astra Serif" w:eastAsia="Tahoma" w:cs="Noto Sans Devanagari"/>
      <w:sz w:val="28"/>
      <w:szCs w:val="28"/>
    </w:rPr>
  </w:style>
  <w:style w:type="paragraph" w:styleId="Caption1">
    <w:name w:val="caption1"/>
    <w:basedOn w:val="Normal"/>
    <w:qFormat/>
    <w:rsid w:val="008f5822"/>
    <w:pPr>
      <w:suppressLineNumbers/>
      <w:spacing w:before="120" w:after="120"/>
    </w:pPr>
    <w:rPr>
      <w:rFonts w:ascii="PT Astra Serif" w:hAnsi="PT Astra Serif" w:cs="Noto Sans Devanagari"/>
      <w:i/>
      <w:iCs/>
    </w:rPr>
  </w:style>
  <w:style w:type="paragraph" w:styleId="Indexheading">
    <w:name w:val="index heading"/>
    <w:basedOn w:val="Normal"/>
    <w:qFormat/>
    <w:rsid w:val="008f5822"/>
    <w:pPr>
      <w:suppressLineNumbers/>
    </w:pPr>
    <w:rPr>
      <w:rFonts w:ascii="PT Astra Serif" w:hAnsi="PT Astra Serif" w:cs="Noto Sans Devanagari"/>
    </w:rPr>
  </w:style>
  <w:style w:type="paragraph" w:styleId="1" w:customStyle="1">
    <w:name w:val="Заголовок1"/>
    <w:basedOn w:val="Normal"/>
    <w:next w:val="BodyText"/>
    <w:qFormat/>
    <w:rsid w:val="008f5822"/>
    <w:pPr>
      <w:keepNext w:val="true"/>
      <w:spacing w:before="240" w:after="120"/>
    </w:pPr>
    <w:rPr>
      <w:rFonts w:ascii="PT Astra Serif" w:hAnsi="PT Astra Serif" w:eastAsia="Tahoma" w:cs="Noto Sans Devanagari"/>
      <w:sz w:val="28"/>
      <w:szCs w:val="28"/>
    </w:rPr>
  </w:style>
  <w:style w:type="paragraph" w:styleId="Style18" w:customStyle="1">
    <w:name w:val="Колонтитул"/>
    <w:basedOn w:val="Normal"/>
    <w:qFormat/>
    <w:rsid w:val="008f5822"/>
    <w:pPr/>
    <w:rPr/>
  </w:style>
  <w:style w:type="paragraph" w:styleId="Footer">
    <w:name w:val="Footer"/>
    <w:basedOn w:val="Normal"/>
    <w:link w:val="Style14"/>
    <w:rsid w:val="008b12b9"/>
    <w:pPr>
      <w:tabs>
        <w:tab w:val="clear" w:pos="708"/>
        <w:tab w:val="center" w:pos="4677" w:leader="none"/>
        <w:tab w:val="right" w:pos="9355" w:leader="none"/>
      </w:tabs>
    </w:pPr>
    <w:rPr/>
  </w:style>
  <w:style w:type="paragraph" w:styleId="NormalWeb">
    <w:name w:val="Normal (Web)"/>
    <w:basedOn w:val="Normal"/>
    <w:uiPriority w:val="99"/>
    <w:qFormat/>
    <w:rsid w:val="008b12b9"/>
    <w:pPr>
      <w:spacing w:beforeAutospacing="1" w:afterAutospacing="1"/>
    </w:pPr>
    <w:rPr/>
  </w:style>
  <w:style w:type="paragraph" w:styleId="11" w:customStyle="1">
    <w:name w:val="Абзац списка1"/>
    <w:basedOn w:val="Normal"/>
    <w:qFormat/>
    <w:rsid w:val="008b12b9"/>
    <w:pPr>
      <w:spacing w:before="0" w:after="0"/>
      <w:ind w:left="720"/>
      <w:contextualSpacing/>
    </w:pPr>
    <w:rPr/>
  </w:style>
  <w:style w:type="paragraph" w:styleId="Header">
    <w:name w:val="Header"/>
    <w:basedOn w:val="Normal"/>
    <w:link w:val="Style15"/>
    <w:uiPriority w:val="99"/>
    <w:unhideWhenUsed/>
    <w:rsid w:val="00da170b"/>
    <w:pPr>
      <w:tabs>
        <w:tab w:val="clear" w:pos="708"/>
        <w:tab w:val="center" w:pos="4677" w:leader="none"/>
        <w:tab w:val="right" w:pos="9355" w:leader="none"/>
      </w:tabs>
    </w:pPr>
    <w:rPr/>
  </w:style>
  <w:style w:type="paragraph" w:styleId="Style19" w:customStyle="1">
    <w:name w:val="Содержимое врезки"/>
    <w:basedOn w:val="Normal"/>
    <w:qFormat/>
    <w:rsid w:val="008f5822"/>
    <w:pPr/>
    <w:rPr/>
  </w:style>
  <w:style w:type="paragraph" w:styleId="ListParagraph">
    <w:name w:val="List Paragraph"/>
    <w:basedOn w:val="Normal"/>
    <w:uiPriority w:val="34"/>
    <w:qFormat/>
    <w:rsid w:val="00127725"/>
    <w:pPr>
      <w:spacing w:before="0" w:after="0"/>
      <w:ind w:left="720"/>
      <w:contextualSpacing/>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header" Target="head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95</TotalTime>
  <Application>LibreOffice/7.6.4.1$Windows_X86_64 LibreOffice_project/e19e193f88cd6c0525a17fb7a176ed8e6a3e2aa1</Application>
  <AppVersion>15.0000</AppVersion>
  <Pages>10</Pages>
  <Words>3556</Words>
  <Characters>26712</Characters>
  <CharactersWithSpaces>30659</CharactersWithSpaces>
  <Paragraphs>225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2026-08-14T08:41:00Z</dcterms:created>
  <dc:creator>Admin</dc:creator>
  <dc:description/>
  <dc:language>ru-RU</dc:language>
  <cp:lastModifiedBy/>
  <cp:lastPrinted>2026-08-17T11:40:54Z</cp:lastPrinted>
  <dcterms:modified xsi:type="dcterms:W3CDTF">2026-08-17T13:20:43Z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