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36" w:rsidRPr="00C67E85" w:rsidRDefault="00BE1D51" w:rsidP="007E2436">
      <w:pPr>
        <w:spacing w:line="312" w:lineRule="auto"/>
        <w:jc w:val="center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           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/>
        </w:rPr>
      </w:pP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/>
        </w:rPr>
      </w:pPr>
    </w:p>
    <w:p w:rsidR="007E2436" w:rsidRPr="00C67E85" w:rsidRDefault="00BE1D51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/>
        </w:rPr>
        <w:t xml:space="preserve"> </w:t>
      </w:r>
      <w:r w:rsidR="007E2436" w:rsidRPr="00C67E85">
        <w:rPr>
          <w:rFonts w:ascii="PT Astra Serif" w:hAnsi="PT Astra Serif" w:cs="Arial"/>
          <w:b/>
          <w:bCs/>
        </w:rPr>
        <w:t>ПРАВИТЕЛЬСТВО НИЖЕГОРОДСКОЙ ОБЛАСТИ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 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ПОСТАНОВЛЕНИЕ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от 30 декабря 2025 г. N 811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 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ОБ УСТАНОВЛЕНИИ ПРЕДЕЛЬНОГО РАЗМЕРА ПЛАТЫ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ЗА ПРОВЕДЕНИЕ ТЕХНИЧЕСКОГО ОСМОТРА ТРАНСПОРТНЫХ СРЕДСТВ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НА ТЕРРИТОРИИ НИЖЕГОРОДСКОЙ ОБЛАСТИ НА 2026 ГОД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proofErr w:type="gramStart"/>
      <w:r w:rsidRPr="00C67E85">
        <w:rPr>
          <w:rFonts w:ascii="PT Astra Serif" w:hAnsi="PT Astra Serif"/>
        </w:rPr>
        <w:t xml:space="preserve">В соответствии со </w:t>
      </w:r>
      <w:hyperlink r:id="rId9" w:history="1">
        <w:r w:rsidRPr="00C67E85">
          <w:rPr>
            <w:rFonts w:ascii="PT Astra Serif" w:hAnsi="PT Astra Serif"/>
            <w:color w:val="0000FF"/>
            <w:u w:val="single"/>
          </w:rPr>
          <w:t>статьей 9</w:t>
        </w:r>
      </w:hyperlink>
      <w:r w:rsidRPr="00C67E85">
        <w:rPr>
          <w:rFonts w:ascii="PT Astra Serif" w:hAnsi="PT Astra Serif"/>
        </w:rPr>
        <w:t xml:space="preserve"> Федерального закона от 1 июля 2011 г. N 170-ФЗ "О техническом осмотре транспортных средств и о внесении изменений в отдельные законодательные акты Российской Федерации", </w:t>
      </w:r>
      <w:hyperlink r:id="rId10" w:history="1">
        <w:r w:rsidRPr="00C67E85">
          <w:rPr>
            <w:rFonts w:ascii="PT Astra Serif" w:hAnsi="PT Astra Serif"/>
            <w:color w:val="0000FF"/>
            <w:u w:val="single"/>
          </w:rPr>
          <w:t>пунктом 7</w:t>
        </w:r>
      </w:hyperlink>
      <w:r w:rsidRPr="00C67E85">
        <w:rPr>
          <w:rFonts w:ascii="PT Astra Serif" w:hAnsi="PT Astra Serif"/>
        </w:rPr>
        <w:t xml:space="preserve"> Правил проведения технического осмотра транспортных средств, утвержденных постановлением Правительства Российской Федерации от 15 сентября 2020 г. N 1434, и </w:t>
      </w:r>
      <w:hyperlink r:id="rId11" w:history="1">
        <w:r w:rsidRPr="00C67E85">
          <w:rPr>
            <w:rFonts w:ascii="PT Astra Serif" w:hAnsi="PT Astra Serif"/>
            <w:color w:val="0000FF"/>
            <w:u w:val="single"/>
          </w:rPr>
          <w:t>приказом</w:t>
        </w:r>
      </w:hyperlink>
      <w:r w:rsidRPr="00C67E85">
        <w:rPr>
          <w:rFonts w:ascii="PT Astra Serif" w:hAnsi="PT Astra Serif"/>
        </w:rPr>
        <w:t xml:space="preserve"> Федеральной антимонопольной службы от 30 июня 2022 г. N</w:t>
      </w:r>
      <w:proofErr w:type="gramEnd"/>
      <w:r w:rsidRPr="00C67E85">
        <w:rPr>
          <w:rFonts w:ascii="PT Astra Serif" w:hAnsi="PT Astra Serif"/>
        </w:rPr>
        <w:t xml:space="preserve"> 489/22 "Об утверждении Методики расчета предельного размера платы за проведение технического осмотра" Правительство Нижегородской области постановляет: </w:t>
      </w:r>
    </w:p>
    <w:p w:rsidR="007E2436" w:rsidRPr="00C67E85" w:rsidRDefault="007E2436" w:rsidP="007E2436">
      <w:pPr>
        <w:spacing w:before="168"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1. Установить </w:t>
      </w:r>
      <w:hyperlink w:anchor="p25" w:history="1">
        <w:r w:rsidRPr="00C67E85">
          <w:rPr>
            <w:rFonts w:ascii="PT Astra Serif" w:hAnsi="PT Astra Serif"/>
            <w:color w:val="0000FF"/>
            <w:u w:val="single"/>
          </w:rPr>
          <w:t>предельный размер</w:t>
        </w:r>
      </w:hyperlink>
      <w:r w:rsidRPr="00C67E85">
        <w:rPr>
          <w:rFonts w:ascii="PT Astra Serif" w:hAnsi="PT Astra Serif"/>
        </w:rPr>
        <w:t xml:space="preserve"> платы за проведение технического осмотра транспортных средств на территории Нижегородской области на 2026 год согласно приложению к настоящему постановлению. </w:t>
      </w:r>
    </w:p>
    <w:p w:rsidR="007E2436" w:rsidRPr="00C67E85" w:rsidRDefault="007E2436" w:rsidP="007E2436">
      <w:pPr>
        <w:spacing w:before="168"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2. Настоящее постановление вступает в силу с 1 января 2026 г. и подлежит официальному опубликованию.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  <w:proofErr w:type="spellStart"/>
      <w:r w:rsidRPr="00C67E85">
        <w:rPr>
          <w:rFonts w:ascii="PT Astra Serif" w:hAnsi="PT Astra Serif"/>
        </w:rPr>
        <w:t>И.о</w:t>
      </w:r>
      <w:proofErr w:type="spellEnd"/>
      <w:r w:rsidRPr="00C67E85">
        <w:rPr>
          <w:rFonts w:ascii="PT Astra Serif" w:hAnsi="PT Astra Serif"/>
        </w:rPr>
        <w:t xml:space="preserve">. Губернатора </w:t>
      </w: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С.Э.МОРОЗОВ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26770B" w:rsidRDefault="0026770B" w:rsidP="007E2436">
      <w:pPr>
        <w:spacing w:line="288" w:lineRule="atLeast"/>
        <w:jc w:val="right"/>
        <w:rPr>
          <w:rFonts w:ascii="PT Astra Serif" w:hAnsi="PT Astra Serif"/>
        </w:rPr>
      </w:pPr>
    </w:p>
    <w:p w:rsidR="0026770B" w:rsidRDefault="0026770B" w:rsidP="007E2436">
      <w:pPr>
        <w:spacing w:line="288" w:lineRule="atLeast"/>
        <w:jc w:val="right"/>
        <w:rPr>
          <w:rFonts w:ascii="PT Astra Serif" w:hAnsi="PT Astra Serif"/>
        </w:rPr>
      </w:pPr>
    </w:p>
    <w:p w:rsidR="0026770B" w:rsidRDefault="0026770B" w:rsidP="007E2436">
      <w:pPr>
        <w:spacing w:line="288" w:lineRule="atLeast"/>
        <w:jc w:val="right"/>
        <w:rPr>
          <w:rFonts w:ascii="PT Astra Serif" w:hAnsi="PT Astra Serif"/>
        </w:rPr>
      </w:pPr>
    </w:p>
    <w:p w:rsidR="0026770B" w:rsidRPr="00C67E85" w:rsidRDefault="0026770B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</w:p>
    <w:p w:rsidR="00122D23" w:rsidRPr="00C67E85" w:rsidRDefault="00122D23" w:rsidP="007E2436">
      <w:pPr>
        <w:spacing w:line="288" w:lineRule="atLeast"/>
        <w:jc w:val="right"/>
        <w:rPr>
          <w:rFonts w:ascii="PT Astra Serif" w:hAnsi="PT Astra Serif"/>
        </w:rPr>
      </w:pPr>
    </w:p>
    <w:p w:rsidR="00122D23" w:rsidRPr="00C67E85" w:rsidRDefault="00122D23" w:rsidP="007E2436">
      <w:pPr>
        <w:spacing w:line="288" w:lineRule="atLeast"/>
        <w:jc w:val="right"/>
        <w:rPr>
          <w:rFonts w:ascii="PT Astra Serif" w:hAnsi="PT Astra Serif"/>
        </w:rPr>
      </w:pPr>
    </w:p>
    <w:p w:rsidR="00122D23" w:rsidRPr="00C67E85" w:rsidRDefault="00122D23" w:rsidP="007E2436">
      <w:pPr>
        <w:spacing w:line="288" w:lineRule="atLeast"/>
        <w:jc w:val="right"/>
        <w:rPr>
          <w:rFonts w:ascii="PT Astra Serif" w:hAnsi="PT Astra Serif"/>
        </w:rPr>
      </w:pP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  <w:r w:rsidRPr="00C67E85">
        <w:rPr>
          <w:rFonts w:ascii="PT Astra Serif" w:hAnsi="PT Astra Serif"/>
        </w:rPr>
        <w:lastRenderedPageBreak/>
        <w:t xml:space="preserve">Приложение </w:t>
      </w: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к постановлению Правительства </w:t>
      </w: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Нижегородской области </w:t>
      </w:r>
    </w:p>
    <w:p w:rsidR="007E2436" w:rsidRPr="00C67E85" w:rsidRDefault="007E2436" w:rsidP="007E2436">
      <w:pPr>
        <w:spacing w:line="288" w:lineRule="atLeast"/>
        <w:jc w:val="right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от 30 декабря 2025 г. N 811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bookmarkStart w:id="0" w:name="p25"/>
      <w:bookmarkEnd w:id="0"/>
      <w:r w:rsidRPr="00C67E85">
        <w:rPr>
          <w:rFonts w:ascii="PT Astra Serif" w:hAnsi="PT Astra Serif" w:cs="Arial"/>
          <w:b/>
          <w:bCs/>
        </w:rPr>
        <w:t xml:space="preserve">ПРЕДЕЛЬНЫЙ РАЗМЕР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ПЛАТЫ ЗА ПРОВЕДЕНИЕ ТЕХНИЧЕСКОГО ОСМОТРА </w:t>
      </w:r>
      <w:proofErr w:type="gramStart"/>
      <w:r w:rsidRPr="00C67E85">
        <w:rPr>
          <w:rFonts w:ascii="PT Astra Serif" w:hAnsi="PT Astra Serif" w:cs="Arial"/>
          <w:b/>
          <w:bCs/>
        </w:rPr>
        <w:t>ТРАНСПОРТНЫХ</w:t>
      </w:r>
      <w:proofErr w:type="gramEnd"/>
      <w:r w:rsidRPr="00C67E85">
        <w:rPr>
          <w:rFonts w:ascii="PT Astra Serif" w:hAnsi="PT Astra Serif" w:cs="Arial"/>
          <w:b/>
          <w:bCs/>
        </w:rPr>
        <w:t xml:space="preserve"> </w:t>
      </w:r>
    </w:p>
    <w:p w:rsidR="007E2436" w:rsidRPr="00C67E85" w:rsidRDefault="007E2436" w:rsidP="007E2436">
      <w:pPr>
        <w:spacing w:line="312" w:lineRule="auto"/>
        <w:jc w:val="center"/>
        <w:rPr>
          <w:rFonts w:ascii="PT Astra Serif" w:hAnsi="PT Astra Serif" w:cs="Arial"/>
          <w:b/>
          <w:bCs/>
        </w:rPr>
      </w:pPr>
      <w:r w:rsidRPr="00C67E85">
        <w:rPr>
          <w:rFonts w:ascii="PT Astra Serif" w:hAnsi="PT Astra Serif" w:cs="Arial"/>
          <w:b/>
          <w:bCs/>
        </w:rPr>
        <w:t xml:space="preserve">СРЕДСТВ НА ТЕРРИТОРИИ НИЖЕГОРОДСКОЙ ОБЛАСТИ НА 2026 ГОД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5048"/>
        <w:gridCol w:w="1215"/>
        <w:gridCol w:w="2465"/>
      </w:tblGrid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N </w:t>
            </w:r>
            <w:proofErr w:type="gramStart"/>
            <w:r w:rsidRPr="00C67E85">
              <w:rPr>
                <w:rFonts w:ascii="PT Astra Serif" w:hAnsi="PT Astra Serif"/>
                <w:sz w:val="19"/>
                <w:szCs w:val="19"/>
              </w:rPr>
              <w:t>п</w:t>
            </w:r>
            <w:proofErr w:type="gramEnd"/>
            <w:r w:rsidRPr="00C67E85">
              <w:rPr>
                <w:rFonts w:ascii="PT Astra Serif" w:hAnsi="PT Astra Serif"/>
                <w:sz w:val="19"/>
                <w:szCs w:val="19"/>
              </w:rPr>
              <w:t xml:space="preserve">/п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Тип транспортного средства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Категория транспортных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Предельный размер платы за проведение технического осмотра транспортных средств, руб.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1.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Транспортные средства, используемые для перевозки пассажиров и имеющие, помимо места водителя, не более восьми мест для сидения - легковые автомобили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M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1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1089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2.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</w:t>
            </w:r>
            <w:proofErr w:type="gramStart"/>
            <w:r w:rsidRPr="00C67E85">
              <w:rPr>
                <w:rFonts w:ascii="PT Astra Serif" w:hAnsi="PT Astra Serif"/>
                <w:sz w:val="19"/>
                <w:szCs w:val="19"/>
              </w:rPr>
              <w:t>масса</w:t>
            </w:r>
            <w:proofErr w:type="gramEnd"/>
            <w:r w:rsidRPr="00C67E85">
              <w:rPr>
                <w:rFonts w:ascii="PT Astra Serif" w:hAnsi="PT Astra Serif"/>
                <w:sz w:val="19"/>
                <w:szCs w:val="19"/>
              </w:rPr>
              <w:t xml:space="preserve"> которых не превышает 5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M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2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1863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3.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</w:t>
            </w:r>
            <w:proofErr w:type="gramStart"/>
            <w:r w:rsidRPr="00C67E85">
              <w:rPr>
                <w:rFonts w:ascii="PT Astra Serif" w:hAnsi="PT Astra Serif"/>
                <w:sz w:val="19"/>
                <w:szCs w:val="19"/>
              </w:rPr>
              <w:t>масса</w:t>
            </w:r>
            <w:proofErr w:type="gramEnd"/>
            <w:r w:rsidRPr="00C67E85">
              <w:rPr>
                <w:rFonts w:ascii="PT Astra Serif" w:hAnsi="PT Astra Serif"/>
                <w:sz w:val="19"/>
                <w:szCs w:val="19"/>
              </w:rPr>
              <w:t xml:space="preserve"> которых превышает 5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M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3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2250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4.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Транспортные средства, предназначенные для перевозки грузов, имеющие технически допустимую максимальную массу не более 3,5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N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1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1191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5.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Транспортные средства, предназначенные для перевозки грузов, имеющие технически допустимую максимальную массу свыше 3,5 тонн, но не более 12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N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2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2170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6.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Транспортные средства, предназначенные для перевозки грузов, имеющие технически допустимую максимальную массу более 12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N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3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2344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7.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Прицепы, технически допустимая максимальная масса которых: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7.1.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не более 0,75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O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1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898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7.2.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свыше 0,75 тонн, но не более 3,5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O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2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8.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Прицепы, технически допустимая максимальная масса которых: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8.1.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свыше 3,5 тонн, но не более 10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O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3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1517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8.2.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более 10 тонн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>O</w:t>
            </w:r>
            <w:r w:rsidRPr="00C67E85">
              <w:rPr>
                <w:rFonts w:ascii="PT Astra Serif" w:hAnsi="PT Astra Serif"/>
                <w:sz w:val="12"/>
                <w:szCs w:val="12"/>
                <w:vertAlign w:val="subscript"/>
              </w:rPr>
              <w:t>4</w:t>
            </w:r>
            <w:r w:rsidRPr="00C67E85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  </w:t>
            </w:r>
          </w:p>
        </w:tc>
      </w:tr>
      <w:tr w:rsidR="007E2436" w:rsidRPr="00C67E85" w:rsidTr="00C67E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9. </w:t>
            </w:r>
          </w:p>
        </w:tc>
        <w:tc>
          <w:tcPr>
            <w:tcW w:w="5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spacing w:line="288" w:lineRule="atLeast"/>
              <w:jc w:val="both"/>
              <w:rPr>
                <w:rFonts w:ascii="PT Astra Serif" w:hAnsi="PT Astra Serif"/>
                <w:sz w:val="19"/>
                <w:szCs w:val="19"/>
              </w:rPr>
            </w:pPr>
            <w:proofErr w:type="spellStart"/>
            <w:r w:rsidRPr="00C67E85">
              <w:rPr>
                <w:rFonts w:ascii="PT Astra Serif" w:hAnsi="PT Astra Serif"/>
                <w:sz w:val="19"/>
                <w:szCs w:val="19"/>
              </w:rPr>
              <w:t>Мототранспортные</w:t>
            </w:r>
            <w:proofErr w:type="spellEnd"/>
            <w:r w:rsidRPr="00C67E85">
              <w:rPr>
                <w:rFonts w:ascii="PT Astra Serif" w:hAnsi="PT Astra Serif"/>
                <w:sz w:val="19"/>
                <w:szCs w:val="19"/>
              </w:rPr>
              <w:t xml:space="preserve"> средства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436" w:rsidRPr="00C67E85" w:rsidRDefault="007E2436" w:rsidP="007E243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C67E85">
              <w:rPr>
                <w:rFonts w:ascii="PT Astra Serif" w:hAnsi="PT Astra Serif"/>
                <w:sz w:val="19"/>
                <w:szCs w:val="19"/>
              </w:rPr>
              <w:t xml:space="preserve">383 </w:t>
            </w:r>
          </w:p>
        </w:tc>
      </w:tr>
    </w:tbl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spacing w:line="288" w:lineRule="atLeast"/>
        <w:ind w:firstLine="540"/>
        <w:jc w:val="both"/>
        <w:rPr>
          <w:rFonts w:ascii="PT Astra Serif" w:hAnsi="PT Astra Serif"/>
        </w:rPr>
      </w:pPr>
      <w:r w:rsidRPr="00C67E85">
        <w:rPr>
          <w:rFonts w:ascii="PT Astra Serif" w:hAnsi="PT Astra Serif"/>
        </w:rPr>
        <w:t xml:space="preserve">  </w:t>
      </w:r>
    </w:p>
    <w:p w:rsidR="007E2436" w:rsidRPr="00C67E85" w:rsidRDefault="007E2436" w:rsidP="007E2436">
      <w:pPr>
        <w:rPr>
          <w:rFonts w:ascii="PT Astra Serif" w:hAnsi="PT Astra Serif"/>
        </w:rPr>
      </w:pPr>
    </w:p>
    <w:p w:rsidR="00BA65D0" w:rsidRPr="00C67E85" w:rsidRDefault="00BA65D0" w:rsidP="007E2436">
      <w:pPr>
        <w:pBdr>
          <w:bottom w:val="dotted" w:sz="6" w:space="13" w:color="000000"/>
        </w:pBdr>
        <w:shd w:val="clear" w:color="auto" w:fill="FFFFFF"/>
        <w:spacing w:before="167" w:after="16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BA65D0" w:rsidRPr="00C67E85" w:rsidRDefault="00BA65D0">
      <w:pPr>
        <w:pStyle w:val="FORMATTEXT"/>
        <w:ind w:firstLine="568"/>
        <w:jc w:val="both"/>
        <w:rPr>
          <w:rFonts w:ascii="PT Astra Serif" w:hAnsi="PT Astra Serif"/>
          <w:sz w:val="28"/>
          <w:szCs w:val="28"/>
        </w:rPr>
      </w:pPr>
    </w:p>
    <w:p w:rsidR="00BA65D0" w:rsidRPr="00C67E85" w:rsidRDefault="00BA65D0">
      <w:pPr>
        <w:pStyle w:val="FORMATTEXT"/>
        <w:ind w:firstLine="568"/>
        <w:jc w:val="both"/>
        <w:rPr>
          <w:rFonts w:ascii="PT Astra Serif" w:hAnsi="PT Astra Serif"/>
          <w:sz w:val="28"/>
          <w:szCs w:val="28"/>
        </w:rPr>
      </w:pPr>
    </w:p>
    <w:p w:rsidR="00BA65D0" w:rsidRPr="00C67E85" w:rsidRDefault="00BA65D0">
      <w:pPr>
        <w:pStyle w:val="FORMATTEXT"/>
        <w:ind w:firstLine="568"/>
        <w:jc w:val="both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BA65D0" w:rsidRPr="00C67E85" w:rsidSect="00090CA0">
      <w:pgSz w:w="11906" w:h="16838"/>
      <w:pgMar w:top="851" w:right="850" w:bottom="709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23" w:rsidRDefault="008E3623" w:rsidP="00083553">
      <w:r>
        <w:separator/>
      </w:r>
    </w:p>
  </w:endnote>
  <w:endnote w:type="continuationSeparator" w:id="0">
    <w:p w:rsidR="008E3623" w:rsidRDefault="008E3623" w:rsidP="0008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23" w:rsidRDefault="008E3623" w:rsidP="00083553">
      <w:r>
        <w:separator/>
      </w:r>
    </w:p>
  </w:footnote>
  <w:footnote w:type="continuationSeparator" w:id="0">
    <w:p w:rsidR="008E3623" w:rsidRDefault="008E3623" w:rsidP="0008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0B75"/>
    <w:multiLevelType w:val="multilevel"/>
    <w:tmpl w:val="4DD0A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473FE4"/>
    <w:multiLevelType w:val="multilevel"/>
    <w:tmpl w:val="50342BE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color w:val="auto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5D0"/>
    <w:rsid w:val="000013B4"/>
    <w:rsid w:val="00060CA4"/>
    <w:rsid w:val="00073CAD"/>
    <w:rsid w:val="00083553"/>
    <w:rsid w:val="00090CA0"/>
    <w:rsid w:val="00092222"/>
    <w:rsid w:val="000F4AC7"/>
    <w:rsid w:val="00100385"/>
    <w:rsid w:val="00122D23"/>
    <w:rsid w:val="001675D0"/>
    <w:rsid w:val="00185392"/>
    <w:rsid w:val="001B6A8B"/>
    <w:rsid w:val="001C67C5"/>
    <w:rsid w:val="001F6246"/>
    <w:rsid w:val="00205F6C"/>
    <w:rsid w:val="00215A71"/>
    <w:rsid w:val="002347C8"/>
    <w:rsid w:val="0026770B"/>
    <w:rsid w:val="0028410C"/>
    <w:rsid w:val="002F6640"/>
    <w:rsid w:val="00307A56"/>
    <w:rsid w:val="0031099D"/>
    <w:rsid w:val="003338FB"/>
    <w:rsid w:val="0035028F"/>
    <w:rsid w:val="00367A98"/>
    <w:rsid w:val="00376235"/>
    <w:rsid w:val="00386015"/>
    <w:rsid w:val="003A0B0E"/>
    <w:rsid w:val="003A686A"/>
    <w:rsid w:val="003C7189"/>
    <w:rsid w:val="003C7F7B"/>
    <w:rsid w:val="00427BC2"/>
    <w:rsid w:val="004B15F1"/>
    <w:rsid w:val="004E2C54"/>
    <w:rsid w:val="004E5F9C"/>
    <w:rsid w:val="00562BE5"/>
    <w:rsid w:val="00580D0C"/>
    <w:rsid w:val="00597D4D"/>
    <w:rsid w:val="005C409B"/>
    <w:rsid w:val="00604A25"/>
    <w:rsid w:val="00614254"/>
    <w:rsid w:val="00620A01"/>
    <w:rsid w:val="006230A9"/>
    <w:rsid w:val="0063391F"/>
    <w:rsid w:val="00667BF2"/>
    <w:rsid w:val="006C2A9F"/>
    <w:rsid w:val="006C7F41"/>
    <w:rsid w:val="00757A6D"/>
    <w:rsid w:val="00794153"/>
    <w:rsid w:val="007C6004"/>
    <w:rsid w:val="007D53AB"/>
    <w:rsid w:val="007E2436"/>
    <w:rsid w:val="007F7F18"/>
    <w:rsid w:val="008040AC"/>
    <w:rsid w:val="00805027"/>
    <w:rsid w:val="00830BC6"/>
    <w:rsid w:val="00834388"/>
    <w:rsid w:val="008646AB"/>
    <w:rsid w:val="00865BEE"/>
    <w:rsid w:val="008E19F1"/>
    <w:rsid w:val="008E3623"/>
    <w:rsid w:val="00923C0A"/>
    <w:rsid w:val="00943D81"/>
    <w:rsid w:val="00947BA3"/>
    <w:rsid w:val="00987910"/>
    <w:rsid w:val="009A1A91"/>
    <w:rsid w:val="009A2404"/>
    <w:rsid w:val="009A5209"/>
    <w:rsid w:val="009F1281"/>
    <w:rsid w:val="00A011CC"/>
    <w:rsid w:val="00A24766"/>
    <w:rsid w:val="00A3343D"/>
    <w:rsid w:val="00A67795"/>
    <w:rsid w:val="00A714CA"/>
    <w:rsid w:val="00A853D3"/>
    <w:rsid w:val="00A85B85"/>
    <w:rsid w:val="00A87E38"/>
    <w:rsid w:val="00A92904"/>
    <w:rsid w:val="00AA3CAB"/>
    <w:rsid w:val="00AC286A"/>
    <w:rsid w:val="00AC66EB"/>
    <w:rsid w:val="00AD6205"/>
    <w:rsid w:val="00B14142"/>
    <w:rsid w:val="00B46C6B"/>
    <w:rsid w:val="00B55F85"/>
    <w:rsid w:val="00B93974"/>
    <w:rsid w:val="00B97C15"/>
    <w:rsid w:val="00BA5E9B"/>
    <w:rsid w:val="00BA65D0"/>
    <w:rsid w:val="00BB4217"/>
    <w:rsid w:val="00BB605A"/>
    <w:rsid w:val="00BE037F"/>
    <w:rsid w:val="00BE1D51"/>
    <w:rsid w:val="00C140A2"/>
    <w:rsid w:val="00C15C1A"/>
    <w:rsid w:val="00C27889"/>
    <w:rsid w:val="00C67E85"/>
    <w:rsid w:val="00C95D60"/>
    <w:rsid w:val="00CB0AF8"/>
    <w:rsid w:val="00CB48E5"/>
    <w:rsid w:val="00CC261E"/>
    <w:rsid w:val="00CD5C83"/>
    <w:rsid w:val="00CF2F8D"/>
    <w:rsid w:val="00CF3090"/>
    <w:rsid w:val="00D01327"/>
    <w:rsid w:val="00D215B0"/>
    <w:rsid w:val="00D3497B"/>
    <w:rsid w:val="00D419B6"/>
    <w:rsid w:val="00D84443"/>
    <w:rsid w:val="00DB25F5"/>
    <w:rsid w:val="00DC03F2"/>
    <w:rsid w:val="00DD0F4A"/>
    <w:rsid w:val="00DF3D60"/>
    <w:rsid w:val="00DF427A"/>
    <w:rsid w:val="00E02371"/>
    <w:rsid w:val="00E0239D"/>
    <w:rsid w:val="00E07FA3"/>
    <w:rsid w:val="00E3444F"/>
    <w:rsid w:val="00E6003D"/>
    <w:rsid w:val="00E71A3A"/>
    <w:rsid w:val="00EA3CFD"/>
    <w:rsid w:val="00EA7450"/>
    <w:rsid w:val="00EB4369"/>
    <w:rsid w:val="00EC0291"/>
    <w:rsid w:val="00EE3B60"/>
    <w:rsid w:val="00F224E0"/>
    <w:rsid w:val="00F23821"/>
    <w:rsid w:val="00F3013C"/>
    <w:rsid w:val="00F35F9E"/>
    <w:rsid w:val="00F514FB"/>
    <w:rsid w:val="00F57F12"/>
    <w:rsid w:val="00F72E48"/>
    <w:rsid w:val="00F8255E"/>
    <w:rsid w:val="00FB332C"/>
    <w:rsid w:val="00FC37E8"/>
    <w:rsid w:val="00FC6B00"/>
    <w:rsid w:val="00FC7F6A"/>
    <w:rsid w:val="00FE5987"/>
    <w:rsid w:val="00FE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B00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B0064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006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F7C8F"/>
    <w:rPr>
      <w:color w:val="0000FF"/>
      <w:u w:val="single"/>
    </w:rPr>
  </w:style>
  <w:style w:type="character" w:customStyle="1" w:styleId="ListLabel1">
    <w:name w:val="ListLabel 1"/>
    <w:qFormat/>
    <w:rsid w:val="00BA65D0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BA65D0"/>
  </w:style>
  <w:style w:type="character" w:customStyle="1" w:styleId="ListLabel3">
    <w:name w:val="ListLabel 3"/>
    <w:qFormat/>
    <w:rsid w:val="00BA65D0"/>
  </w:style>
  <w:style w:type="character" w:customStyle="1" w:styleId="ListLabel4">
    <w:name w:val="ListLabel 4"/>
    <w:qFormat/>
    <w:rsid w:val="00BA65D0"/>
    <w:rPr>
      <w:b/>
      <w:sz w:val="24"/>
    </w:rPr>
  </w:style>
  <w:style w:type="character" w:customStyle="1" w:styleId="ListLabel5">
    <w:name w:val="ListLabel 5"/>
    <w:qFormat/>
    <w:rsid w:val="00BA65D0"/>
  </w:style>
  <w:style w:type="character" w:customStyle="1" w:styleId="ListLabel6">
    <w:name w:val="ListLabel 6"/>
    <w:qFormat/>
    <w:rsid w:val="00BA65D0"/>
  </w:style>
  <w:style w:type="character" w:customStyle="1" w:styleId="ListLabel7">
    <w:name w:val="ListLabel 7"/>
    <w:qFormat/>
    <w:rsid w:val="00BA65D0"/>
    <w:rPr>
      <w:b/>
      <w:sz w:val="24"/>
    </w:rPr>
  </w:style>
  <w:style w:type="character" w:customStyle="1" w:styleId="ListLabel8">
    <w:name w:val="ListLabel 8"/>
    <w:qFormat/>
    <w:rsid w:val="00BA65D0"/>
  </w:style>
  <w:style w:type="character" w:customStyle="1" w:styleId="ListLabel9">
    <w:name w:val="ListLabel 9"/>
    <w:qFormat/>
    <w:rsid w:val="00BA65D0"/>
  </w:style>
  <w:style w:type="paragraph" w:customStyle="1" w:styleId="a6">
    <w:name w:val="Заголовок"/>
    <w:basedOn w:val="a"/>
    <w:next w:val="a7"/>
    <w:qFormat/>
    <w:rsid w:val="00BA65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semiHidden/>
    <w:unhideWhenUsed/>
    <w:rsid w:val="00B0064D"/>
    <w:pPr>
      <w:tabs>
        <w:tab w:val="left" w:pos="910"/>
      </w:tabs>
    </w:pPr>
    <w:rPr>
      <w:szCs w:val="20"/>
    </w:rPr>
  </w:style>
  <w:style w:type="paragraph" w:styleId="a8">
    <w:name w:val="List"/>
    <w:basedOn w:val="a7"/>
    <w:rsid w:val="00BA65D0"/>
    <w:rPr>
      <w:rFonts w:cs="Arial"/>
    </w:rPr>
  </w:style>
  <w:style w:type="paragraph" w:customStyle="1" w:styleId="1">
    <w:name w:val="Название объекта1"/>
    <w:basedOn w:val="a"/>
    <w:qFormat/>
    <w:rsid w:val="00BA65D0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A65D0"/>
    <w:pPr>
      <w:suppressLineNumbers/>
    </w:pPr>
    <w:rPr>
      <w:rFonts w:cs="Arial"/>
    </w:rPr>
  </w:style>
  <w:style w:type="paragraph" w:styleId="aa">
    <w:name w:val="Body Text Indent"/>
    <w:basedOn w:val="a"/>
    <w:uiPriority w:val="99"/>
    <w:unhideWhenUsed/>
    <w:rsid w:val="00B0064D"/>
    <w:pPr>
      <w:widowControl w:val="0"/>
      <w:suppressAutoHyphens/>
      <w:spacing w:after="120"/>
      <w:ind w:left="283"/>
    </w:pPr>
    <w:rPr>
      <w:rFonts w:eastAsia="Andale Sans UI"/>
      <w:kern w:val="2"/>
    </w:rPr>
  </w:style>
  <w:style w:type="paragraph" w:styleId="ab">
    <w:name w:val="No Spacing"/>
    <w:uiPriority w:val="1"/>
    <w:qFormat/>
    <w:rsid w:val="00B0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B0064D"/>
    <w:pPr>
      <w:ind w:left="720"/>
      <w:contextualSpacing/>
    </w:pPr>
    <w:rPr>
      <w:rFonts w:eastAsia="Gulim"/>
    </w:rPr>
  </w:style>
  <w:style w:type="paragraph" w:customStyle="1" w:styleId="ConsPlusNormal">
    <w:name w:val="ConsPlusNormal"/>
    <w:qFormat/>
    <w:rsid w:val="00B0064D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4">
    <w:name w:val="Обычный4"/>
    <w:qFormat/>
    <w:rsid w:val="00B0064D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."/>
    <w:uiPriority w:val="99"/>
    <w:qFormat/>
    <w:rsid w:val="00B006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qFormat/>
    <w:rsid w:val="00B006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qFormat/>
    <w:rsid w:val="00B0064D"/>
    <w:pPr>
      <w:widowControl w:val="0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2">
    <w:name w:val="Обычный2"/>
    <w:qFormat/>
    <w:rsid w:val="00B0064D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0064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A65D0"/>
    <w:pPr>
      <w:suppressLineNumbers/>
    </w:pPr>
  </w:style>
  <w:style w:type="paragraph" w:customStyle="1" w:styleId="af0">
    <w:name w:val="Заголовок таблицы"/>
    <w:basedOn w:val="af"/>
    <w:qFormat/>
    <w:rsid w:val="00BA65D0"/>
    <w:pPr>
      <w:jc w:val="center"/>
    </w:pPr>
    <w:rPr>
      <w:b/>
      <w:bCs/>
    </w:rPr>
  </w:style>
  <w:style w:type="character" w:styleId="af1">
    <w:name w:val="Hyperlink"/>
    <w:basedOn w:val="a0"/>
    <w:uiPriority w:val="99"/>
    <w:unhideWhenUsed/>
    <w:rsid w:val="00620A01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BE1D51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"/>
    <w:link w:val="af4"/>
    <w:uiPriority w:val="99"/>
    <w:unhideWhenUsed/>
    <w:rsid w:val="0008355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83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08355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835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7202&amp;dst=100015&amp;field=134&amp;date=01.06.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4298&amp;dst=100024&amp;field=134&amp;date=01.06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077&amp;dst=17&amp;field=134&amp;date=01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ABBA-FF3A-4A90-93A4-C1823FDD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СИЗО-3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OTO - 1</cp:lastModifiedBy>
  <cp:revision>84</cp:revision>
  <cp:lastPrinted>2026-06-05T06:10:00Z</cp:lastPrinted>
  <dcterms:created xsi:type="dcterms:W3CDTF">2018-10-23T05:32:00Z</dcterms:created>
  <dcterms:modified xsi:type="dcterms:W3CDTF">2026-06-05T06:30:00Z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ФКУ СИЗО-3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