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Начальная (максимальная) цена государственного контракта,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5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обоснование начальной максимальной цены государственного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00" w:type="dxa"/>
        <w:tblInd w:w="-2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1778"/>
        <w:gridCol w:w="8922"/>
      </w:tblGrid>
      <w:tr>
        <w:tblPrEx/>
        <w:trPr>
          <w:trHeight w:val="559"/>
        </w:trP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1778" w:type="dxa"/>
            <w:vAlign w:val="top"/>
            <w:textDirection w:val="lrTb"/>
            <w:noWrap w:val="false"/>
          </w:tcPr>
          <w:p>
            <w:pPr>
              <w:pStyle w:val="843"/>
            </w:pPr>
            <w:r/>
            <w:r/>
          </w:p>
          <w:p>
            <w:pPr>
              <w:pStyle w:val="843"/>
            </w:pPr>
            <w:r>
              <w:t xml:space="preserve">Основные характеристики объекта закупки</w:t>
            </w:r>
            <w:r/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922" w:type="dxa"/>
            <w:vAlign w:val="top"/>
            <w:textDirection w:val="lrTb"/>
            <w:noWrap w:val="false"/>
          </w:tcPr>
          <w:p>
            <w:pPr>
              <w:ind w:firstLine="492"/>
              <w:jc w:val="both"/>
              <w:spacing w:line="276" w:lineRule="auto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Выполнение работ по текущему ремонту помещений здания, расположенного по адресу: Новгородская область, г. Великий Новгород, ул. Октябрьская, д. 17.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firstLine="492"/>
              <w:jc w:val="both"/>
              <w:spacing w:line="276" w:lineRule="auto"/>
              <w:rPr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3"/>
              <w:ind w:firstLine="492"/>
              <w:jc w:val="both"/>
              <w:spacing w:line="276" w:lineRule="auto"/>
            </w:pPr>
            <w:r>
              <w:t xml:space="preserve">Адрес объекта: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г. Великий Новгород, ул.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Октябрьская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д. 17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/>
          </w:p>
          <w:p>
            <w:pPr>
              <w:ind w:firstLine="492"/>
              <w:jc w:val="both"/>
              <w:spacing w:line="276" w:lineRule="auto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43"/>
              <w:jc w:val="center"/>
              <w:spacing w:line="276" w:lineRule="auto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Общие технические требования: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соответствии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техническим заданием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ребуется выполнить работы по текущему ремонту помещений (санузлов) по адресу: г.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Великий Новгород, ул.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Октябрьская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д. 17 (далее - Объект)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согласно прилагаем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ым документам: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локальный сметный расчет, техническое задание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выполнение раб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от по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текущему ремонту помещений здания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и плану помещений.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Подрядчик самостоятельно обеспечивает производство работ на Объекте всеми необходимыми строительными материалами, изделиями, указанные в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локальном сметном расчете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), инструментами, оборудованием, строительной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техникой.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eastAsia="Tinos" w:cs="Tinos"/>
                <w:sz w:val="24"/>
                <w:szCs w:val="24"/>
                <w:lang w:eastAsia="ru-RU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Материалы, изделия и конструкции должны соответствоват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ь действующим в Российской ф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едерации </w:t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</w:rPr>
              <w:t xml:space="preserve">Государственным стандартам (далее -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ГОСТ) 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Строительным нормам и правил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ам (далее -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СНиП). Все поставляемые на Объект материалы и оборудование должны иметь соответствующие сертификаты (для подлежащих обязательной сертификации), технические паспорта и другие документы, удостоверяющие их качество.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По техническим характеристикам используемые материалы, оборудование, устанавливаемые и заменяемые изделия должны соответствовать указанным в сметах или быть лучшими.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Цветовая гамма материалов и изделий, колер краски до начала работ Подрядчику необходимо согласовать с Заказчиком.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709"/>
              <w:jc w:val="both"/>
              <w:spacing w:before="0" w:beforeAutospacing="0" w:after="0" w:afterAutospacing="0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Для выполнения специализированных работ Исполнитель вправе привлекать третьих лиц.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43"/>
              <w:ind w:firstLine="2619"/>
              <w:spacing w:line="276" w:lineRule="auto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Требования к качеству</w:t>
            </w:r>
            <w:r>
              <w:t xml:space="preserve"> </w:t>
            </w:r>
            <w:r>
              <w:rPr>
                <w:b/>
              </w:rPr>
              <w:t xml:space="preserve">выполняемых работ: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82"/>
              <w:ind w:left="67" w:firstLine="492"/>
              <w:jc w:val="both"/>
              <w:spacing w:line="239" w:lineRule="atLeast"/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Качество выполняемых работ должно соответствовать требованиям действующего законодательства Российской Федерации, в том числе СНиПам, </w:t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</w:rPr>
              <w:t xml:space="preserve">ГОСТам,</w:t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</w:rPr>
              <w:t xml:space="preserve"> Методической документа</w:t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</w:rPr>
              <w:t xml:space="preserve">ции в строительстве.</w:t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</w:p>
          <w:p>
            <w:pPr>
              <w:pStyle w:val="882"/>
              <w:ind w:left="67" w:firstLine="492"/>
              <w:jc w:val="both"/>
              <w:spacing w:line="239" w:lineRule="atLeast"/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pacing w:val="3"/>
                <w:sz w:val="24"/>
                <w:szCs w:val="24"/>
                <w:highlight w:val="none"/>
              </w:rPr>
            </w:r>
          </w:p>
          <w:p>
            <w:pPr>
              <w:contextualSpacing/>
              <w:ind w:firstLine="709"/>
              <w:jc w:val="center"/>
              <w:spacing w:before="0" w:beforeAutospacing="0" w:after="0" w:afterAutospacing="0"/>
              <w:widowControl w:val="off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Краткий перечень и состав работ: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708"/>
              <w:jc w:val="both"/>
              <w:rPr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выполнение работ по текущему рем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онту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санузлов на 3 этаж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е, согл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асно локальному сметному расчету;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contextualSpacing/>
              <w:ind w:firstLine="709"/>
              <w:jc w:val="both"/>
              <w:spacing w:before="0" w:beforeAutospacing="0" w:after="0" w:afterAutospacing="0"/>
              <w:widowControl w:val="off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выполнение работ по текущему рем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онту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санузлов на 4 этаж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е, согл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ru-RU"/>
              </w:rPr>
              <w:t xml:space="preserve">асно локальному сметному расчету.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352"/>
        </w:trP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1778" w:type="dxa"/>
            <w:vAlign w:val="top"/>
            <w:textDirection w:val="lrTb"/>
            <w:noWrap w:val="false"/>
          </w:tcPr>
          <w:p>
            <w:pPr>
              <w:pStyle w:val="843"/>
            </w:pPr>
            <w:r/>
            <w:r/>
          </w:p>
          <w:p>
            <w:pPr>
              <w:pStyle w:val="843"/>
            </w:pPr>
            <w:r>
              <w:t xml:space="preserve">Используемый метод определения НМЦК с обоснованием</w:t>
            </w:r>
            <w:r/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922" w:type="dxa"/>
            <w:vAlign w:val="top"/>
            <w:textDirection w:val="lrTb"/>
            <w:noWrap w:val="false"/>
          </w:tcPr>
          <w:p>
            <w:pPr>
              <w:pStyle w:val="843"/>
              <w:ind w:left="108" w:right="108" w:firstLine="384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Для определения НМЦК Заказчиком использован проектно-сметный метод в соответствии с п. 9.1 ст. 22 Федерального закона от 05.04.2013 «О контрактной системе в сфере закупок товаров, работ, услуг для обеспечения государственных и муниципальных нужд» № 44-ФЗ.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108" w:right="108" w:firstLine="384"/>
              <w:jc w:val="both"/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 Основанием для определения начальной (максимальной) цены контракта являются: </w:t>
            </w:r>
            <w:r>
              <w:rPr>
                <w:rFonts w:ascii="Tinos" w:hAnsi="Tinos" w:eastAsia="Tinos" w:cs="Tinos"/>
              </w:rPr>
              <w:t xml:space="preserve">локальный сметный расчёт (смета)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ЛСР № 6, утверждена  14.08.2026</w:t>
            </w:r>
            <w:r>
              <w:rPr>
                <w:rFonts w:ascii="Tinos" w:hAnsi="Tinos" w:eastAsia="Tinos" w:cs="Tinos"/>
              </w:rPr>
              <w:t xml:space="preserve">; </w:t>
            </w:r>
            <w:r>
              <w:rPr>
                <w:rFonts w:ascii="Tinos" w:hAnsi="Tinos" w:eastAsia="Tinos" w:cs="Tinos"/>
              </w:rPr>
              <w:t xml:space="preserve">локальный сметный расчёт (смета)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ЛСР № 7, утверждена  14.08.2026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составленная </w:t>
            </w:r>
            <w:r>
              <w:rPr>
                <w:rFonts w:ascii="Tinos" w:hAnsi="Tinos" w:eastAsia="Tinos" w:cs="Tinos"/>
              </w:rPr>
              <w:t xml:space="preserve">с использованием ресурсно-индексного метода на основании </w:t>
            </w:r>
            <w:r>
              <w:rPr>
                <w:rFonts w:ascii="Tinos" w:hAnsi="Tinos" w:eastAsia="Tinos" w:cs="Tinos"/>
                <w:highlight w:val="white"/>
              </w:rPr>
              <w:t xml:space="preserve">Приказа Минстроя России от 04.08.2020 № 421/пр</w:t>
            </w:r>
            <w:r>
              <w:rPr>
                <w:rFonts w:ascii="Tinos" w:hAnsi="Tinos" w:eastAsia="Tinos" w:cs="Tinos"/>
                <w:highlight w:val="white"/>
              </w:rPr>
              <w:t xml:space="preserve">.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</w:tr>
      <w:tr>
        <w:tblPrEx/>
        <w:trPr>
          <w:trHeight w:val="1234"/>
        </w:trP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1778" w:type="dxa"/>
            <w:vAlign w:val="top"/>
            <w:textDirection w:val="lrTb"/>
            <w:noWrap w:val="false"/>
          </w:tcPr>
          <w:p>
            <w:pPr>
              <w:pStyle w:val="843"/>
            </w:pPr>
            <w:r/>
            <w:r/>
          </w:p>
          <w:p>
            <w:pPr>
              <w:pStyle w:val="843"/>
            </w:pPr>
            <w:r>
              <w:t xml:space="preserve">Расчет НМЦК</w:t>
            </w:r>
            <w:r/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922" w:type="dxa"/>
            <w:vAlign w:val="top"/>
            <w:textDirection w:val="lrTb"/>
            <w:noWrap w:val="false"/>
          </w:tcPr>
          <w:p>
            <w:pPr>
              <w:pStyle w:val="843"/>
              <w:ind w:firstLine="634"/>
              <w:jc w:val="both"/>
              <w:spacing w:before="280" w:after="28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Начальная (максимальная) цена контракта составляет 188 048,25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руб., исходя из </w:t>
            </w:r>
            <w:r>
              <w:rPr>
                <w:rFonts w:ascii="Tinos" w:hAnsi="Tinos" w:eastAsia="Tinos" w:cs="Tinos"/>
              </w:rPr>
              <w:t xml:space="preserve">локального сметного расчёта (смета) </w:t>
            </w:r>
            <w:r>
              <w:rPr>
                <w:rFonts w:ascii="Tinos" w:hAnsi="Tinos" w:eastAsia="Tinos" w:cs="Tinos"/>
              </w:rPr>
              <w:t xml:space="preserve">ЛСР № 6, утвержденного 14.08.2026</w:t>
            </w:r>
            <w:r>
              <w:rPr>
                <w:rFonts w:ascii="Tinos" w:hAnsi="Tinos" w:cs="Tinos"/>
              </w:rPr>
              <w:t xml:space="preserve">,  л</w:t>
            </w:r>
            <w:r>
              <w:rPr>
                <w:rFonts w:ascii="Tinos" w:hAnsi="Tinos" w:eastAsia="Tinos" w:cs="Tinos"/>
              </w:rPr>
              <w:t xml:space="preserve">окального сметного расчёта (смета) </w:t>
            </w:r>
            <w:r>
              <w:rPr>
                <w:rFonts w:ascii="Tinos" w:hAnsi="Tinos" w:eastAsia="Tinos" w:cs="Tinos"/>
              </w:rPr>
              <w:t xml:space="preserve">ЛСР № 7, утвержденного  14.08.2026.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843"/>
              <w:ind w:firstLine="634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Приложение: </w:t>
            </w:r>
            <w:r>
              <w:rPr>
                <w:rFonts w:ascii="Tinos" w:hAnsi="Tinos" w:eastAsia="Tinos" w:cs="Tinos"/>
              </w:rPr>
              <w:t xml:space="preserve">локальный сметный расчёт (смета) </w:t>
            </w:r>
            <w:r>
              <w:rPr>
                <w:rFonts w:ascii="Tinos" w:hAnsi="Tinos" w:eastAsia="Tinos" w:cs="Tinos"/>
              </w:rPr>
              <w:t xml:space="preserve">ЛСР № 6 </w:t>
            </w:r>
            <w:r>
              <w:rPr>
                <w:rFonts w:ascii="Tinos" w:hAnsi="Tinos" w:eastAsia="Tinos" w:cs="Tinos"/>
              </w:rPr>
              <w:t xml:space="preserve">на 10</w:t>
            </w:r>
            <w:r>
              <w:rPr>
                <w:rFonts w:ascii="Tinos" w:hAnsi="Tinos" w:eastAsia="Tinos" w:cs="Tinos"/>
              </w:rPr>
              <w:t xml:space="preserve"> листах; </w:t>
            </w:r>
            <w:r>
              <w:rPr>
                <w:rFonts w:ascii="Tinos" w:hAnsi="Tinos" w:eastAsia="Tinos" w:cs="Tinos"/>
              </w:rPr>
              <w:t xml:space="preserve">локальный сметный расчёт (смета) </w:t>
            </w:r>
            <w:r>
              <w:rPr>
                <w:rFonts w:ascii="Tinos" w:hAnsi="Tinos" w:eastAsia="Tinos" w:cs="Tinos"/>
              </w:rPr>
              <w:t xml:space="preserve">ЛСР № 7 </w:t>
            </w:r>
            <w:r>
              <w:rPr>
                <w:rFonts w:ascii="Tinos" w:hAnsi="Tinos" w:eastAsia="Tinos" w:cs="Tinos"/>
              </w:rPr>
              <w:t xml:space="preserve">на 10 </w:t>
            </w:r>
            <w:r>
              <w:rPr>
                <w:rFonts w:ascii="Tinos" w:hAnsi="Tinos" w:eastAsia="Tinos" w:cs="Tinos"/>
              </w:rPr>
              <w:t xml:space="preserve">листах.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92"/>
        </w:trP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0700" w:type="dxa"/>
            <w:vAlign w:val="center"/>
            <w:textDirection w:val="lrTb"/>
            <w:noWrap w:val="false"/>
          </w:tcPr>
          <w:p>
            <w:pPr>
              <w:pStyle w:val="843"/>
              <w:ind w:firstLine="180"/>
              <w:jc w:val="center"/>
            </w:pPr>
            <w:r>
              <w:t xml:space="preserve">Дата подготовки обоснования НМЦК:17.08.2026</w:t>
            </w:r>
            <w:r>
              <w:t xml:space="preserve"> года</w:t>
            </w:r>
            <w:r/>
          </w:p>
        </w:tc>
      </w:tr>
    </w:tbl>
    <w:p>
      <w:pPr>
        <w:pStyle w:val="843"/>
        <w:jc w:val="both"/>
      </w:pPr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851" w:right="567" w:bottom="567" w:left="567" w:header="624" w:footer="62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Tahoma">
    <w:panose1 w:val="020B0604030504040204"/>
  </w:font>
  <w:font w:name="Lucida Sans Unicode">
    <w:panose1 w:val="020B0502040504020204"/>
  </w:font>
  <w:font w:name="Courier New">
    <w:panose1 w:val="02070409020205020404"/>
  </w:font>
  <w:font w:name="Mangal">
    <w:panose1 w:val="02040503050306020203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844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4" w:hanging="510"/>
      </w:pPr>
      <w:rPr>
        <w:rFonts w:ascii="Calibri" w:hAnsi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3"/>
    <w:next w:val="843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3"/>
    <w:next w:val="843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3"/>
    <w:next w:val="843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3"/>
    <w:next w:val="843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3"/>
    <w:next w:val="843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3"/>
    <w:next w:val="843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3"/>
    <w:next w:val="843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3"/>
    <w:next w:val="843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3"/>
    <w:next w:val="843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3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695"/>
    <w:uiPriority w:val="99"/>
  </w:style>
  <w:style w:type="table" w:styleId="6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next w:val="843"/>
    <w:link w:val="843"/>
    <w:qFormat/>
    <w:rPr>
      <w:sz w:val="24"/>
      <w:szCs w:val="24"/>
      <w:lang w:val="ru-RU" w:eastAsia="ar-SA" w:bidi="ar-SA"/>
    </w:rPr>
  </w:style>
  <w:style w:type="paragraph" w:styleId="844">
    <w:name w:val="Заголовок 5"/>
    <w:basedOn w:val="843"/>
    <w:next w:val="870"/>
    <w:link w:val="843"/>
    <w:qFormat/>
    <w:pPr>
      <w:numPr>
        <w:ilvl w:val="4"/>
        <w:numId w:val="1"/>
      </w:numPr>
      <w:keepNext/>
      <w:spacing w:before="240" w:after="120"/>
      <w:widowControl w:val="off"/>
      <w:outlineLvl w:val="4"/>
    </w:pPr>
    <w:rPr>
      <w:rFonts w:ascii="Arial" w:hAnsi="Arial" w:eastAsia="Lucida Sans Unicode" w:cs="Mangal"/>
      <w:b/>
      <w:bCs/>
    </w:rPr>
  </w:style>
  <w:style w:type="character" w:styleId="845">
    <w:name w:val="Основной шрифт абзаца"/>
    <w:next w:val="845"/>
    <w:link w:val="843"/>
    <w:semiHidden/>
  </w:style>
  <w:style w:type="table" w:styleId="846">
    <w:name w:val="Обычная таблица"/>
    <w:next w:val="846"/>
    <w:link w:val="843"/>
    <w:semiHidden/>
    <w:tblPr/>
  </w:style>
  <w:style w:type="numbering" w:styleId="847">
    <w:name w:val="Нет списка"/>
    <w:next w:val="847"/>
    <w:link w:val="843"/>
    <w:semiHidden/>
  </w:style>
  <w:style w:type="character" w:styleId="848">
    <w:name w:val="WW8Num1z0"/>
    <w:next w:val="848"/>
    <w:link w:val="843"/>
  </w:style>
  <w:style w:type="character" w:styleId="849">
    <w:name w:val="WW8Num1z1"/>
    <w:next w:val="849"/>
    <w:link w:val="843"/>
  </w:style>
  <w:style w:type="character" w:styleId="850">
    <w:name w:val="WW8Num1z2"/>
    <w:next w:val="850"/>
    <w:link w:val="843"/>
  </w:style>
  <w:style w:type="character" w:styleId="851">
    <w:name w:val="WW8Num1z3"/>
    <w:next w:val="851"/>
    <w:link w:val="843"/>
  </w:style>
  <w:style w:type="character" w:styleId="852">
    <w:name w:val="WW8Num1z4"/>
    <w:next w:val="852"/>
    <w:link w:val="843"/>
  </w:style>
  <w:style w:type="character" w:styleId="853">
    <w:name w:val="WW8Num1z5"/>
    <w:next w:val="853"/>
    <w:link w:val="843"/>
  </w:style>
  <w:style w:type="character" w:styleId="854">
    <w:name w:val="WW8Num1z6"/>
    <w:next w:val="854"/>
    <w:link w:val="843"/>
  </w:style>
  <w:style w:type="character" w:styleId="855">
    <w:name w:val="WW8Num1z7"/>
    <w:next w:val="855"/>
    <w:link w:val="843"/>
  </w:style>
  <w:style w:type="character" w:styleId="856">
    <w:name w:val="WW8Num1z8"/>
    <w:next w:val="856"/>
    <w:link w:val="843"/>
  </w:style>
  <w:style w:type="character" w:styleId="857">
    <w:name w:val="WW8Num2z0"/>
    <w:next w:val="857"/>
    <w:link w:val="843"/>
  </w:style>
  <w:style w:type="character" w:styleId="858">
    <w:name w:val="WW8Num2z1"/>
    <w:next w:val="858"/>
    <w:link w:val="843"/>
  </w:style>
  <w:style w:type="character" w:styleId="859">
    <w:name w:val="WW8Num2z2"/>
    <w:next w:val="859"/>
    <w:link w:val="843"/>
  </w:style>
  <w:style w:type="character" w:styleId="860">
    <w:name w:val="WW8Num2z3"/>
    <w:next w:val="860"/>
    <w:link w:val="843"/>
  </w:style>
  <w:style w:type="character" w:styleId="861">
    <w:name w:val="WW8Num2z4"/>
    <w:next w:val="861"/>
    <w:link w:val="843"/>
  </w:style>
  <w:style w:type="character" w:styleId="862">
    <w:name w:val="WW8Num2z5"/>
    <w:next w:val="862"/>
    <w:link w:val="843"/>
  </w:style>
  <w:style w:type="character" w:styleId="863">
    <w:name w:val="WW8Num2z6"/>
    <w:next w:val="863"/>
    <w:link w:val="843"/>
  </w:style>
  <w:style w:type="character" w:styleId="864">
    <w:name w:val="WW8Num2z7"/>
    <w:next w:val="864"/>
    <w:link w:val="843"/>
  </w:style>
  <w:style w:type="character" w:styleId="865">
    <w:name w:val="WW8Num2z8"/>
    <w:next w:val="865"/>
    <w:link w:val="843"/>
  </w:style>
  <w:style w:type="character" w:styleId="866">
    <w:name w:val="Основной шрифт абзаца1"/>
    <w:next w:val="866"/>
    <w:link w:val="843"/>
  </w:style>
  <w:style w:type="character" w:styleId="867">
    <w:name w:val=" Знак Знак"/>
    <w:next w:val="867"/>
    <w:link w:val="843"/>
    <w:rPr>
      <w:rFonts w:ascii="Tahoma" w:hAnsi="Tahoma" w:eastAsia="Times New Roman" w:cs="Tahoma"/>
      <w:sz w:val="16"/>
      <w:szCs w:val="16"/>
      <w:lang w:val="en-US" w:eastAsia="ar-SA" w:bidi="ar-SA"/>
    </w:rPr>
  </w:style>
  <w:style w:type="character" w:styleId="868">
    <w:name w:val="Гиперссылка"/>
    <w:next w:val="868"/>
    <w:link w:val="843"/>
    <w:rPr>
      <w:color w:val="0000ff"/>
      <w:u w:val="single"/>
    </w:rPr>
  </w:style>
  <w:style w:type="paragraph" w:styleId="869">
    <w:name w:val="Заголовок"/>
    <w:basedOn w:val="843"/>
    <w:next w:val="870"/>
    <w:link w:val="843"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870">
    <w:name w:val="Основной текст"/>
    <w:basedOn w:val="843"/>
    <w:next w:val="870"/>
    <w:link w:val="843"/>
    <w:pPr>
      <w:spacing w:before="0" w:after="120"/>
    </w:pPr>
  </w:style>
  <w:style w:type="paragraph" w:styleId="871">
    <w:name w:val="Список"/>
    <w:basedOn w:val="870"/>
    <w:next w:val="871"/>
    <w:link w:val="843"/>
    <w:rPr>
      <w:rFonts w:cs="Mangal"/>
    </w:rPr>
  </w:style>
  <w:style w:type="paragraph" w:styleId="872">
    <w:name w:val="Название1"/>
    <w:basedOn w:val="843"/>
    <w:next w:val="872"/>
    <w:link w:val="843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73">
    <w:name w:val="Указатель1"/>
    <w:basedOn w:val="843"/>
    <w:next w:val="873"/>
    <w:link w:val="843"/>
    <w:pPr>
      <w:suppressLineNumbers/>
    </w:pPr>
    <w:rPr>
      <w:rFonts w:cs="Mangal"/>
    </w:rPr>
  </w:style>
  <w:style w:type="paragraph" w:styleId="874">
    <w:name w:val="Текст выноски"/>
    <w:basedOn w:val="843"/>
    <w:next w:val="874"/>
    <w:link w:val="843"/>
    <w:rPr>
      <w:rFonts w:ascii="Tahoma" w:hAnsi="Tahoma" w:cs="Tahoma"/>
      <w:sz w:val="16"/>
      <w:szCs w:val="16"/>
    </w:rPr>
  </w:style>
  <w:style w:type="paragraph" w:styleId="875">
    <w:name w:val="Normal1"/>
    <w:next w:val="875"/>
    <w:link w:val="843"/>
    <w:rPr>
      <w:sz w:val="24"/>
      <w:lang w:val="ru-RU" w:eastAsia="ar-SA" w:bidi="ar-SA"/>
    </w:rPr>
  </w:style>
  <w:style w:type="paragraph" w:styleId="876">
    <w:name w:val="ConsPlusNormal"/>
    <w:next w:val="876"/>
    <w:link w:val="843"/>
    <w:rPr>
      <w:rFonts w:ascii="Arial" w:hAnsi="Arial" w:cs="Arial"/>
      <w:lang w:val="ru-RU" w:eastAsia="ar-SA" w:bidi="ar-SA"/>
    </w:rPr>
  </w:style>
  <w:style w:type="paragraph" w:styleId="877">
    <w:name w:val="Обычный (веб)"/>
    <w:basedOn w:val="843"/>
    <w:next w:val="877"/>
    <w:link w:val="843"/>
    <w:pPr>
      <w:spacing w:before="280" w:after="280"/>
    </w:pPr>
  </w:style>
  <w:style w:type="paragraph" w:styleId="878">
    <w:name w:val="Содержимое таблицы"/>
    <w:basedOn w:val="843"/>
    <w:next w:val="878"/>
    <w:link w:val="843"/>
    <w:pPr>
      <w:suppressLineNumbers/>
    </w:pPr>
  </w:style>
  <w:style w:type="paragraph" w:styleId="879">
    <w:name w:val="Заголовок таблицы"/>
    <w:basedOn w:val="878"/>
    <w:next w:val="879"/>
    <w:link w:val="843"/>
    <w:pPr>
      <w:jc w:val="center"/>
      <w:suppressLineNumbers/>
    </w:pPr>
    <w:rPr>
      <w:b/>
      <w:bCs/>
    </w:rPr>
  </w:style>
  <w:style w:type="paragraph" w:styleId="880">
    <w:name w:val="Абзац списка,Варианты ответов,Bullet List,FooterText,numbered"/>
    <w:basedOn w:val="843"/>
    <w:next w:val="880"/>
    <w:link w:val="888"/>
    <w:uiPriority w:val="34"/>
    <w:qFormat/>
    <w:pPr>
      <w:ind w:left="720" w:firstLine="567"/>
      <w:jc w:val="both"/>
      <w:spacing w:line="360" w:lineRule="auto"/>
    </w:pPr>
    <w:rPr>
      <w:sz w:val="28"/>
      <w:szCs w:val="20"/>
    </w:rPr>
  </w:style>
  <w:style w:type="character" w:styleId="881">
    <w:name w:val="iceouttxt5"/>
    <w:next w:val="881"/>
    <w:link w:val="843"/>
    <w:rPr>
      <w:rFonts w:ascii="Arial" w:hAnsi="Arial" w:cs="Arial"/>
      <w:color w:val="666666"/>
      <w:sz w:val="17"/>
      <w:szCs w:val="17"/>
    </w:rPr>
  </w:style>
  <w:style w:type="paragraph" w:styleId="882">
    <w:name w:val="List Paragraph"/>
    <w:basedOn w:val="843"/>
    <w:next w:val="882"/>
    <w:link w:val="843"/>
    <w:pPr>
      <w:ind w:left="720"/>
      <w:widowControl w:val="off"/>
    </w:pPr>
    <w:rPr>
      <w:sz w:val="20"/>
      <w:szCs w:val="20"/>
    </w:rPr>
  </w:style>
  <w:style w:type="character" w:styleId="883">
    <w:name w:val="Основной текст + 9;5 pt;Не полужирный;Интервал 0 pt"/>
    <w:next w:val="883"/>
    <w:link w:val="843"/>
    <w:rPr>
      <w:b/>
      <w:bCs/>
      <w:color w:val="000000"/>
      <w:spacing w:val="2"/>
      <w:position w:val="0"/>
      <w:sz w:val="19"/>
      <w:szCs w:val="19"/>
      <w:shd w:val="clear" w:color="auto" w:fill="ffffff"/>
      <w:lang w:val="ru-RU" w:eastAsia="ru-RU" w:bidi="ru-RU"/>
    </w:rPr>
  </w:style>
  <w:style w:type="paragraph" w:styleId="884">
    <w:name w:val="Верхний колонтитул"/>
    <w:basedOn w:val="843"/>
    <w:next w:val="884"/>
    <w:link w:val="885"/>
    <w:pPr>
      <w:tabs>
        <w:tab w:val="center" w:pos="4677" w:leader="none"/>
        <w:tab w:val="right" w:pos="9355" w:leader="none"/>
      </w:tabs>
    </w:pPr>
  </w:style>
  <w:style w:type="character" w:styleId="885">
    <w:name w:val="Верхний колонтитул Знак"/>
    <w:next w:val="885"/>
    <w:link w:val="884"/>
    <w:rPr>
      <w:sz w:val="24"/>
      <w:szCs w:val="24"/>
      <w:lang w:eastAsia="ar-SA"/>
    </w:rPr>
  </w:style>
  <w:style w:type="paragraph" w:styleId="886">
    <w:name w:val="Нижний колонтитул"/>
    <w:basedOn w:val="843"/>
    <w:next w:val="886"/>
    <w:link w:val="887"/>
    <w:pPr>
      <w:tabs>
        <w:tab w:val="center" w:pos="4677" w:leader="none"/>
        <w:tab w:val="right" w:pos="9355" w:leader="none"/>
      </w:tabs>
    </w:pPr>
  </w:style>
  <w:style w:type="character" w:styleId="887">
    <w:name w:val="Нижний колонтитул Знак"/>
    <w:next w:val="887"/>
    <w:link w:val="886"/>
    <w:rPr>
      <w:sz w:val="24"/>
      <w:szCs w:val="24"/>
      <w:lang w:eastAsia="ar-SA"/>
    </w:rPr>
  </w:style>
  <w:style w:type="character" w:styleId="888">
    <w:name w:val="Абзац списка Знак,Варианты ответов Знак,Bullet List Знак,FooterText Знак,numbered Знак"/>
    <w:next w:val="888"/>
    <w:link w:val="880"/>
    <w:uiPriority w:val="34"/>
    <w:rPr>
      <w:sz w:val="28"/>
      <w:lang w:eastAsia="ar-SA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  <w:style w:type="character" w:styleId="892" w:customStyle="1">
    <w:name w:val="Заголовок №1_"/>
    <w:link w:val="861"/>
    <w:uiPriority w:val="99"/>
    <w:rPr>
      <w:b/>
      <w:bCs/>
      <w:spacing w:val="1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начальной (максимальной) цены контракта</dc:title>
  <dc:creator>irinad</dc:creator>
  <cp:revision>46</cp:revision>
  <dcterms:created xsi:type="dcterms:W3CDTF">2017-08-10T07:52:00Z</dcterms:created>
  <dcterms:modified xsi:type="dcterms:W3CDTF">2026-08-20T12:27:29Z</dcterms:modified>
  <cp:version>1048576</cp:version>
</cp:coreProperties>
</file>