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0A43410"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определения и (или) обоснования НМЦК, </w:t>
      </w:r>
      <w:r>
        <w:rPr>
          <w:rFonts w:ascii="Times New Roman" w:hAnsi="Times New Roman" w:cs="Times New Roman"/>
          <w:sz w:val="20"/>
          <w:szCs w:val="20"/>
        </w:rPr>
        <w:t xml:space="preserve">НМЦД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ЦК</w:t>
      </w:r>
      <w:r>
        <w:rPr>
          <w:rFonts w:ascii="Times New Roman" w:hAnsi="Times New Roman" w:cs="Times New Roman"/>
          <w:sz w:val="20"/>
          <w:szCs w:val="20"/>
        </w:rPr>
        <w:t xml:space="preserve">, ЦД</w:t>
      </w:r>
      <w:r>
        <w:rPr>
          <w:rFonts w:ascii="Times New Roman" w:hAnsi="Times New Roman" w:cs="Times New Roman"/>
          <w:sz w:val="20"/>
          <w:szCs w:val="20"/>
        </w:rPr>
        <w:t xml:space="preserve">, НЦЕ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Расчет НМЦК, </w:t>
      </w:r>
      <w:r>
        <w:rPr>
          <w:rFonts w:ascii="Times New Roman" w:hAnsi="Times New Roman" w:cs="Times New Roman"/>
          <w:b/>
          <w:sz w:val="20"/>
          <w:szCs w:val="20"/>
        </w:rPr>
        <w:t xml:space="preserve">НМЦД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ЦК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 xml:space="preserve">ЦД</w:t>
      </w:r>
      <w:r>
        <w:rPr>
          <w:rFonts w:ascii="Times New Roman" w:hAnsi="Times New Roman" w:cs="Times New Roman"/>
          <w:b/>
          <w:sz w:val="20"/>
          <w:szCs w:val="20"/>
        </w:rPr>
        <w:t xml:space="preserve">, НЦЕ (</w:t>
      </w:r>
      <w:r>
        <w:rPr>
          <w:rFonts w:ascii="Times New Roman" w:hAnsi="Times New Roman" w:cs="Times New Roman"/>
          <w:b/>
          <w:sz w:val="20"/>
          <w:szCs w:val="20"/>
        </w:rPr>
        <w:t xml:space="preserve">нужное</w:t>
      </w:r>
      <w:r>
        <w:rPr>
          <w:rFonts w:ascii="Times New Roman" w:hAnsi="Times New Roman" w:cs="Times New Roman"/>
          <w:b/>
          <w:sz w:val="20"/>
          <w:szCs w:val="20"/>
        </w:rPr>
        <w:t xml:space="preserve"> подчеркнуть) методом сопоставимых рыночных цен (анализа рынка), являющимся приоритетным для определения и обоснования НМЦК, </w:t>
      </w:r>
      <w:r>
        <w:rPr>
          <w:rFonts w:ascii="Times New Roman" w:hAnsi="Times New Roman" w:cs="Times New Roman"/>
          <w:b/>
          <w:sz w:val="20"/>
          <w:szCs w:val="20"/>
        </w:rPr>
        <w:t xml:space="preserve">НМЦД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ЦК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u w:val="none"/>
        </w:rPr>
        <w:t xml:space="preserve">ЦД</w:t>
      </w:r>
      <w:r>
        <w:rPr>
          <w:rFonts w:ascii="Times New Roman" w:hAnsi="Times New Roman" w:cs="Times New Roman"/>
          <w:b/>
          <w:sz w:val="20"/>
          <w:szCs w:val="20"/>
        </w:rPr>
        <w:t xml:space="preserve">, НЦЕ (нужное подчеркнуть)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  <w:b/>
          <w:bCs/>
          <w:sz w:val="20"/>
          <w:szCs w:val="20"/>
          <w:highlight w:val="none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Объект закупки</w:t>
      </w:r>
      <w:r>
        <w:rPr>
          <w:rFonts w:ascii="Times New Roman" w:hAnsi="Times New Roman" w:cs="Times New Roman"/>
          <w:b/>
          <w:sz w:val="20"/>
          <w:szCs w:val="20"/>
        </w:rPr>
        <w:t xml:space="preserve">: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 Поставка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картриджей для МФУ</w:t>
      </w:r>
      <w:r>
        <w:rPr>
          <w:rFonts w:ascii="Times New Roman" w:hAnsi="Times New Roman"/>
          <w:b/>
          <w:bCs/>
          <w:sz w:val="20"/>
          <w:szCs w:val="20"/>
          <w:highlight w:val="none"/>
          <w:u w:val="single"/>
        </w:rPr>
      </w:r>
      <w:r>
        <w:rPr>
          <w:rFonts w:ascii="Times New Roman" w:hAnsi="Times New Roman"/>
          <w:b/>
          <w:bCs/>
          <w:sz w:val="20"/>
          <w:szCs w:val="20"/>
          <w:highlight w:val="none"/>
          <w:u w:val="single"/>
        </w:rPr>
      </w:r>
    </w:p>
    <w:p w14:paraId="716AF863">
      <w:pPr>
        <w:pStyle w:val="897"/>
        <w:pBdr/>
        <w:spacing w:after="0"/>
        <w:ind w:right="0" w:firstLine="567"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Начальная (максимальная) цена контракта сформирована в соответствии с М</w:t>
      </w:r>
      <w:r>
        <w:rPr>
          <w:rFonts w:ascii="Times New Roman" w:hAnsi="Times New Roman" w:cs="Times New Roman"/>
          <w:sz w:val="20"/>
          <w:szCs w:val="20"/>
        </w:rPr>
        <w:t xml:space="preserve">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4A4E55B9">
      <w:pPr>
        <w:pStyle w:val="862"/>
        <w:pBdr/>
        <w:spacing/>
        <w:ind w:firstLine="567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 w:eastAsia="Times New Roman"/>
          <w:sz w:val="20"/>
          <w:szCs w:val="20"/>
        </w:rPr>
        <w:t xml:space="preserve">Валюта, используемая для формирования цены контракта и расчетов с поставщиком – Российский рубль.</w:t>
      </w:r>
      <w:r>
        <w:rPr>
          <w:rFonts w:ascii="Times New Roman" w:hAnsi="Times New Roman" w:eastAsia="Times New Roman"/>
          <w:sz w:val="20"/>
          <w:szCs w:val="20"/>
        </w:rPr>
      </w:r>
      <w:r>
        <w:rPr>
          <w:rFonts w:ascii="Times New Roman" w:hAnsi="Times New Roman" w:eastAsia="Times New Roman"/>
          <w:sz w:val="20"/>
          <w:szCs w:val="20"/>
        </w:rPr>
      </w:r>
    </w:p>
    <w:p w14:paraId="0A36F862">
      <w:pPr>
        <w:pStyle w:val="862"/>
        <w:pBdr/>
        <w:spacing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 w14:paraId="3B6A7AF6">
      <w:pPr>
        <w:pStyle w:val="897"/>
        <w:pBdr/>
        <w:spacing/>
        <w:ind w:firstLine="567"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целях получения ценовой информации в отношении объекта закупки для определения начальной (максимальной) цены контракта заказчиком: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 w14:paraId="030F2F64">
      <w:pPr>
        <w:pStyle w:val="897"/>
        <w:numPr>
          <w:ilvl w:val="3"/>
          <w:numId w:val="4"/>
        </w:numPr>
        <w:pBdr/>
        <w:spacing/>
        <w:ind w:right="0" w:firstLine="567"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Особенности определения начальной максимальной цены </w:t>
      </w:r>
      <w:r>
        <w:rPr>
          <w:rFonts w:ascii="Times New Roman" w:hAnsi="Times New Roman"/>
          <w:sz w:val="20"/>
          <w:szCs w:val="20"/>
        </w:rPr>
        <w:t xml:space="preserve">контракта</w:t>
      </w:r>
      <w:r>
        <w:rPr>
          <w:rFonts w:ascii="Times New Roman" w:hAnsi="Times New Roman"/>
          <w:sz w:val="20"/>
          <w:szCs w:val="20"/>
        </w:rPr>
        <w:t xml:space="preserve"> предусмотренные </w:t>
      </w:r>
      <w:r>
        <w:rPr>
          <w:rFonts w:ascii="Times New Roman" w:hAnsi="Times New Roman"/>
          <w:sz w:val="20"/>
          <w:szCs w:val="20"/>
        </w:rPr>
        <w:t xml:space="preserve">пп</w:t>
      </w:r>
      <w:r>
        <w:rPr>
          <w:rFonts w:ascii="Times New Roman" w:hAnsi="Times New Roman"/>
          <w:sz w:val="20"/>
          <w:szCs w:val="20"/>
        </w:rPr>
        <w:t xml:space="preserve">. в  п. 7 Постановления Правительства</w:t>
      </w:r>
      <w:r>
        <w:rPr>
          <w:rFonts w:ascii="Times New Roman" w:hAnsi="Times New Roman"/>
          <w:sz w:val="20"/>
          <w:szCs w:val="20"/>
        </w:rPr>
        <w:t xml:space="preserve">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 не применяются.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 w14:paraId="33114E16">
      <w:pPr>
        <w:pStyle w:val="897"/>
        <w:numPr>
          <w:ilvl w:val="3"/>
          <w:numId w:val="4"/>
        </w:numPr>
        <w:pBdr/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</w:t>
      </w:r>
      <w:r>
        <w:rPr>
          <w:rFonts w:ascii="Times New Roman" w:hAnsi="Times New Roman"/>
          <w:sz w:val="20"/>
          <w:szCs w:val="20"/>
          <w:u w:val="none"/>
        </w:rPr>
        <w:t xml:space="preserve">дал результаты</w:t>
      </w:r>
      <w:r>
        <w:rPr>
          <w:rFonts w:ascii="Times New Roman" w:hAnsi="Times New Roman"/>
          <w:sz w:val="20"/>
          <w:szCs w:val="20"/>
          <w:u w:val="non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или результатов </w:t>
      </w:r>
      <w:r>
        <w:rPr>
          <w:rFonts w:ascii="Times New Roman" w:hAnsi="Times New Roman"/>
          <w:sz w:val="20"/>
          <w:szCs w:val="20"/>
          <w:u w:val="single"/>
        </w:rPr>
        <w:t xml:space="preserve">не дал </w:t>
      </w:r>
      <w:r>
        <w:rPr>
          <w:rFonts w:ascii="Times New Roman" w:hAnsi="Times New Roman"/>
          <w:sz w:val="20"/>
          <w:szCs w:val="20"/>
        </w:rPr>
        <w:t xml:space="preserve">(</w:t>
      </w:r>
      <w:r>
        <w:rPr>
          <w:rFonts w:ascii="Times New Roman" w:hAnsi="Times New Roman"/>
          <w:sz w:val="20"/>
          <w:szCs w:val="20"/>
        </w:rPr>
        <w:t xml:space="preserve">нужное</w:t>
      </w:r>
      <w:r>
        <w:rPr>
          <w:rFonts w:ascii="Times New Roman" w:hAnsi="Times New Roman"/>
          <w:sz w:val="20"/>
          <w:szCs w:val="20"/>
        </w:rPr>
        <w:t xml:space="preserve"> подчеркнуть).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</w:p>
    <w:tbl>
      <w:tblPr>
        <w:tblStyle w:val="898"/>
        <w:tblW w:w="5000" w:type="pct"/>
        <w:tblBorders/>
        <w:tblLook w:val="04A0" w:firstRow="1" w:lastRow="0" w:firstColumn="1" w:lastColumn="0" w:noHBand="0" w:noVBand="1"/>
      </w:tblPr>
      <w:tblGrid>
        <w:gridCol w:w="815"/>
        <w:gridCol w:w="4194"/>
        <w:gridCol w:w="4194"/>
        <w:gridCol w:w="6411"/>
      </w:tblGrid>
      <w:tr>
        <w:trPr>
          <w:trHeight w:val="113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1" w:type="pct"/>
            <w:textDirection w:val="lrTb"/>
            <w:noWrap w:val="false"/>
          </w:tcPr>
          <w:p w14:paraId="2DE12D00"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textDirection w:val="lrTb"/>
            <w:noWrap w:val="false"/>
          </w:tcPr>
          <w:p w14:paraId="5340E0D6">
            <w:pPr>
              <w:pBdr/>
              <w:tabs>
                <w:tab w:val="center" w:leader="none" w:pos="2656"/>
                <w:tab w:val="left" w:leader="none" w:pos="4395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источник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textDirection w:val="lrTb"/>
            <w:noWrap w:val="false"/>
          </w:tcPr>
          <w:p w14:paraId="36C199C9"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Краткая информация о Поставщике, Подрядчике, Исполнителе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53" w:type="pct"/>
            <w:textDirection w:val="lrTb"/>
            <w:noWrap w:val="false"/>
          </w:tcPr>
          <w:p w14:paraId="2F0088AA"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Причина использования или невозможности использования ценовой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15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1" w:type="pct"/>
            <w:vAlign w:val="center"/>
            <w:textDirection w:val="lrTb"/>
            <w:noWrap w:val="false"/>
          </w:tcPr>
          <w:p w14:paraId="48BC87B4"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textDirection w:val="lrTb"/>
            <w:noWrap w:val="false"/>
          </w:tcPr>
          <w:p w14:paraId="19047035">
            <w:pPr>
              <w:pBdr/>
              <w:tabs>
                <w:tab w:val="left" w:leader="none" w:pos="1046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https://obespechat.ru/oplata/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vAlign w:val="center"/>
            <w:textDirection w:val="lrTb"/>
            <w:noWrap w:val="false"/>
          </w:tcPr>
          <w:p w14:paraId="2C80F963"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поставляющий товар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53" w:type="pct"/>
            <w:vAlign w:val="center"/>
            <w:textDirection w:val="lrTb"/>
            <w:noWrap w:val="false"/>
          </w:tcPr>
          <w:p w14:paraId="3DF28BD5"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соответствуют требованиям заказчика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32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1" w:type="pct"/>
            <w:vAlign w:val="center"/>
            <w:textDirection w:val="lrTb"/>
            <w:noWrap w:val="false"/>
          </w:tcPr>
          <w:p w14:paraId="761E8431"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textDirection w:val="lrTb"/>
            <w:noWrap w:val="false"/>
          </w:tcPr>
          <w:p w14:paraId="5F202144">
            <w:pPr>
              <w:pBdr/>
              <w:tabs>
                <w:tab w:val="left" w:leader="none" w:pos="1046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https://print-dv.ru/oplata-i-dostavka/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vAlign w:val="center"/>
            <w:textDirection w:val="lrTb"/>
            <w:noWrap w:val="false"/>
          </w:tcPr>
          <w:p w14:paraId="634B441B"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поставляющий товар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53" w:type="pct"/>
            <w:vAlign w:val="center"/>
            <w:textDirection w:val="lrTb"/>
            <w:noWrap w:val="false"/>
          </w:tcPr>
          <w:p w14:paraId="4235BA9C"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доставки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соответствует требованиям заказчика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329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1" w:type="pct"/>
            <w:vAlign w:val="center"/>
            <w:textDirection w:val="lrTb"/>
            <w:noWrap w:val="false"/>
          </w:tcPr>
          <w:p w14:paraId="5D938816"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textDirection w:val="lrTb"/>
            <w:noWrap w:val="false"/>
          </w:tcPr>
          <w:p w14:paraId="522D924B">
            <w:pPr>
              <w:pBdr/>
              <w:tabs>
                <w:tab w:val="left" w:leader="none" w:pos="1046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https://www.dns-shop.ru/help/delivery/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343" w:type="pct"/>
            <w:vAlign w:val="center"/>
            <w:textDirection w:val="lrTb"/>
            <w:noWrap w:val="false"/>
          </w:tcPr>
          <w:p w14:paraId="09FDCFF0"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поставляющий товар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053" w:type="pct"/>
            <w:vAlign w:val="center"/>
            <w:textDirection w:val="lrTb"/>
            <w:noWrap w:val="false"/>
          </w:tcPr>
          <w:p w14:paraId="1693BDDE"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требованиям заказчика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 w14:paraId="4082899D"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 w14:paraId="623CB409"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Calibri" w:cs="Times New Roman"/>
          <w:b/>
          <w:sz w:val="20"/>
          <w:szCs w:val="20"/>
        </w:rPr>
      </w:pPr>
      <w:r>
        <w:rPr>
          <w:rFonts w:ascii="Times New Roman" w:hAnsi="Times New Roman" w:eastAsia="Calibri" w:cs="Times New Roman"/>
          <w:color w:val="000000"/>
          <w:sz w:val="20"/>
          <w:szCs w:val="20"/>
        </w:rPr>
        <w:t xml:space="preserve">3. З</w:t>
      </w:r>
      <w:r>
        <w:rPr>
          <w:rFonts w:ascii="Times New Roman" w:hAnsi="Times New Roman" w:eastAsia="Calibri" w:cs="Times New Roman"/>
          <w:sz w:val="20"/>
          <w:szCs w:val="20"/>
        </w:rPr>
        <w:t xml:space="preserve">аказчиком направлены запросы о пре</w:t>
      </w:r>
      <w:r>
        <w:rPr>
          <w:rFonts w:ascii="Times New Roman" w:hAnsi="Times New Roman" w:eastAsia="Calibri" w:cs="Times New Roman"/>
          <w:sz w:val="20"/>
          <w:szCs w:val="20"/>
        </w:rPr>
        <w:t xml:space="preserve">доставлении ценовой</w:t>
      </w:r>
      <w:r>
        <w:rPr>
          <w:rFonts w:ascii="Times New Roman" w:hAnsi="Times New Roman" w:eastAsia="Calibri" w:cs="Times New Roman"/>
          <w:sz w:val="20"/>
          <w:szCs w:val="20"/>
        </w:rPr>
        <w:t xml:space="preserve"> информации 5</w:t>
      </w:r>
      <w:r>
        <w:rPr>
          <w:rFonts w:ascii="Times New Roman" w:hAnsi="Times New Roman" w:eastAsia="Calibri" w:cs="Times New Roman"/>
          <w:sz w:val="20"/>
          <w:szCs w:val="20"/>
        </w:rPr>
        <w:t xml:space="preserve"> Поставщикам, обладающим опытом поставки товара, информация о которых имеется в свободном доступе, и получены ответы от 3 Поставщиков с ценовой информацией, из них 3 удовлетворяют требованиям заказчик. </w:t>
      </w:r>
      <w:r>
        <w:rPr>
          <w:rFonts w:ascii="Times New Roman" w:hAnsi="Times New Roman" w:eastAsia="Calibri" w:cs="Times New Roman"/>
          <w:b/>
          <w:sz w:val="20"/>
          <w:szCs w:val="20"/>
        </w:rPr>
      </w:r>
      <w:r>
        <w:rPr>
          <w:rFonts w:ascii="Times New Roman" w:hAnsi="Times New Roman" w:eastAsia="Calibri" w:cs="Times New Roman"/>
          <w:b/>
          <w:sz w:val="20"/>
          <w:szCs w:val="20"/>
        </w:rPr>
      </w:r>
    </w:p>
    <w:p w14:paraId="414C7F6B">
      <w:pPr>
        <w:pBdr/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b/>
          <w:sz w:val="20"/>
          <w:szCs w:val="20"/>
        </w:rPr>
      </w:pPr>
      <w:r>
        <w:rPr>
          <w:rFonts w:ascii="Times New Roman" w:hAnsi="Times New Roman" w:eastAsia="Calibri" w:cs="Times New Roman"/>
          <w:b/>
          <w:sz w:val="20"/>
          <w:szCs w:val="20"/>
        </w:rPr>
      </w:r>
      <w:r>
        <w:rPr>
          <w:rFonts w:ascii="Times New Roman" w:hAnsi="Times New Roman" w:eastAsia="Calibri" w:cs="Times New Roman"/>
          <w:b/>
          <w:sz w:val="20"/>
          <w:szCs w:val="20"/>
        </w:rPr>
      </w:r>
      <w:r>
        <w:rPr>
          <w:rFonts w:ascii="Times New Roman" w:hAnsi="Times New Roman" w:eastAsia="Calibri" w:cs="Times New Roman"/>
          <w:b/>
          <w:sz w:val="20"/>
          <w:szCs w:val="20"/>
        </w:rPr>
      </w:r>
    </w:p>
    <w:p w14:paraId="1A724A72">
      <w:pPr>
        <w:pBdr/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eastAsia="Calibri" w:cs="Times New Roman"/>
          <w:b/>
          <w:sz w:val="20"/>
          <w:szCs w:val="20"/>
        </w:rPr>
        <w:t xml:space="preserve">На основании </w:t>
      </w:r>
      <w:r>
        <w:rPr>
          <w:rFonts w:ascii="Times New Roman" w:hAnsi="Times New Roman" w:eastAsia="Calibri" w:cs="Times New Roman"/>
          <w:b/>
          <w:sz w:val="20"/>
          <w:szCs w:val="20"/>
        </w:rPr>
        <w:t xml:space="preserve">ценовой информации, полученной от 3 Поставщиков осуществлен</w:t>
      </w:r>
      <w:r>
        <w:rPr>
          <w:rFonts w:ascii="Times New Roman" w:hAnsi="Times New Roman" w:eastAsia="Calibri" w:cs="Times New Roman"/>
          <w:b/>
          <w:sz w:val="20"/>
          <w:szCs w:val="20"/>
        </w:rPr>
        <w:t xml:space="preserve"> расчет ЦК.</w:t>
      </w:r>
      <w:r>
        <w:rPr>
          <w:rFonts w:ascii="Times New Roman" w:hAnsi="Times New Roman" w:eastAsia="Calibri" w:cs="Times New Roman"/>
          <w:b/>
          <w:bCs/>
          <w:color w:val="000000"/>
          <w:sz w:val="20"/>
          <w:szCs w:val="20"/>
        </w:rPr>
      </w:r>
      <w:r>
        <w:rPr>
          <w:rFonts w:ascii="Times New Roman" w:hAnsi="Times New Roman" w:eastAsia="Calibri" w:cs="Times New Roman"/>
          <w:b/>
          <w:bCs/>
          <w:color w:val="000000"/>
          <w:sz w:val="20"/>
          <w:szCs w:val="20"/>
        </w:rPr>
      </w:r>
    </w:p>
    <w:tbl>
      <w:tblPr>
        <w:jc w:val="center"/>
        <w:tblW w:w="5028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3542"/>
        <w:gridCol w:w="851"/>
        <w:gridCol w:w="568"/>
        <w:gridCol w:w="1309"/>
        <w:gridCol w:w="1253"/>
        <w:gridCol w:w="1435"/>
        <w:gridCol w:w="1253"/>
        <w:gridCol w:w="1269"/>
        <w:gridCol w:w="1419"/>
        <w:gridCol w:w="951"/>
        <w:gridCol w:w="1272"/>
      </w:tblGrid>
      <w:tr>
        <w:trPr>
          <w:jc w:val="center"/>
          <w:trHeight w:val="20"/>
          <w:tblHeader/>
        </w:trPr>
        <w:tc>
          <w:tcPr>
            <w:shd w:val="clear" w:color="ffffff" w:fill="ffffff"/>
            <w:tcBorders/>
            <w:tcW w:w="184" w:type="pct"/>
            <w:vMerge w:val="restart"/>
            <w:textDirection w:val="lrTb"/>
            <w:noWrap w:val="false"/>
          </w:tcPr>
          <w:p w14:paraId="0349501D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/>
            <w:bookmarkStart w:id="1" w:name="RANGE!A3:T16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/п</w:t>
            </w:r>
            <w:bookmarkEnd w:id="1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128" w:type="pct"/>
            <w:vAlign w:val="center"/>
            <w:vMerge w:val="restart"/>
            <w:textDirection w:val="lrTb"/>
            <w:noWrap w:val="false"/>
          </w:tcPr>
          <w:p w14:paraId="1E70032B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товара, работ, услуг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/>
            <w:tcW w:w="452" w:type="pct"/>
            <w:vAlign w:val="center"/>
            <w:textDirection w:val="lrTb"/>
            <w:noWrap w:val="false"/>
          </w:tcPr>
          <w:p w14:paraId="1CEDBD4B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Объем поставки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7D914E56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Предложение 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vMerge w:val="restart"/>
            <w:textDirection w:val="lrTb"/>
            <w:noWrap w:val="false"/>
          </w:tcPr>
          <w:p w14:paraId="1A29A3B4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 w:val="false"/>
          </w:tcPr>
          <w:p w14:paraId="22F45FC2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Предложение 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vMerge w:val="restart"/>
            <w:textDirection w:val="lrTb"/>
            <w:noWrap w:val="false"/>
          </w:tcPr>
          <w:p w14:paraId="1601A95D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 w:val="false"/>
          </w:tcPr>
          <w:p w14:paraId="408B831D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Предложение 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52" w:type="pct"/>
            <w:vAlign w:val="center"/>
            <w:vMerge w:val="restart"/>
            <w:textDirection w:val="lrTb"/>
            <w:noWrap w:val="false"/>
          </w:tcPr>
          <w:p w14:paraId="0FF2C549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303" w:type="pct"/>
            <w:vAlign w:val="center"/>
            <w:vMerge w:val="restart"/>
            <w:textDirection w:val="lrTb"/>
            <w:noWrap w:val="false"/>
          </w:tcPr>
          <w:p w14:paraId="54D1129B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ОДН/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НЕОДН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05" w:type="pct"/>
            <w:vAlign w:val="center"/>
            <w:vMerge w:val="restart"/>
            <w:textDirection w:val="lrTb"/>
            <w:noWrap w:val="false"/>
          </w:tcPr>
          <w:p w14:paraId="49278622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НМЦК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рын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rHeight w:val="20"/>
          <w:tblHeader/>
        </w:trPr>
        <w:tc>
          <w:tcPr>
            <w:tcBorders/>
            <w:tcW w:w="184" w:type="pct"/>
            <w:vAlign w:val="center"/>
            <w:vMerge w:val="continue"/>
            <w:textDirection w:val="lrTb"/>
            <w:noWrap w:val="false"/>
          </w:tcPr>
          <w:p w14:paraId="655F3C56"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128" w:type="pct"/>
            <w:vAlign w:val="center"/>
            <w:vMerge w:val="continue"/>
            <w:textDirection w:val="lrTb"/>
            <w:noWrap w:val="false"/>
          </w:tcPr>
          <w:p w14:paraId="271A5B02"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271" w:type="pct"/>
            <w:vAlign w:val="center"/>
            <w:textDirection w:val="lrTb"/>
            <w:noWrap w:val="false"/>
          </w:tcPr>
          <w:p w14:paraId="5748847B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81" w:type="pct"/>
            <w:vAlign w:val="center"/>
            <w:textDirection w:val="lrTb"/>
            <w:noWrap w:val="false"/>
          </w:tcPr>
          <w:p w14:paraId="0C06C908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15BDD28E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99" w:type="pct"/>
            <w:vAlign w:val="center"/>
            <w:vMerge w:val="continue"/>
            <w:textDirection w:val="lrTb"/>
            <w:noWrap w:val="false"/>
          </w:tcPr>
          <w:p w14:paraId="48ABA8DE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 w:val="false"/>
          </w:tcPr>
          <w:p w14:paraId="3F82D2DA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99" w:type="pct"/>
            <w:vAlign w:val="center"/>
            <w:vMerge w:val="continue"/>
            <w:textDirection w:val="lrTb"/>
            <w:noWrap w:val="false"/>
          </w:tcPr>
          <w:p w14:paraId="23A59C04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 w:val="false"/>
          </w:tcPr>
          <w:p w14:paraId="5E7D6681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452" w:type="pct"/>
            <w:vAlign w:val="center"/>
            <w:vMerge w:val="continue"/>
            <w:textDirection w:val="lrTb"/>
            <w:noWrap w:val="false"/>
          </w:tcPr>
          <w:p w14:paraId="553492AA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03" w:type="pct"/>
            <w:vAlign w:val="center"/>
            <w:vMerge w:val="continue"/>
            <w:textDirection w:val="lrTb"/>
            <w:noWrap w:val="false"/>
          </w:tcPr>
          <w:p w14:paraId="05B702A9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405" w:type="pct"/>
            <w:vAlign w:val="center"/>
            <w:vMerge w:val="continue"/>
            <w:textDirection w:val="lrTb"/>
            <w:noWrap w:val="false"/>
          </w:tcPr>
          <w:p w14:paraId="1E6D8AB2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jc w:val="center"/>
          <w:trHeight w:val="575"/>
        </w:trPr>
        <w:tc>
          <w:tcPr>
            <w:shd w:val="clear" w:color="ffffff" w:fill="ffffff"/>
            <w:tcBorders/>
            <w:tcW w:w="184" w:type="pct"/>
            <w:textDirection w:val="lrTb"/>
            <w:noWrap w:val="false"/>
          </w:tcPr>
          <w:p w14:paraId="686B33A9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128" w:type="pct"/>
            <w:vAlign w:val="center"/>
            <w:textDirection w:val="lrTb"/>
            <w:noWrap w:val="false"/>
          </w:tcPr>
          <w:p w14:paraId="5B670F06"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shd w:val="clear" w:color="auto" w:fill="ffffff"/>
              </w:rPr>
              <w:t xml:space="preserve">Картридж для электрографических печатающих устройств Вид 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71" w:type="pct"/>
            <w:vAlign w:val="bottom"/>
            <w:textDirection w:val="lrTb"/>
            <w:noWrap w:val="false"/>
          </w:tcPr>
          <w:p w14:paraId="3A83D4B6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181" w:type="pct"/>
            <w:vAlign w:val="bottom"/>
            <w:textDirection w:val="lrTb"/>
            <w:noWrap/>
          </w:tcPr>
          <w:p w14:paraId="60C6D8E9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18D2A80D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1750,00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1F995DC6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1750,00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/>
          </w:tcPr>
          <w:p w14:paraId="2882F5D1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61CFDA6D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/>
          </w:tcPr>
          <w:p w14:paraId="3E792DE6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2" w:type="pct"/>
            <w:vAlign w:val="center"/>
            <w:textDirection w:val="lrTb"/>
            <w:noWrap/>
          </w:tcPr>
          <w:p w14:paraId="1F9FC2F0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03" w:type="pct"/>
            <w:vAlign w:val="center"/>
            <w:textDirection w:val="lrTb"/>
            <w:noWrap/>
          </w:tcPr>
          <w:p w14:paraId="7AD28BB5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5" w:type="pct"/>
            <w:vAlign w:val="center"/>
            <w:textDirection w:val="lrTb"/>
            <w:noWrap/>
          </w:tcPr>
          <w:p w14:paraId="09B8A453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1883,33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jc w:val="center"/>
          <w:trHeight w:val="561"/>
        </w:trPr>
        <w:tc>
          <w:tcPr>
            <w:shd w:val="clear" w:color="ffffff" w:fill="ffffff"/>
            <w:tcBorders/>
            <w:tcW w:w="184" w:type="pct"/>
            <w:textDirection w:val="lrTb"/>
            <w:noWrap w:val="false"/>
          </w:tcPr>
          <w:p w14:paraId="657771D1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128" w:type="pct"/>
            <w:vAlign w:val="center"/>
            <w:textDirection w:val="lrTb"/>
            <w:noWrap w:val="false"/>
          </w:tcPr>
          <w:p w14:paraId="609F4142"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shd w:val="clear" w:color="auto" w:fill="ffffff"/>
              </w:rPr>
              <w:t xml:space="preserve">Картридж для электрографических печатающих устройств Вид 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71" w:type="pct"/>
            <w:vAlign w:val="bottom"/>
            <w:textDirection w:val="lrTb"/>
            <w:noWrap w:val="false"/>
          </w:tcPr>
          <w:p w14:paraId="64C8D424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181" w:type="pct"/>
            <w:vAlign w:val="bottom"/>
            <w:textDirection w:val="lrTb"/>
            <w:noWrap/>
          </w:tcPr>
          <w:p w14:paraId="3425644F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36A9C70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3DDBC0FB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/>
          </w:tcPr>
          <w:p w14:paraId="49B82A7C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29606A4B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/>
          </w:tcPr>
          <w:p w14:paraId="62B8A085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2" w:type="pct"/>
            <w:vAlign w:val="center"/>
            <w:textDirection w:val="lrTb"/>
            <w:noWrap/>
          </w:tcPr>
          <w:p w14:paraId="11A64CE5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03" w:type="pct"/>
            <w:vAlign w:val="center"/>
            <w:textDirection w:val="lrTb"/>
            <w:noWrap/>
          </w:tcPr>
          <w:p w14:paraId="33CF8CC6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5" w:type="pct"/>
            <w:vAlign w:val="center"/>
            <w:textDirection w:val="lrTb"/>
            <w:noWrap/>
          </w:tcPr>
          <w:p w14:paraId="0A7DB338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1883,33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jc w:val="center"/>
          <w:trHeight w:val="678"/>
        </w:trPr>
        <w:tc>
          <w:tcPr>
            <w:shd w:val="clear" w:color="ffffff" w:fill="ffffff"/>
            <w:tcBorders/>
            <w:tcW w:w="184" w:type="pct"/>
            <w:textDirection w:val="lrTb"/>
            <w:noWrap w:val="false"/>
          </w:tcPr>
          <w:p w14:paraId="695463E1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128" w:type="pct"/>
            <w:vAlign w:val="center"/>
            <w:textDirection w:val="lrTb"/>
            <w:noWrap w:val="false"/>
          </w:tcPr>
          <w:p w14:paraId="2DF8C58D"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shd w:val="clear" w:color="auto" w:fill="ffffff"/>
              </w:rPr>
              <w:t xml:space="preserve">Картридж для электрографических печатающих устройств Вид 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71" w:type="pct"/>
            <w:vAlign w:val="bottom"/>
            <w:textDirection w:val="lrTb"/>
            <w:noWrap w:val="false"/>
          </w:tcPr>
          <w:p w14:paraId="08B6242B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181" w:type="pct"/>
            <w:vAlign w:val="bottom"/>
            <w:textDirection w:val="lrTb"/>
            <w:noWrap/>
          </w:tcPr>
          <w:p w14:paraId="10460772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4AB6865E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62D88EAF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/>
          </w:tcPr>
          <w:p w14:paraId="1C824F1F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7E1E46ED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/>
          </w:tcPr>
          <w:p w14:paraId="1D5AC5C3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2" w:type="pct"/>
            <w:vAlign w:val="center"/>
            <w:textDirection w:val="lrTb"/>
            <w:noWrap/>
          </w:tcPr>
          <w:p w14:paraId="25D0B938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03" w:type="pct"/>
            <w:vAlign w:val="center"/>
            <w:textDirection w:val="lrTb"/>
            <w:noWrap/>
          </w:tcPr>
          <w:p w14:paraId="6D0D533E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5" w:type="pct"/>
            <w:vAlign w:val="center"/>
            <w:textDirection w:val="lrTb"/>
            <w:noWrap/>
          </w:tcPr>
          <w:p w14:paraId="4F75B181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1883,33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jc w:val="center"/>
          <w:trHeight w:val="414"/>
        </w:trPr>
        <w:tc>
          <w:tcPr>
            <w:shd w:val="clear" w:color="ffffff" w:fill="ffffff"/>
            <w:tcBorders/>
            <w:tcW w:w="184" w:type="pct"/>
            <w:textDirection w:val="lrTb"/>
            <w:noWrap w:val="false"/>
          </w:tcPr>
          <w:p w14:paraId="4BCB71FA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128" w:type="pct"/>
            <w:vAlign w:val="center"/>
            <w:textDirection w:val="lrTb"/>
            <w:noWrap w:val="false"/>
          </w:tcPr>
          <w:p w14:paraId="2AFB10A3"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shd w:val="clear" w:color="auto" w:fill="ffffff"/>
              </w:rPr>
              <w:t xml:space="preserve">Картридж для электрографических печатающих устройств Вид 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71" w:type="pct"/>
            <w:vAlign w:val="bottom"/>
            <w:textDirection w:val="lrTb"/>
            <w:noWrap w:val="false"/>
          </w:tcPr>
          <w:p w14:paraId="4AB8D0C6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181" w:type="pct"/>
            <w:vAlign w:val="bottom"/>
            <w:textDirection w:val="lrTb"/>
            <w:noWrap/>
          </w:tcPr>
          <w:p w14:paraId="0641F4CF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210FF7F8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1300,00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53BCF0A7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1300,00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/>
          </w:tcPr>
          <w:p w14:paraId="3F58593F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199539DF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/>
          </w:tcPr>
          <w:p w14:paraId="6F2F1EA1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1950,00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2" w:type="pct"/>
            <w:vAlign w:val="center"/>
            <w:textDirection w:val="lrTb"/>
            <w:noWrap/>
          </w:tcPr>
          <w:p w14:paraId="74A32713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1950,00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03" w:type="pct"/>
            <w:vAlign w:val="center"/>
            <w:textDirection w:val="lrTb"/>
            <w:noWrap/>
          </w:tcPr>
          <w:p w14:paraId="519F0CDE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5" w:type="pct"/>
            <w:vAlign w:val="center"/>
            <w:textDirection w:val="lrTb"/>
            <w:noWrap/>
          </w:tcPr>
          <w:p w14:paraId="30C23CB4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1583,33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jc w:val="center"/>
          <w:trHeight w:val="680"/>
        </w:trPr>
        <w:tc>
          <w:tcPr>
            <w:shd w:val="clear" w:color="ffffff" w:fill="ffffff"/>
            <w:tcBorders/>
            <w:tcW w:w="184" w:type="pct"/>
            <w:textDirection w:val="lrTb"/>
            <w:noWrap w:val="false"/>
          </w:tcPr>
          <w:p w14:paraId="05B9E693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128" w:type="pct"/>
            <w:vAlign w:val="center"/>
            <w:textDirection w:val="lrTb"/>
            <w:noWrap w:val="false"/>
          </w:tcPr>
          <w:p w14:paraId="08E1CDAB"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shd w:val="clear" w:color="auto" w:fill="ffffff"/>
              </w:rPr>
              <w:t xml:space="preserve">Картридж для электрографических печатающих устройств Вид 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71" w:type="pct"/>
            <w:vAlign w:val="center"/>
            <w:textDirection w:val="lrTb"/>
            <w:noWrap w:val="false"/>
          </w:tcPr>
          <w:p w14:paraId="564F30DB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181" w:type="pct"/>
            <w:vAlign w:val="center"/>
            <w:textDirection w:val="lrTb"/>
            <w:noWrap/>
          </w:tcPr>
          <w:p w14:paraId="4B865610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58C664A5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2145,00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4CACFD8C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85 800,00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/>
          </w:tcPr>
          <w:p w14:paraId="72CEE529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2450,00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/>
          </w:tcPr>
          <w:p w14:paraId="15A9DE02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98 000,00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/>
          </w:tcPr>
          <w:p w14:paraId="3BDEE0A4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2280,00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2" w:type="pct"/>
            <w:vAlign w:val="center"/>
            <w:textDirection w:val="lrTb"/>
            <w:noWrap/>
          </w:tcPr>
          <w:p w14:paraId="6B0D338B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91 200,00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03" w:type="pct"/>
            <w:vAlign w:val="center"/>
            <w:textDirection w:val="lrTb"/>
            <w:noWrap/>
          </w:tcPr>
          <w:p w14:paraId="2D41FE20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05" w:type="pct"/>
            <w:vAlign w:val="center"/>
            <w:textDirection w:val="lrTb"/>
            <w:noWrap/>
          </w:tcPr>
          <w:p w14:paraId="001AD6E5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91666,80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ffffff" w:fill="ffffff"/>
            <w:tcBorders/>
            <w:tcW w:w="184" w:type="pct"/>
            <w:textDirection w:val="lrTb"/>
            <w:noWrap w:val="false"/>
          </w:tcPr>
          <w:p w14:paraId="5CBC66C7"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1128" w:type="pct"/>
            <w:vAlign w:val="center"/>
            <w:textDirection w:val="lrTb"/>
            <w:noWrap w:val="false"/>
          </w:tcPr>
          <w:p w14:paraId="30CF2DFE"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71" w:type="pct"/>
            <w:vAlign w:val="bottom"/>
            <w:textDirection w:val="lrTb"/>
            <w:noWrap w:val="false"/>
          </w:tcPr>
          <w:p w14:paraId="0B576E92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181" w:type="pct"/>
            <w:textDirection w:val="lrTb"/>
            <w:noWrap w:val="false"/>
          </w:tcPr>
          <w:p w14:paraId="7434AFFB"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17" w:type="pct"/>
            <w:vAlign w:val="center"/>
            <w:textDirection w:val="lrTb"/>
            <w:noWrap w:val="false"/>
          </w:tcPr>
          <w:p w14:paraId="4778BB9F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 w:val="false"/>
          </w:tcPr>
          <w:p w14:paraId="28E3B3CA">
            <w:pPr>
              <w:pBdr/>
              <w:spacing w:after="0"/>
              <w:ind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92 350,00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457" w:type="pct"/>
            <w:vAlign w:val="center"/>
            <w:textDirection w:val="lrTb"/>
            <w:noWrap w:val="false"/>
          </w:tcPr>
          <w:p w14:paraId="09D0B854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399" w:type="pct"/>
            <w:vAlign w:val="center"/>
            <w:textDirection w:val="lrTb"/>
            <w:noWrap w:val="false"/>
          </w:tcPr>
          <w:p w14:paraId="02C8632B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105 200,00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04" w:type="pct"/>
            <w:vAlign w:val="center"/>
            <w:textDirection w:val="lrTb"/>
            <w:noWrap w:val="false"/>
          </w:tcPr>
          <w:p w14:paraId="003302F2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52" w:type="pct"/>
            <w:vAlign w:val="center"/>
            <w:textDirection w:val="lrTb"/>
            <w:noWrap w:val="false"/>
          </w:tcPr>
          <w:p w14:paraId="54EA5F3B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99 150,00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303" w:type="pct"/>
            <w:vAlign w:val="center"/>
            <w:textDirection w:val="lrTb"/>
            <w:noWrap w:val="false"/>
          </w:tcPr>
          <w:p w14:paraId="6DEB44FF">
            <w:pPr>
              <w:pStyle w:val="862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/>
            <w:tcW w:w="405" w:type="pct"/>
            <w:vAlign w:val="center"/>
            <w:textDirection w:val="lrTb"/>
            <w:noWrap w:val="false"/>
          </w:tcPr>
          <w:p w14:paraId="4546EB78"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 900,12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</w:tr>
    </w:tbl>
    <w:p w14:paraId="1FB2689C">
      <w:pPr>
        <w:pBdr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</w:p>
    <w:p w14:paraId="146E5D7E">
      <w:pPr>
        <w:pBdr/>
        <w:spacing w:after="0" w:line="240" w:lineRule="auto"/>
        <w:ind w:firstLine="708"/>
        <w:contextualSpacing w:val="tru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По результатам расчетов за НМЦК, </w:t>
      </w:r>
      <w:r>
        <w:rPr>
          <w:rFonts w:ascii="Times New Roman" w:hAnsi="Times New Roman" w:cs="Times New Roman"/>
          <w:sz w:val="20"/>
          <w:szCs w:val="20"/>
        </w:rPr>
        <w:t xml:space="preserve">НМЦД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ЦК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u w:val="none"/>
        </w:rPr>
        <w:t xml:space="preserve">ЦД</w:t>
      </w:r>
      <w:r>
        <w:rPr>
          <w:rFonts w:ascii="Times New Roman" w:hAnsi="Times New Roman" w:cs="Times New Roman"/>
          <w:sz w:val="20"/>
          <w:szCs w:val="20"/>
        </w:rPr>
        <w:t xml:space="preserve">, НЦЕ (нужное подчеркнуть)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принято минимальное значение из представленных предложений и составила: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31BA73AE">
      <w:pPr>
        <w:pBdr/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92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35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,00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руб.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4EC9A8F6">
      <w:pPr>
        <w:pBdr/>
        <w:spacing w:after="0"/>
        <w:ind/>
        <w:contextualSpacing w:val="true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 w14:paraId="789B3438">
      <w:pPr>
        <w:pBdr/>
        <w:spacing w:after="0"/>
        <w:ind/>
        <w:contextualSpacing w:val="true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Реквизиты  документов, используемых при обосновании начальной (максимальной) цены контракта:</w:t>
      </w:r>
      <w:bookmarkStart w:id="2" w:name="_GoBack"/>
      <w:r/>
      <w:bookmarkEnd w:id="2"/>
      <w:r>
        <w:rPr>
          <w:rFonts w:ascii="Times New Roman" w:hAnsi="Times New Roman" w:cs="Times New Roman"/>
          <w:i/>
          <w:sz w:val="20"/>
          <w:szCs w:val="20"/>
        </w:rPr>
      </w:r>
      <w:r>
        <w:rPr>
          <w:rFonts w:ascii="Times New Roman" w:hAnsi="Times New Roman" w:cs="Times New Roman"/>
          <w:i/>
          <w:sz w:val="20"/>
          <w:szCs w:val="20"/>
        </w:rPr>
      </w:r>
    </w:p>
    <w:p w14:paraId="2F802333">
      <w:pPr>
        <w:pBdr/>
        <w:spacing w:after="0"/>
        <w:ind/>
        <w:contextualSpacing w:val="tru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Предложения 1: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от 26</w:t>
      </w:r>
      <w:r>
        <w:rPr>
          <w:rFonts w:ascii="Times New Roman" w:hAnsi="Times New Roman" w:cs="Times New Roman"/>
          <w:sz w:val="20"/>
          <w:szCs w:val="20"/>
        </w:rPr>
        <w:t xml:space="preserve">.01.202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. б/№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547C2C06">
      <w:pPr>
        <w:pBdr/>
        <w:spacing w:after="0"/>
        <w:ind/>
        <w:contextualSpacing w:val="tru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Предложения 2: от 30.01. 2026</w:t>
      </w:r>
      <w:r>
        <w:rPr>
          <w:rFonts w:ascii="Times New Roman" w:hAnsi="Times New Roman" w:cs="Times New Roman"/>
          <w:sz w:val="20"/>
          <w:szCs w:val="20"/>
        </w:rPr>
        <w:t xml:space="preserve">. б/№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3DD5348C">
      <w:pPr>
        <w:pBdr/>
        <w:spacing w:after="0"/>
        <w:ind/>
        <w:contextualSpacing w:val="tru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Предложения 3: от 3</w:t>
      </w:r>
      <w:r>
        <w:rPr>
          <w:rFonts w:ascii="Times New Roman" w:hAnsi="Times New Roman" w:cs="Times New Roman"/>
          <w:sz w:val="20"/>
          <w:szCs w:val="20"/>
        </w:rPr>
        <w:t xml:space="preserve">0.01</w:t>
      </w:r>
      <w:r>
        <w:rPr>
          <w:rFonts w:ascii="Times New Roman" w:hAnsi="Times New Roman" w:cs="Times New Roman"/>
          <w:sz w:val="20"/>
          <w:szCs w:val="20"/>
        </w:rPr>
        <w:t xml:space="preserve">. 202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. б/№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4EBC804E">
      <w:pPr>
        <w:pBdr/>
        <w:spacing w:after="0"/>
        <w:ind/>
        <w:contextualSpacing w:val="tru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41AC6665">
      <w:pPr>
        <w:pBdr/>
        <w:spacing w:after="0"/>
        <w:ind/>
        <w:contextualSpacing w:val="tru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Дата подготовки обоснования начальной (</w:t>
      </w:r>
      <w:r>
        <w:rPr>
          <w:rFonts w:ascii="Times New Roman" w:hAnsi="Times New Roman" w:cs="Times New Roman"/>
          <w:b/>
          <w:sz w:val="20"/>
          <w:szCs w:val="20"/>
        </w:rPr>
        <w:t xml:space="preserve">максимальной) цены контракта: </w:t>
      </w:r>
      <w:r>
        <w:rPr>
          <w:rFonts w:ascii="Times New Roman" w:hAnsi="Times New Roman" w:cs="Times New Roman"/>
          <w:sz w:val="20"/>
          <w:szCs w:val="20"/>
        </w:rPr>
        <w:t xml:space="preserve">02.02.2026г.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 w14:paraId="3A3E2B8A"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 w14:paraId="277BAABB"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 w14:paraId="67A437F5"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 w14:paraId="3FD40BF1"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tabs>
          <w:tab w:val="left" w:leader="none" w:pos="850"/>
        </w:tabs>
        <w:spacing w:after="0" w:line="240" w:lineRule="auto"/>
        <w:ind/>
        <w:contextualSpacing w:val="true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 w:after="0"/>
        <w:ind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284" w:right="1134" w:bottom="426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4780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eastAsiaTheme="minorHAnsi" w:cstheme="minorBidi"/>
        <w:color w:val="000000" w:themeColor="text1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86"/>
      </w:pPr>
      <w:rPr>
        <w:rFonts w:hint="default" w:eastAsia="Calibri"/>
        <w:color w:val="000000" w:themeColor="text1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212"/>
      </w:pPr>
      <w:rPr>
        <w:rFonts w:hint="default" w:eastAsia="Calibri"/>
        <w:color w:val="000000" w:themeColor="text1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278"/>
      </w:pPr>
      <w:rPr>
        <w:rFonts w:hint="default" w:eastAsia="Calibri"/>
        <w:color w:val="000000" w:themeColor="text1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720" w:left="1344"/>
      </w:pPr>
      <w:rPr>
        <w:rFonts w:hint="default" w:eastAsia="Calibri"/>
        <w:color w:val="000000" w:themeColor="text1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770"/>
      </w:pPr>
      <w:rPr>
        <w:rFonts w:hint="default" w:eastAsia="Calibri"/>
        <w:color w:val="000000" w:themeColor="text1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836"/>
      </w:pPr>
      <w:rPr>
        <w:rFonts w:hint="default" w:eastAsia="Calibri"/>
        <w:color w:val="000000" w:themeColor="text1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080" w:left="1902"/>
      </w:pPr>
      <w:rPr>
        <w:rFonts w:hint="default" w:eastAsia="Calibri"/>
        <w:color w:val="000000" w:themeColor="text1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2328"/>
      </w:pPr>
      <w:rPr>
        <w:rFonts w:hint="default" w:eastAsia="Calibri"/>
        <w:color w:val="000000" w:themeColor="text1"/>
      </w:rPr>
      <w:start w:val="1"/>
      <w:suff w:val="tab"/>
    </w:lvl>
  </w:abstractNum>
  <w:abstractNum w:abstractNumId="1">
    <w:nsid w:val="5F3409AD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">
    <w:nsid w:val="756D306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756D306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 Light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8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89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8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1"/>
    <w:basedOn w:val="893"/>
    <w:next w:val="893"/>
    <w:link w:val="84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5">
    <w:name w:val="Heading 2"/>
    <w:basedOn w:val="893"/>
    <w:next w:val="893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6">
    <w:name w:val="Heading 3"/>
    <w:basedOn w:val="893"/>
    <w:next w:val="893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7">
    <w:name w:val="Heading 4"/>
    <w:basedOn w:val="893"/>
    <w:next w:val="893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8">
    <w:name w:val="Heading 5"/>
    <w:basedOn w:val="893"/>
    <w:next w:val="893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9">
    <w:name w:val="Heading 6"/>
    <w:basedOn w:val="893"/>
    <w:next w:val="893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0">
    <w:name w:val="Heading 7"/>
    <w:basedOn w:val="893"/>
    <w:next w:val="893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1">
    <w:name w:val="Heading 8"/>
    <w:basedOn w:val="893"/>
    <w:next w:val="893"/>
    <w:link w:val="85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Heading 9"/>
    <w:basedOn w:val="893"/>
    <w:next w:val="893"/>
    <w:link w:val="85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1 Char"/>
    <w:basedOn w:val="894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>
    <w:name w:val="Heading 2 Char"/>
    <w:basedOn w:val="894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>
    <w:name w:val="Heading 3 Char"/>
    <w:basedOn w:val="894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>
    <w:name w:val="Heading 4 Char"/>
    <w:basedOn w:val="894"/>
    <w:link w:val="8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>
    <w:name w:val="Heading 5 Char"/>
    <w:basedOn w:val="894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>
    <w:name w:val="Heading 6 Char"/>
    <w:basedOn w:val="894"/>
    <w:link w:val="8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>
    <w:name w:val="Heading 7 Char"/>
    <w:basedOn w:val="894"/>
    <w:link w:val="84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>
    <w:name w:val="Heading 8 Char"/>
    <w:basedOn w:val="894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9 Char"/>
    <w:basedOn w:val="894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2">
    <w:name w:val="Title"/>
    <w:basedOn w:val="893"/>
    <w:next w:val="893"/>
    <w:link w:val="85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3">
    <w:name w:val="Title Char"/>
    <w:basedOn w:val="894"/>
    <w:link w:val="8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4">
    <w:name w:val="Subtitle"/>
    <w:basedOn w:val="893"/>
    <w:next w:val="893"/>
    <w:link w:val="85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5">
    <w:name w:val="Subtitle Char"/>
    <w:basedOn w:val="894"/>
    <w:link w:val="85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6">
    <w:name w:val="Quote"/>
    <w:basedOn w:val="893"/>
    <w:next w:val="893"/>
    <w:link w:val="85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7">
    <w:name w:val="Quote Char"/>
    <w:basedOn w:val="894"/>
    <w:link w:val="85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Intense Emphasis"/>
    <w:basedOn w:val="89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9">
    <w:name w:val="Intense Quote"/>
    <w:basedOn w:val="893"/>
    <w:next w:val="893"/>
    <w:link w:val="86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0">
    <w:name w:val="Intense Quote Char"/>
    <w:basedOn w:val="894"/>
    <w:link w:val="85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1">
    <w:name w:val="Intense Reference"/>
    <w:basedOn w:val="89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2">
    <w:name w:val="No Spacing"/>
    <w:basedOn w:val="893"/>
    <w:uiPriority w:val="1"/>
    <w:qFormat/>
    <w:pPr>
      <w:pBdr/>
      <w:spacing w:after="0" w:line="240" w:lineRule="auto"/>
      <w:ind/>
    </w:pPr>
  </w:style>
  <w:style w:type="character" w:styleId="863">
    <w:name w:val="Subtle Emphasis"/>
    <w:basedOn w:val="8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4">
    <w:name w:val="Emphasis"/>
    <w:basedOn w:val="894"/>
    <w:uiPriority w:val="20"/>
    <w:qFormat/>
    <w:pPr>
      <w:pBdr/>
      <w:spacing/>
      <w:ind/>
    </w:pPr>
    <w:rPr>
      <w:i/>
      <w:iCs/>
    </w:rPr>
  </w:style>
  <w:style w:type="character" w:styleId="865">
    <w:name w:val="Strong"/>
    <w:basedOn w:val="894"/>
    <w:uiPriority w:val="22"/>
    <w:qFormat/>
    <w:pPr>
      <w:pBdr/>
      <w:spacing/>
      <w:ind/>
    </w:pPr>
    <w:rPr>
      <w:b/>
      <w:bCs/>
    </w:rPr>
  </w:style>
  <w:style w:type="character" w:styleId="866">
    <w:name w:val="Subtle Reference"/>
    <w:basedOn w:val="8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7">
    <w:name w:val="Book Title"/>
    <w:basedOn w:val="89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8">
    <w:name w:val="Header"/>
    <w:basedOn w:val="893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Header Char"/>
    <w:basedOn w:val="894"/>
    <w:link w:val="868"/>
    <w:uiPriority w:val="99"/>
    <w:pPr>
      <w:pBdr/>
      <w:spacing/>
      <w:ind/>
    </w:pPr>
  </w:style>
  <w:style w:type="paragraph" w:styleId="870">
    <w:name w:val="Footer"/>
    <w:basedOn w:val="893"/>
    <w:link w:val="87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1">
    <w:name w:val="Footer Char"/>
    <w:basedOn w:val="894"/>
    <w:link w:val="870"/>
    <w:uiPriority w:val="99"/>
    <w:pPr>
      <w:pBdr/>
      <w:spacing/>
      <w:ind/>
    </w:pPr>
  </w:style>
  <w:style w:type="paragraph" w:styleId="872">
    <w:name w:val="Caption"/>
    <w:basedOn w:val="893"/>
    <w:next w:val="89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3">
    <w:name w:val="footnote text"/>
    <w:basedOn w:val="893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Footnote Text Char"/>
    <w:basedOn w:val="894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foot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paragraph" w:styleId="876">
    <w:name w:val="endnote text"/>
    <w:basedOn w:val="893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Endnote Text Char"/>
    <w:basedOn w:val="894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endnote reference"/>
    <w:basedOn w:val="894"/>
    <w:uiPriority w:val="99"/>
    <w:semiHidden/>
    <w:unhideWhenUsed/>
    <w:pPr>
      <w:pBdr/>
      <w:spacing/>
      <w:ind/>
    </w:pPr>
    <w:rPr>
      <w:vertAlign w:val="superscript"/>
    </w:rPr>
  </w:style>
  <w:style w:type="character" w:styleId="879">
    <w:name w:val="Hyperlink"/>
    <w:basedOn w:val="89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0">
    <w:name w:val="FollowedHyperlink"/>
    <w:basedOn w:val="89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1">
    <w:name w:val="toc 1"/>
    <w:basedOn w:val="893"/>
    <w:next w:val="893"/>
    <w:uiPriority w:val="39"/>
    <w:unhideWhenUsed/>
    <w:pPr>
      <w:pBdr/>
      <w:spacing w:after="100"/>
      <w:ind/>
    </w:pPr>
  </w:style>
  <w:style w:type="paragraph" w:styleId="882">
    <w:name w:val="toc 2"/>
    <w:basedOn w:val="893"/>
    <w:next w:val="893"/>
    <w:uiPriority w:val="39"/>
    <w:unhideWhenUsed/>
    <w:pPr>
      <w:pBdr/>
      <w:spacing w:after="100"/>
      <w:ind w:left="220"/>
    </w:pPr>
  </w:style>
  <w:style w:type="paragraph" w:styleId="883">
    <w:name w:val="toc 3"/>
    <w:basedOn w:val="893"/>
    <w:next w:val="893"/>
    <w:uiPriority w:val="39"/>
    <w:unhideWhenUsed/>
    <w:pPr>
      <w:pBdr/>
      <w:spacing w:after="100"/>
      <w:ind w:left="440"/>
    </w:pPr>
  </w:style>
  <w:style w:type="paragraph" w:styleId="884">
    <w:name w:val="toc 4"/>
    <w:basedOn w:val="893"/>
    <w:next w:val="893"/>
    <w:uiPriority w:val="39"/>
    <w:unhideWhenUsed/>
    <w:pPr>
      <w:pBdr/>
      <w:spacing w:after="100"/>
      <w:ind w:left="660"/>
    </w:pPr>
  </w:style>
  <w:style w:type="paragraph" w:styleId="885">
    <w:name w:val="toc 5"/>
    <w:basedOn w:val="893"/>
    <w:next w:val="893"/>
    <w:uiPriority w:val="39"/>
    <w:unhideWhenUsed/>
    <w:pPr>
      <w:pBdr/>
      <w:spacing w:after="100"/>
      <w:ind w:left="880"/>
    </w:pPr>
  </w:style>
  <w:style w:type="paragraph" w:styleId="886">
    <w:name w:val="toc 6"/>
    <w:basedOn w:val="893"/>
    <w:next w:val="893"/>
    <w:uiPriority w:val="39"/>
    <w:unhideWhenUsed/>
    <w:pPr>
      <w:pBdr/>
      <w:spacing w:after="100"/>
      <w:ind w:left="1100"/>
    </w:pPr>
  </w:style>
  <w:style w:type="paragraph" w:styleId="887">
    <w:name w:val="toc 7"/>
    <w:basedOn w:val="893"/>
    <w:next w:val="893"/>
    <w:uiPriority w:val="39"/>
    <w:unhideWhenUsed/>
    <w:pPr>
      <w:pBdr/>
      <w:spacing w:after="100"/>
      <w:ind w:left="1320"/>
    </w:pPr>
  </w:style>
  <w:style w:type="paragraph" w:styleId="888">
    <w:name w:val="toc 8"/>
    <w:basedOn w:val="893"/>
    <w:next w:val="893"/>
    <w:uiPriority w:val="39"/>
    <w:unhideWhenUsed/>
    <w:pPr>
      <w:pBdr/>
      <w:spacing w:after="100"/>
      <w:ind w:left="1540"/>
    </w:pPr>
  </w:style>
  <w:style w:type="paragraph" w:styleId="889">
    <w:name w:val="toc 9"/>
    <w:basedOn w:val="893"/>
    <w:next w:val="893"/>
    <w:uiPriority w:val="39"/>
    <w:unhideWhenUsed/>
    <w:pPr>
      <w:pBdr/>
      <w:spacing w:after="100"/>
      <w:ind w:left="1760"/>
    </w:pPr>
  </w:style>
  <w:style w:type="character" w:styleId="890">
    <w:name w:val="Placeholder Text"/>
    <w:basedOn w:val="894"/>
    <w:uiPriority w:val="99"/>
    <w:semiHidden/>
    <w:pPr>
      <w:pBdr/>
      <w:spacing/>
      <w:ind/>
    </w:pPr>
    <w:rPr>
      <w:color w:val="666666"/>
    </w:rPr>
  </w:style>
  <w:style w:type="paragraph" w:styleId="891">
    <w:name w:val="TOC Heading"/>
    <w:uiPriority w:val="39"/>
    <w:unhideWhenUsed/>
    <w:pPr>
      <w:pBdr/>
      <w:spacing/>
      <w:ind/>
    </w:pPr>
  </w:style>
  <w:style w:type="paragraph" w:styleId="892">
    <w:name w:val="table of figures"/>
    <w:basedOn w:val="893"/>
    <w:next w:val="893"/>
    <w:uiPriority w:val="99"/>
    <w:unhideWhenUsed/>
    <w:pPr>
      <w:pBdr/>
      <w:spacing w:after="0" w:afterAutospacing="0"/>
      <w:ind/>
    </w:pPr>
  </w:style>
  <w:style w:type="paragraph" w:styleId="893" w:default="1">
    <w:name w:val="Normal"/>
    <w:qFormat/>
    <w:pPr>
      <w:pBdr/>
      <w:spacing/>
      <w:ind/>
    </w:pPr>
  </w:style>
  <w:style w:type="character" w:styleId="894" w:default="1">
    <w:name w:val="Default Paragraph Font"/>
    <w:uiPriority w:val="1"/>
    <w:semiHidden/>
    <w:unhideWhenUsed/>
    <w:pPr>
      <w:pBdr/>
      <w:spacing/>
      <w:ind/>
    </w:pPr>
  </w:style>
  <w:style w:type="table" w:styleId="89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paragraph" w:styleId="897">
    <w:name w:val="List Paragraph"/>
    <w:basedOn w:val="893"/>
    <w:link w:val="899"/>
    <w:uiPriority w:val="34"/>
    <w:qFormat/>
    <w:pPr>
      <w:pBdr/>
      <w:spacing/>
      <w:ind w:left="720"/>
      <w:contextualSpacing w:val="true"/>
    </w:pPr>
  </w:style>
  <w:style w:type="table" w:styleId="898">
    <w:name w:val="Table Grid"/>
    <w:basedOn w:val="8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9" w:customStyle="1">
    <w:name w:val="Абзац списка Знак"/>
    <w:link w:val="897"/>
    <w:uiPriority w:val="34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Лепехина</dc:creator>
  <cp:keywords/>
  <dc:description/>
  <cp:revision>63</cp:revision>
  <dcterms:created xsi:type="dcterms:W3CDTF">2022-10-27T04:56:00Z</dcterms:created>
  <dcterms:modified xsi:type="dcterms:W3CDTF">2026-03-19T23:54:09Z</dcterms:modified>
</cp:coreProperties>
</file>