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left="-851"/>
        <w:jc w:val="right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/>
        <w:ind/>
        <w:jc w:val="center"/>
        <w:outlineLvl w:val="0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Calibri" w:cs="Times New Roman"/>
          <w:b/>
        </w:rPr>
        <w:t xml:space="preserve">ТЕХНИЧЕСКАЯ ЧАСТЬ</w:t>
      </w:r>
      <w:r>
        <w:rPr>
          <w:rFonts w:ascii="Times New Roman" w:hAnsi="Times New Roman" w:eastAsia="Calibri" w:cs="Times New Roman"/>
          <w:b/>
        </w:rPr>
      </w:r>
      <w:r>
        <w:rPr>
          <w:rFonts w:ascii="Times New Roman" w:hAnsi="Times New Roman" w:eastAsia="Calibri" w:cs="Times New Roman"/>
          <w:b/>
        </w:rPr>
      </w:r>
    </w:p>
    <w:p>
      <w:pPr>
        <w:pBdr/>
        <w:spacing w:after="0"/>
        <w:ind/>
        <w:jc w:val="center"/>
        <w:outlineLvl w:val="0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Calibri" w:cs="Times New Roman"/>
          <w:b/>
        </w:rPr>
        <w:t xml:space="preserve">СВЕДЕНИЯ ОБ ОБЪЕКТЕ ЗАКУПКИ</w:t>
      </w:r>
      <w:r>
        <w:rPr>
          <w:rFonts w:ascii="Times New Roman" w:hAnsi="Times New Roman" w:eastAsia="Calibri" w:cs="Times New Roman"/>
          <w:b/>
        </w:rPr>
      </w:r>
      <w:r>
        <w:rPr>
          <w:rFonts w:ascii="Times New Roman" w:hAnsi="Times New Roman" w:eastAsia="Calibri" w:cs="Times New Roman"/>
          <w:b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eastAsia="Calibri" w:cs="Times New Roman"/>
          <w:b/>
          <w:sz w:val="20"/>
          <w:szCs w:val="20"/>
        </w:rPr>
      </w:pPr>
      <w:r/>
      <w:bookmarkStart w:id="1" w:name="_GoBack"/>
      <w:r/>
      <w:bookmarkEnd w:id="1"/>
      <w:r>
        <w:rPr>
          <w:rFonts w:ascii="Times New Roman" w:hAnsi="Times New Roman" w:eastAsia="Calibri" w:cs="Times New Roman"/>
          <w:b/>
          <w:sz w:val="20"/>
          <w:szCs w:val="20"/>
        </w:rPr>
      </w:r>
      <w:r>
        <w:rPr>
          <w:rFonts w:ascii="Times New Roman" w:hAnsi="Times New Roman" w:eastAsia="Calibri" w:cs="Times New Roman"/>
          <w:b/>
          <w:sz w:val="20"/>
          <w:szCs w:val="20"/>
        </w:rPr>
      </w:r>
    </w:p>
    <w:p>
      <w:pPr>
        <w:pBdr/>
        <w:spacing w:after="0"/>
        <w:ind/>
        <w:contextualSpacing w:val="true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Товар, поставка которого предусмотрен требованиям настоящей технической части, должен быть разрешен к применению на территории Российской Федерации.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/>
        <w:ind/>
        <w:contextualSpacing w:val="true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Требуемые к поставке расходные материалы должны обеспечивать полную совместимость с указанными типами оборудования и при использовании не влиять на прекращ</w:t>
      </w:r>
      <w:r>
        <w:rPr>
          <w:rFonts w:ascii="Times New Roman" w:hAnsi="Times New Roman" w:eastAsia="Calibri" w:cs="Times New Roman"/>
          <w:sz w:val="24"/>
          <w:szCs w:val="24"/>
        </w:rPr>
        <w:t xml:space="preserve">ение (сокращение) гарантийных обязательств на оборудование и сокращение ресурса их работы, заявленные производителем оборудования. Поставляемые товары должны соответствовать техническим характеристикам, определенным фирмой-производителем указанной техники.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Поставляемые товары должны быть свободны от любых прав третьих лиц.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0"/>
          <w:numId w:val="2"/>
        </w:numPr>
        <w:pBdr/>
        <w:spacing w:after="0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Расходные материалы для принтеров должны быть новыми, не бывшими в употреблении (не должны быть повторно заправленными, не должны быть восстановленными, не содержать восстановленн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ые элементы). Расходные материалы для принтеров должны быть серийного выпуска промышленного производства, изготовленными под зарегистрированными товарными знаками, поставляться в оригинальной упаковке, содержащей все необходимые коды и знаки производителя.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pBdr/>
        <w:tabs>
          <w:tab w:val="left" w:leader="none" w:pos="0"/>
        </w:tabs>
        <w:spacing w:after="0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Расходные материалы для принтеров не должны иметь дефектов: деформаций, 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рещин, замятия, неровно завинченных винтов, потертостей, связанных с конструкцией, материалами или производственными процессами по их изготовлению, либо в результате проявляющихся в результате действия или упущения производителя и/или упущения поставщика.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 допускается поставка товаров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условия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хранения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которых были нарушены.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pBdr/>
        <w:tabs>
          <w:tab w:val="left" w:leader="none" w:pos="0"/>
        </w:tabs>
        <w:spacing w:after="0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Контакты чипа на корпусе продукции, в случае его наличия, не должны иметь потертостей или следов окисления. Чипы должны быть надежно закреплены на корпусе.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pBdr/>
        <w:tabs>
          <w:tab w:val="left" w:leader="none" w:pos="0"/>
        </w:tabs>
        <w:spacing w:after="0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Расходные материалы до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лжны быть снабжены запорной лентой чекой для предотвращения просыпания тонера. Каждая единица расходных материалов должна быть упакована в пластиковый пакет, внутренняя поверхность пакета не должна иметь следов просыпания тонера или следов потеков краски.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pBdr/>
        <w:tabs>
          <w:tab w:val="left" w:leader="none" w:pos="0"/>
        </w:tabs>
        <w:spacing w:after="0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поставке товара с продукцией должно быть передано санитарно-эпидемиологическое заключение.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pBdr/>
        <w:tabs>
          <w:tab w:val="left" w:leader="none" w:pos="0"/>
        </w:tabs>
        <w:spacing w:after="0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Поставщик обязан гарантировать качество и годность продукции к эксплуатации, при использовании, в целях, для которых предназначена данная продукция. Сроки гарантии продукции должны соответствовать указанным срокам в настоящей технической части.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Срок гарантии на расходные материалы для принтеров должен быть не менее 1 года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замена некачественных расходных материалов должна осуществляться в течение одного рабочего дня за счет поставщика.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pBdr/>
        <w:tabs>
          <w:tab w:val="left" w:leader="none" w:pos="0"/>
        </w:tabs>
        <w:spacing w:after="0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Расходные материалы для принтеров должны поставляться в упаковке, способной предотвратить их повреждение или порч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 во время перевозки, передачи заказчику и дальнейшего хранения. Отгрузка товара должна осуществляться в соответствии с требованиями и рекомендациями производителя товара, указанными в сопроводительной (технической, эксплуатационной) документации к товару.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pBdr/>
        <w:tabs>
          <w:tab w:val="left" w:leader="none" w:pos="0"/>
        </w:tabs>
        <w:spacing w:after="0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Каждая единица товара должна поставляться с комплектом технической документации - руководством по установке на русском языке, недопустимо представление технической документации в виде копий.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numPr>
          <w:ilvl w:val="0"/>
          <w:numId w:val="2"/>
        </w:numPr>
        <w:pBdr/>
        <w:tabs>
          <w:tab w:val="left" w:leader="none" w:pos="0"/>
        </w:tabs>
        <w:spacing w:after="0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Требование к маркировке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tabs>
          <w:tab w:val="left" w:leader="none" w:pos="0"/>
        </w:tabs>
        <w:spacing w:after="0" w:line="240" w:lineRule="auto"/>
        <w:ind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На индивидуальной упаковочной коробке наличие: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tabs>
          <w:tab w:val="left" w:leader="none" w:pos="142"/>
        </w:tabs>
        <w:spacing w:after="0" w:line="240" w:lineRule="auto"/>
        <w:ind w:left="709"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-наименование  товарного знака предприятия изготовителя;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tabs>
          <w:tab w:val="left" w:leader="none" w:pos="142"/>
        </w:tabs>
        <w:spacing w:after="0" w:line="240" w:lineRule="auto"/>
        <w:ind w:left="709"/>
        <w:contextualSpacing w:val="true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-марки картриджа и информации о совместимости с определенным принтером;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hd w:val="clear" w:color="auto" w:fill="ffffff"/>
        <w:tabs>
          <w:tab w:val="left" w:leader="none" w:pos="142"/>
        </w:tabs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-номер партии на коробке и на картридже должны совпадать;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</w:p>
    <w:p>
      <w:pPr>
        <w:pBdr/>
        <w:shd w:val="clear" w:color="auto" w:fill="ffffff"/>
        <w:tabs>
          <w:tab w:val="left" w:leader="none" w:pos="142"/>
        </w:tabs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-голограммы, защитные пломбы, марки, содержащие все элементы защиты от подделок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(микротекст, изменяемый под углом зрения цвет логотипа, 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термополоса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 и т.п.);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/>
        <w:jc w:val="both"/>
        <w:outlineLvl w:val="0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 - На корпусе картриджа наличие: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- наименования производителя;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-марки картриджа,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  <w:t xml:space="preserve">-серийный номер картриджа (должен совпадать с номером на упаковке).</w:t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</w:p>
    <w:p>
      <w:pPr>
        <w:pBdr/>
        <w:shd w:val="clear" w:color="auto" w:fill="ffffff"/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1a1a1a"/>
          <w:sz w:val="24"/>
          <w:szCs w:val="24"/>
          <w:lang w:eastAsia="ru-RU"/>
        </w:rPr>
      </w:r>
    </w:p>
    <w:p>
      <w:pPr>
        <w:pBdr/>
        <w:spacing/>
        <w:ind/>
        <w:outlineLvl w:val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Срок поставки: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 течение 1</w:t>
      </w:r>
      <w:r>
        <w:rPr>
          <w:rFonts w:ascii="Times New Roman" w:hAnsi="Times New Roman" w:eastAsia="Calibri" w:cs="Times New Roman"/>
          <w:sz w:val="24"/>
          <w:szCs w:val="24"/>
        </w:rPr>
        <w:t xml:space="preserve">0 дней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 даты заключения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Контракта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Год изг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отовления Товара   не ранее 2025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год.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/>
        <w:ind/>
        <w:outlineLvl w:val="0"/>
        <w:rPr>
          <w:rFonts w:ascii="Times New Roman" w:hAnsi="Times New Roman" w:eastAsia="Calibri" w:cs="Times New Roman"/>
          <w:b/>
          <w:color w:val="000000"/>
          <w:shd w:val="clear" w:color="auto" w:fill="ffffff"/>
        </w:rPr>
      </w:pPr>
      <w:r>
        <w:rPr>
          <w:rFonts w:ascii="Times New Roman" w:hAnsi="Times New Roman" w:eastAsia="Calibri" w:cs="Times New Roman"/>
          <w:b/>
          <w:color w:val="000000"/>
          <w:shd w:val="clear" w:color="auto" w:fill="ffffff"/>
        </w:rPr>
        <w:t xml:space="preserve">Количество к поставке:</w:t>
      </w:r>
      <w:r>
        <w:rPr>
          <w:rFonts w:ascii="Times New Roman" w:hAnsi="Times New Roman" w:eastAsia="Calibri" w:cs="Times New Roman"/>
          <w:b/>
          <w:color w:val="000000"/>
          <w:shd w:val="clear" w:color="auto" w:fill="ffffff"/>
        </w:rPr>
      </w:r>
      <w:r>
        <w:rPr>
          <w:rFonts w:ascii="Times New Roman" w:hAnsi="Times New Roman" w:eastAsia="Calibri" w:cs="Times New Roman"/>
          <w:b/>
          <w:color w:val="000000"/>
          <w:shd w:val="clear" w:color="auto" w:fill="ffffff"/>
        </w:rPr>
      </w:r>
    </w:p>
    <w:tbl>
      <w:tblPr>
        <w:tblInd w:w="29" w:type="dxa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40"/>
        <w:gridCol w:w="4541"/>
        <w:gridCol w:w="1292"/>
        <w:gridCol w:w="859"/>
        <w:gridCol w:w="1476"/>
        <w:gridCol w:w="1713"/>
      </w:tblGrid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Наименование товара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единица измерения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ОКПД 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КТРУ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trHeight w:val="6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shd w:val="clear" w:color="auto" w:fill="ffffff"/>
              </w:rPr>
              <w:t xml:space="preserve">Картридж для электрографических печатающих устройств Вид 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штука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28.23.25.000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20.59.12.120-00000002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shd w:val="clear" w:color="auto" w:fill="ffffff"/>
              </w:rPr>
              <w:t xml:space="preserve">Картридж для электрографических печатающих устройств Вид 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штука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28.23.25.000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20.59.12.120-00000002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shd w:val="clear" w:color="auto" w:fill="ffffff"/>
              </w:rPr>
              <w:t xml:space="preserve">Картридж для электрографических печатающих устройств Вид 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штука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28.23.25.000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20.59.12.120-00000002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shd w:val="clear" w:color="auto" w:fill="ffffff"/>
              </w:rPr>
              <w:t xml:space="preserve">Картридж для электрографических печатающих устройств Вид 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штука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28.23.25.000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20.59.12.120-00000002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79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shd w:val="clear" w:color="auto" w:fill="ffffff"/>
              </w:rPr>
              <w:t xml:space="preserve">Картридж для электрографических печатающих устройств Вид 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0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штука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28.23.25.000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20.59.12.120-00000002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pBdr/>
        <w:spacing/>
        <w:ind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line="240" w:lineRule="auto"/>
        <w:ind/>
        <w:jc w:val="center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Функциональные, технические и качественные характеристики, эксплуатационные характеристики товара.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  <w:t xml:space="preserve"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r>
    </w:p>
    <w:tbl>
      <w:tblPr>
        <w:jc w:val="center"/>
        <w:tblW w:w="105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7"/>
        <w:gridCol w:w="7098"/>
        <w:gridCol w:w="2956"/>
      </w:tblGrid>
      <w:tr>
        <w:trPr>
          <w:jc w:val="center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right="-36" w:left="-46"/>
              <w:contextualSpacing w:val="true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 w:after="0" w:line="240" w:lineRule="auto"/>
              <w:ind/>
              <w:rPr>
                <w:rFonts w:ascii="Times New Roman" w:hAnsi="Times New Roman" w:eastAsia="Calibri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Calibri" w:cs="Times New Roman"/>
                <w:b/>
                <w:color w:val="00000a"/>
                <w:sz w:val="24"/>
                <w:szCs w:val="24"/>
                <w:lang w:eastAsia="zh-CN" w:bidi="hi-IN"/>
              </w:rPr>
              <w:t xml:space="preserve">Наименование, характеристики, параметры товара</w:t>
            </w:r>
            <w:r>
              <w:rPr>
                <w:rFonts w:ascii="Times New Roman" w:hAnsi="Times New Roman" w:eastAsia="Calibri" w:cs="Times New Roman"/>
                <w:b/>
                <w:color w:val="00000a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Calibri" w:cs="Times New Roman"/>
                <w:b/>
                <w:color w:val="00000a"/>
                <w:sz w:val="24"/>
                <w:szCs w:val="24"/>
                <w:lang w:eastAsia="zh-CN" w:bidi="hi-I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 w:eastAsia="Calibri" w:cs="Times New Roman"/>
                <w:b/>
                <w:color w:val="00000a"/>
                <w:sz w:val="24"/>
                <w:szCs w:val="24"/>
                <w:lang w:eastAsia="zh-CN" w:bidi="hi-IN"/>
              </w:rPr>
              <w:t xml:space="preserve">Требуемое значение, величина параметра</w:t>
            </w:r>
            <w:r>
              <w:rPr>
                <w:rFonts w:ascii="Times New Roman" w:hAnsi="Times New Roman" w:eastAsia="Calibri" w:cs="Times New Roman"/>
                <w:b/>
                <w:color w:val="00000a"/>
                <w:sz w:val="24"/>
                <w:szCs w:val="24"/>
                <w:lang w:eastAsia="zh-CN" w:bidi="hi-IN"/>
              </w:rPr>
            </w:r>
            <w:r>
              <w:rPr>
                <w:rFonts w:ascii="Times New Roman" w:hAnsi="Times New Roman" w:eastAsia="Calibri" w:cs="Times New Roman"/>
                <w:b/>
                <w:color w:val="00000a"/>
                <w:sz w:val="24"/>
                <w:szCs w:val="24"/>
                <w:lang w:eastAsia="zh-CN" w:bidi="hi-IN"/>
              </w:rPr>
            </w:r>
          </w:p>
        </w:tc>
      </w:tr>
      <w:tr>
        <w:trPr>
          <w:jc w:val="center"/>
          <w:trHeight w:val="40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Картридж для электрографически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х печатающих устройств Вид 1 –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1 шт.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80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Наименование в соответствии с техническим паспортом и/или руководством по эксплуатации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8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Товарный знак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установлен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Страна происхождения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установлена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73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Назначение: расходные материалы для МФУ или принтера, содержащие чернила или тонер, обеспечивающие печать документов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107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Модель принтера (МФУ)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МФУ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Canon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i-SENSYS MF744Cdw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107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Модель картриджа в соответствии с технической документацией на принтер (МФУ)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Картридж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Canon Cartridge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055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Y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ellow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Маркировка товара на картридже и упаковке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055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Y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ellow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Тип  печати: лазерный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Цвет: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желтый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Ресурс при 5% заполнении листа 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страниц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1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 чипа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49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Картридж для  электрографических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 печатающих  устройств Вид 2 – 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 шт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Наименование в соответствии с техническим паспортом и/или руководством по эксплуатации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Товарный знак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установлен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16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Страна происхождения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установлена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Назначение: расходные материалы для МФУ или принтера, содержащие чернила или тонер, обеспечивающие печать документов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Модель принтера (МФУ)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МФУ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Canon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i-SENSYS MF744Cdw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Модель картриджа в соответствии с технической документацией на принтер (МФУ)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Картридж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Canon Cartridge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055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Magenta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  <w:trHeight w:val="3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Маркировка товара на картридже и упаковке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055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Magenta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Тип  печати: лазерный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4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Цвет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пурпурный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Ресур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 при 5% заполнении листа 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00 страниц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1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 чипа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Картридж для  электрографических  печатающих  устройств Вид 3 –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 шт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Наименование в соответствии с техническим паспортом и/или руководством по эксплуатации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Товарный знак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установлен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Страна происхождения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установлена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указывается поставщиком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Назначение: расходные материалы для МФУ или принтера, содержащие чернила или тонер, обеспечивающие печать документов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Модель принтера (МФУ)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МФУ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/>
              </w:rPr>
              <w:t xml:space="preserve"> Canon i-SENSYS MF744Cdw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Модель картриджа в соответствии с технической документацией на принтер (МФУ)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Картридж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Canon Cartridge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055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Cyan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  <w:trHeight w:val="4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Маркировка товара на картридже и упаковке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055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Cyan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40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Тип  печати: лазерный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Цвет: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голубой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4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Ресурс при 5% заполнении листа 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5900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страниц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13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 чипа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7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Картридж для  электрографических  печатающих  устройств Вид 4-1шт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Наименование в соответствии с техническим паспортом и/или руководством по эксплуатации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Товарный знак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установлен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Страна происхождения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установлена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Назначение: расходные материалы для МФУ или принтера, содержащие чернила или тонер, обеспечивающие печать документов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Модель принтера (МФУ)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МФУ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/>
              </w:rPr>
              <w:t xml:space="preserve"> Canon i-SENSYS MF744Cdw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Модель картриджа в соответствии с технической документацией на принтер (МФУ)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Картридж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Canon Cartridge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055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Black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Маркировка товара на картридже и упаковке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05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Black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Тип печати: лазерный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Цвет: черный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Ресурс при 5% заполнении листа 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00 страниц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1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 чипа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Картридж для  электрографических  печатающих  устройств Вид 5 – 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 шт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shd w:val="clear" w:color="auto" w:fill="ffffff"/>
              </w:rPr>
              <w:t xml:space="preserve">.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contextualSpacing w:val="true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4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Наименование в соответствии с техническим паспортом и/или руководством по эксплуатации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709"/>
              </w:tabs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Товарный знак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установлен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указывается поставщиком 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Страна происхождения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установлена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указывается поставщиком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заявке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Назначение: расходные материалы для МФУ или принтера, содержащие чернила или тонер, обеспечивающие печать документов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8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Модель принтера (МФУ)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МФУ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Canon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i-SENSYS MF443dw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8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Модель картриджа в соответствии с технической документацией на принтер (МФУ)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Картридж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Canon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Cartridge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057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4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Маркировка товара на картридже и упаковке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framePr w:h="1085" w:hAnchor="page" w:vAnchor="page" w:w="3962" w:wrap="auto" w:x="6982" w:y="1265"/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057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Тип  печати: лазерный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Цвет: черный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Ресурс при 5% зап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олнении листа 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10000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страниц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2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 чипа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</w:rPr>
      </w:r>
    </w:p>
    <w:p>
      <w:pPr>
        <w:keepNext w:val="true"/>
        <w:pBdr/>
        <w:spacing w:after="0" w:line="240" w:lineRule="exact"/>
        <w:ind w:hanging="216" w:left="216"/>
        <w:jc w:val="both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Безопасность Товара должна соответствовать требованиям технических регламентов, действующих на территории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keepNext w:val="true"/>
        <w:pBdr/>
        <w:spacing w:after="0" w:line="240" w:lineRule="exact"/>
        <w:ind w:hanging="216" w:left="216"/>
        <w:jc w:val="both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Товар должен быть изготовлен в соответствии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- ГОСТ </w:t>
      </w:r>
      <w:r>
        <w:rPr>
          <w:rFonts w:ascii="Times New Roman" w:hAnsi="Times New Roman" w:eastAsia="Times New Roman" w:cs="Times New Roman"/>
          <w:lang w:eastAsia="ru-RU"/>
        </w:rPr>
        <w:t xml:space="preserve">Р</w:t>
      </w:r>
      <w:r>
        <w:rPr>
          <w:rFonts w:ascii="Times New Roman" w:hAnsi="Times New Roman" w:eastAsia="Times New Roman" w:cs="Times New Roman"/>
          <w:lang w:eastAsia="ru-RU"/>
        </w:rPr>
        <w:t xml:space="preserve"> 56691-2015 «Безопасность потребительских товаров. Руководящие указания для поставщиков и распространителей продукции» (утвержден и введен в действие Приказом Федерального агентства по техническому регулированию и метрологии от 9 ноября 2015 г. № 1738-ст);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- ГОСТ 13.2.014-2001 «Репрография. </w:t>
      </w:r>
      <w:r>
        <w:rPr>
          <w:rFonts w:ascii="Times New Roman" w:hAnsi="Times New Roman" w:eastAsia="Times New Roman" w:cs="Times New Roman"/>
          <w:lang w:eastAsia="ru-RU"/>
        </w:rPr>
        <w:t xml:space="preserve">Копирография</w:t>
      </w:r>
      <w:r>
        <w:rPr>
          <w:rFonts w:ascii="Times New Roman" w:hAnsi="Times New Roman" w:eastAsia="Times New Roman" w:cs="Times New Roman"/>
          <w:lang w:eastAsia="ru-RU"/>
        </w:rPr>
        <w:t xml:space="preserve">. Метод испытания сухих тонеров для электрофотографических аппаратов по качеству воспроизведения изображения на копиях»;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- ГОСТ 13.2.015-2001 «Репрография. </w:t>
      </w:r>
      <w:r>
        <w:rPr>
          <w:rFonts w:ascii="Times New Roman" w:hAnsi="Times New Roman" w:eastAsia="Times New Roman" w:cs="Times New Roman"/>
          <w:lang w:eastAsia="ru-RU"/>
        </w:rPr>
        <w:t xml:space="preserve">Копирография</w:t>
      </w:r>
      <w:r>
        <w:rPr>
          <w:rFonts w:ascii="Times New Roman" w:hAnsi="Times New Roman" w:eastAsia="Times New Roman" w:cs="Times New Roman"/>
          <w:lang w:eastAsia="ru-RU"/>
        </w:rPr>
        <w:t xml:space="preserve">. Метод определения расхода тонера при проявлении в электрофотографических аппаратах»;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- ГОСТ ИСО 14123-1-2000 «Безопасность оборудования. Снижение риска для здоровья от опасных веществ, выделяемых оборудованием. Часть 1. Основные положения и технические требования» (введен в действие с 01.07.2003 г Постановлением Государственного комитета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Российской Федерации по стандартизации и метрологии от 29 апреля 2002 г. № 178-ст).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bCs/>
        </w:rPr>
      </w:pPr>
      <w:r>
        <w:rPr>
          <w:rFonts w:ascii="Times New Roman" w:hAnsi="Times New Roman" w:eastAsia="Calibri" w:cs="Times New Roman"/>
          <w:b/>
          <w:bCs/>
        </w:rPr>
        <w:t xml:space="preserve">Порядок контроля и приемки поставленного товара</w:t>
      </w:r>
      <w:r>
        <w:rPr>
          <w:rFonts w:ascii="Times New Roman" w:hAnsi="Times New Roman" w:eastAsia="Calibri" w:cs="Times New Roman"/>
          <w:b/>
          <w:bCs/>
        </w:rPr>
      </w:r>
      <w:r>
        <w:rPr>
          <w:rFonts w:ascii="Times New Roman" w:hAnsi="Times New Roman" w:eastAsia="Calibri" w:cs="Times New Roman"/>
          <w:b/>
          <w:bCs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bCs/>
        </w:rPr>
      </w:pPr>
      <w:r>
        <w:rPr>
          <w:rFonts w:ascii="Times New Roman" w:hAnsi="Times New Roman" w:eastAsia="Calibri" w:cs="Times New Roman"/>
          <w:bCs/>
        </w:rPr>
        <w:t xml:space="preserve">Приемка Товара производится в соответствии с контрактом. Поставщик должен передать Заказчику:</w:t>
      </w:r>
      <w:r>
        <w:rPr>
          <w:rFonts w:ascii="Times New Roman" w:hAnsi="Times New Roman" w:eastAsia="Calibri" w:cs="Times New Roman"/>
          <w:bCs/>
        </w:rPr>
      </w:r>
      <w:r>
        <w:rPr>
          <w:rFonts w:ascii="Times New Roman" w:hAnsi="Times New Roman" w:eastAsia="Calibri" w:cs="Times New Roman"/>
          <w:bCs/>
        </w:rPr>
      </w:r>
    </w:p>
    <w:p>
      <w:pPr>
        <w:pBdr/>
        <w:spacing w:after="0" w:line="240" w:lineRule="auto"/>
        <w:ind w:left="568"/>
        <w:contextualSpacing w:val="true"/>
        <w:jc w:val="both"/>
        <w:rPr>
          <w:rFonts w:ascii="Times New Roman" w:hAnsi="Times New Roman" w:eastAsia="Calibri" w:cs="Times New Roman"/>
          <w:bCs/>
        </w:rPr>
      </w:pPr>
      <w:r>
        <w:rPr>
          <w:rFonts w:ascii="Times New Roman" w:hAnsi="Times New Roman" w:eastAsia="Calibri" w:cs="Times New Roman"/>
          <w:bCs/>
        </w:rPr>
        <w:t xml:space="preserve"> Счет; счет-фактуру (при наличии), товарную накладную или универсальный передаточный документ</w:t>
      </w:r>
      <w:r>
        <w:rPr>
          <w:rFonts w:ascii="Times New Roman" w:hAnsi="Times New Roman" w:eastAsia="Calibri" w:cs="Times New Roman"/>
          <w:bCs/>
        </w:rPr>
      </w:r>
      <w:r>
        <w:rPr>
          <w:rFonts w:ascii="Times New Roman" w:hAnsi="Times New Roman" w:eastAsia="Calibri" w:cs="Times New Roman"/>
          <w:bCs/>
        </w:rPr>
      </w:r>
    </w:p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 w:eastAsia="Calibri" w:cs="Times New Roman"/>
          <w:bCs/>
        </w:rPr>
      </w:pPr>
      <w:r>
        <w:rPr>
          <w:rFonts w:ascii="Times New Roman" w:hAnsi="Times New Roman" w:eastAsia="Calibri" w:cs="Times New Roman"/>
          <w:bCs/>
        </w:rPr>
        <w:t xml:space="preserve">(далее -</w:t>
      </w:r>
      <w:r>
        <w:rPr>
          <w:rFonts w:ascii="Times New Roman" w:hAnsi="Times New Roman" w:eastAsia="Calibri" w:cs="Times New Roman"/>
          <w:bCs/>
        </w:rPr>
        <w:t xml:space="preserve"> </w:t>
      </w:r>
      <w:r>
        <w:rPr>
          <w:rFonts w:ascii="Times New Roman" w:hAnsi="Times New Roman" w:eastAsia="Calibri" w:cs="Times New Roman"/>
          <w:bCs/>
        </w:rPr>
        <w:t xml:space="preserve">УПД), </w:t>
      </w:r>
      <w:r>
        <w:rPr>
          <w:rFonts w:ascii="Times New Roman" w:hAnsi="Times New Roman" w:eastAsia="Calibri" w:cs="Times New Roman"/>
          <w:bCs/>
        </w:rPr>
        <w:t xml:space="preserve">составленный</w:t>
      </w:r>
      <w:r>
        <w:rPr>
          <w:rFonts w:ascii="Times New Roman" w:hAnsi="Times New Roman" w:eastAsia="Calibri" w:cs="Times New Roman"/>
          <w:bCs/>
        </w:rPr>
        <w:t xml:space="preserve"> по форме в соответствии с законодательством Российской Федерации.</w:t>
      </w:r>
      <w:r>
        <w:rPr>
          <w:rFonts w:ascii="Times New Roman" w:hAnsi="Times New Roman" w:eastAsia="Calibri" w:cs="Times New Roman"/>
          <w:bCs/>
        </w:rPr>
      </w:r>
      <w:r>
        <w:rPr>
          <w:rFonts w:ascii="Times New Roman" w:hAnsi="Times New Roman" w:eastAsia="Calibri" w:cs="Times New Roman"/>
          <w:bCs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Calibri" w:cs="Times New Roman"/>
          <w:bCs/>
        </w:rPr>
        <w:t xml:space="preserve">На всех документах, перечисленных, обязательно должны быть указаны наименование Заказчика, Поставщика, номер и дата Контракта, даты оформления и подписания документов</w:t>
      </w:r>
      <w:r>
        <w:rPr>
          <w:rFonts w:ascii="Times New Roman" w:hAnsi="Times New Roman" w:eastAsia="Calibri" w:cs="Times New Roman"/>
          <w:b/>
        </w:rPr>
      </w:r>
      <w:r>
        <w:rPr>
          <w:rFonts w:ascii="Times New Roman" w:hAnsi="Times New Roman" w:eastAsia="Calibri" w:cs="Times New Roman"/>
          <w:b/>
        </w:rPr>
      </w:r>
    </w:p>
    <w:p>
      <w:pPr>
        <w:pBdr/>
        <w:spacing/>
        <w:ind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 w:firstLine="142" w:left="-284"/>
        <w:jc w:val="both"/>
        <w:rPr>
          <w:rFonts w:ascii="Times New Roman" w:hAnsi="Times New Roman" w:eastAsia="Calibri" w:cs="Times New Roman"/>
          <w:b/>
          <w:sz w:val="20"/>
          <w:szCs w:val="20"/>
        </w:rPr>
      </w:pPr>
      <w:r>
        <w:rPr>
          <w:rFonts w:ascii="Times New Roman" w:hAnsi="Times New Roman" w:eastAsia="Calibri" w:cs="Times New Roman"/>
          <w:b/>
          <w:sz w:val="20"/>
          <w:szCs w:val="20"/>
        </w:rPr>
        <w:t xml:space="preserve">Примечание: </w:t>
      </w:r>
      <w:r>
        <w:rPr>
          <w:rFonts w:ascii="Times New Roman" w:hAnsi="Times New Roman" w:eastAsia="Calibri" w:cs="Times New Roman"/>
          <w:b/>
          <w:sz w:val="20"/>
          <w:szCs w:val="20"/>
        </w:rPr>
      </w:r>
      <w:r>
        <w:rPr>
          <w:rFonts w:ascii="Times New Roman" w:hAnsi="Times New Roman" w:eastAsia="Calibri" w:cs="Times New Roman"/>
          <w:b/>
          <w:sz w:val="20"/>
          <w:szCs w:val="20"/>
        </w:rPr>
      </w:r>
    </w:p>
    <w:p>
      <w:pPr>
        <w:pBdr/>
        <w:spacing w:after="0" w:line="240" w:lineRule="auto"/>
        <w:ind w:firstLine="142" w:left="-284"/>
        <w:jc w:val="both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Во всех случаях, когда в Технической части или в приложениях к ней (при наличии) имеются ссылки на конкретные стандарт</w:t>
      </w:r>
      <w:r>
        <w:rPr>
          <w:rFonts w:ascii="Times New Roman" w:hAnsi="Times New Roman" w:eastAsia="Calibri" w:cs="Times New Roman"/>
          <w:sz w:val="16"/>
          <w:szCs w:val="16"/>
        </w:rPr>
        <w:t xml:space="preserve">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rFonts w:ascii="Times New Roman" w:hAnsi="Times New Roman" w:eastAsia="Calibri" w:cs="Times New Roman"/>
          <w:sz w:val="16"/>
          <w:szCs w:val="16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rFonts w:ascii="Times New Roman" w:hAnsi="Times New Roman" w:eastAsia="Calibri" w:cs="Times New Roman"/>
          <w:sz w:val="16"/>
          <w:szCs w:val="16"/>
        </w:rPr>
      </w:r>
      <w:r>
        <w:rPr>
          <w:rFonts w:ascii="Times New Roman" w:hAnsi="Times New Roman" w:eastAsia="Calibri" w:cs="Times New Roman"/>
          <w:sz w:val="16"/>
          <w:szCs w:val="16"/>
        </w:rPr>
      </w:r>
    </w:p>
    <w:p>
      <w:pPr>
        <w:widowControl w:val="false"/>
        <w:pBdr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/>
        <w:ind/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567" w:left="85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Lucida Sans Unicode">
    <w:panose1 w:val="020B0502040504020204"/>
  </w:font>
  <w:font w:name="Lohit Hindi">
    <w:panose1 w:val="02020603050405020304"/>
  </w:font>
  <w:font w:name="Segoe UI">
    <w:panose1 w:val="020B050204050402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D31E37"/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4">
    <w:name w:val="Table Grid Light"/>
    <w:basedOn w:val="8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2"/>
    <w:basedOn w:val="881"/>
    <w:next w:val="881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0">
    <w:name w:val="Heading 3"/>
    <w:basedOn w:val="881"/>
    <w:next w:val="881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1">
    <w:name w:val="Heading 5"/>
    <w:basedOn w:val="881"/>
    <w:next w:val="881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1"/>
    <w:next w:val="881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1"/>
    <w:next w:val="881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1"/>
    <w:next w:val="881"/>
    <w:link w:val="8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1"/>
    <w:next w:val="881"/>
    <w:link w:val="8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>
    <w:name w:val="Heading 1 Char"/>
    <w:basedOn w:val="884"/>
    <w:link w:val="88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7">
    <w:name w:val="Heading 2 Char"/>
    <w:basedOn w:val="884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8">
    <w:name w:val="Heading 3 Char"/>
    <w:basedOn w:val="884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9">
    <w:name w:val="Heading 4 Char"/>
    <w:basedOn w:val="884"/>
    <w:link w:val="88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0">
    <w:name w:val="Heading 5 Char"/>
    <w:basedOn w:val="884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1">
    <w:name w:val="Heading 6 Char"/>
    <w:basedOn w:val="884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2">
    <w:name w:val="Heading 7 Char"/>
    <w:basedOn w:val="884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3">
    <w:name w:val="Heading 8 Char"/>
    <w:basedOn w:val="884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4">
    <w:name w:val="Heading 9 Char"/>
    <w:basedOn w:val="884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Title Char"/>
    <w:basedOn w:val="884"/>
    <w:link w:val="89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6">
    <w:name w:val="Subtitle Char"/>
    <w:basedOn w:val="884"/>
    <w:link w:val="89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7">
    <w:name w:val="Quote"/>
    <w:basedOn w:val="881"/>
    <w:next w:val="881"/>
    <w:link w:val="84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8">
    <w:name w:val="Quote Char"/>
    <w:basedOn w:val="884"/>
    <w:link w:val="84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49">
    <w:name w:val="Intense Emphasis"/>
    <w:basedOn w:val="88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0">
    <w:name w:val="Intense Quote"/>
    <w:basedOn w:val="881"/>
    <w:next w:val="881"/>
    <w:link w:val="85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1">
    <w:name w:val="Intense Quote Char"/>
    <w:basedOn w:val="884"/>
    <w:link w:val="85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2">
    <w:name w:val="Intense Reference"/>
    <w:basedOn w:val="88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3">
    <w:name w:val="Subtle Emphasis"/>
    <w:basedOn w:val="88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4">
    <w:name w:val="Emphasis"/>
    <w:basedOn w:val="884"/>
    <w:uiPriority w:val="20"/>
    <w:qFormat/>
    <w:pPr>
      <w:pBdr/>
      <w:spacing/>
      <w:ind/>
    </w:pPr>
    <w:rPr>
      <w:i/>
      <w:iCs/>
    </w:rPr>
  </w:style>
  <w:style w:type="character" w:styleId="855">
    <w:name w:val="Strong"/>
    <w:basedOn w:val="884"/>
    <w:uiPriority w:val="22"/>
    <w:qFormat/>
    <w:pPr>
      <w:pBdr/>
      <w:spacing/>
      <w:ind/>
    </w:pPr>
    <w:rPr>
      <w:b/>
      <w:bCs/>
    </w:rPr>
  </w:style>
  <w:style w:type="character" w:styleId="856">
    <w:name w:val="Subtle Reference"/>
    <w:basedOn w:val="88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7">
    <w:name w:val="Book Title"/>
    <w:basedOn w:val="88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8">
    <w:name w:val="Header"/>
    <w:basedOn w:val="881"/>
    <w:link w:val="85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9">
    <w:name w:val="Header Char"/>
    <w:basedOn w:val="884"/>
    <w:link w:val="858"/>
    <w:uiPriority w:val="99"/>
    <w:pPr>
      <w:pBdr/>
      <w:spacing/>
      <w:ind/>
    </w:pPr>
  </w:style>
  <w:style w:type="paragraph" w:styleId="860">
    <w:name w:val="Footer"/>
    <w:basedOn w:val="881"/>
    <w:link w:val="86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1">
    <w:name w:val="Footer Char"/>
    <w:basedOn w:val="884"/>
    <w:link w:val="860"/>
    <w:uiPriority w:val="99"/>
    <w:pPr>
      <w:pBdr/>
      <w:spacing/>
      <w:ind/>
    </w:pPr>
  </w:style>
  <w:style w:type="paragraph" w:styleId="862">
    <w:name w:val="Caption"/>
    <w:basedOn w:val="881"/>
    <w:next w:val="8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3">
    <w:name w:val="footnote text"/>
    <w:basedOn w:val="881"/>
    <w:link w:val="86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4">
    <w:name w:val="Footnote Text Char"/>
    <w:basedOn w:val="884"/>
    <w:link w:val="863"/>
    <w:uiPriority w:val="99"/>
    <w:semiHidden/>
    <w:pPr>
      <w:pBdr/>
      <w:spacing/>
      <w:ind/>
    </w:pPr>
    <w:rPr>
      <w:sz w:val="20"/>
      <w:szCs w:val="20"/>
    </w:rPr>
  </w:style>
  <w:style w:type="character" w:styleId="865">
    <w:name w:val="footnote reference"/>
    <w:basedOn w:val="884"/>
    <w:uiPriority w:val="99"/>
    <w:semiHidden/>
    <w:unhideWhenUsed/>
    <w:pPr>
      <w:pBdr/>
      <w:spacing/>
      <w:ind/>
    </w:pPr>
    <w:rPr>
      <w:vertAlign w:val="superscript"/>
    </w:rPr>
  </w:style>
  <w:style w:type="paragraph" w:styleId="866">
    <w:name w:val="endnote text"/>
    <w:basedOn w:val="881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Endnote Text Char"/>
    <w:basedOn w:val="884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endnote reference"/>
    <w:basedOn w:val="884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0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1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2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3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4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5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6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7">
    <w:name w:val="toc 9"/>
    <w:basedOn w:val="881"/>
    <w:next w:val="881"/>
    <w:uiPriority w:val="39"/>
    <w:unhideWhenUsed/>
    <w:pPr>
      <w:pBdr/>
      <w:spacing w:after="100"/>
      <w:ind w:left="1760"/>
    </w:pPr>
  </w:style>
  <w:style w:type="character" w:styleId="878">
    <w:name w:val="Placeholder Text"/>
    <w:basedOn w:val="884"/>
    <w:uiPriority w:val="99"/>
    <w:semiHidden/>
    <w:pPr>
      <w:pBdr/>
      <w:spacing/>
      <w:ind/>
    </w:pPr>
    <w:rPr>
      <w:color w:val="666666"/>
    </w:r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</w:style>
  <w:style w:type="paragraph" w:styleId="882">
    <w:name w:val="Heading 1"/>
    <w:basedOn w:val="881"/>
    <w:next w:val="881"/>
    <w:link w:val="887"/>
    <w:uiPriority w:val="9"/>
    <w:qFormat/>
    <w:pPr>
      <w:keepNext w:val="true"/>
      <w:framePr w:h="1085" w:hAnchor="page" w:vAnchor="page" w:w="3962" w:wrap="auto" w:x="6982" w:y="1265"/>
      <w:pBdr/>
      <w:spacing w:after="0" w:line="240" w:lineRule="exact"/>
      <w:ind w:hanging="216" w:left="216"/>
      <w:outlineLvl w:val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83">
    <w:name w:val="Heading 4"/>
    <w:basedOn w:val="881"/>
    <w:next w:val="881"/>
    <w:link w:val="888"/>
    <w:semiHidden/>
    <w:unhideWhenUsed/>
    <w:qFormat/>
    <w:pPr>
      <w:keepNext w:val="true"/>
      <w:pBdr/>
      <w:spacing w:after="60" w:before="240" w:line="240" w:lineRule="auto"/>
      <w:ind/>
      <w:outlineLvl w:val="3"/>
    </w:pPr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character" w:styleId="884" w:default="1">
    <w:name w:val="Default Paragraph Font"/>
    <w:uiPriority w:val="1"/>
    <w:unhideWhenUsed/>
    <w:pPr>
      <w:pBdr/>
      <w:spacing/>
      <w:ind/>
    </w:pPr>
  </w:style>
  <w:style w:type="table" w:styleId="88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6" w:default="1">
    <w:name w:val="No List"/>
    <w:uiPriority w:val="99"/>
    <w:semiHidden/>
    <w:unhideWhenUsed/>
    <w:pPr>
      <w:pBdr/>
      <w:spacing/>
      <w:ind/>
    </w:pPr>
  </w:style>
  <w:style w:type="character" w:styleId="887" w:customStyle="1">
    <w:name w:val="Заголовок 1 Знак"/>
    <w:basedOn w:val="884"/>
    <w:link w:val="882"/>
    <w:uiPriority w:val="9"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88" w:customStyle="1">
    <w:name w:val="Заголовок 4 Знак"/>
    <w:basedOn w:val="884"/>
    <w:link w:val="883"/>
    <w:semiHidden/>
    <w:pPr>
      <w:pBdr/>
      <w:spacing/>
      <w:ind/>
    </w:pPr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numbering" w:styleId="889" w:customStyle="1">
    <w:name w:val="Нет списка1"/>
    <w:next w:val="886"/>
    <w:uiPriority w:val="99"/>
    <w:semiHidden/>
    <w:unhideWhenUsed/>
    <w:pPr>
      <w:pBdr/>
      <w:spacing/>
      <w:ind/>
    </w:pPr>
  </w:style>
  <w:style w:type="character" w:styleId="890" w:customStyle="1">
    <w:name w:val="Гиперссылка1"/>
    <w:basedOn w:val="884"/>
    <w:semiHidden/>
    <w:unhideWhenUsed/>
    <w:pPr>
      <w:pBdr/>
      <w:spacing/>
      <w:ind/>
    </w:pPr>
    <w:rPr>
      <w:color w:val="0000ff"/>
      <w:u w:val="single"/>
    </w:rPr>
  </w:style>
  <w:style w:type="character" w:styleId="891" w:customStyle="1">
    <w:name w:val="Просмотренная гиперссылка1"/>
    <w:basedOn w:val="884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892">
    <w:name w:val="Normal (Web)"/>
    <w:basedOn w:val="881"/>
    <w:uiPriority w:val="99"/>
    <w:semiHidden/>
    <w:unhideWhenUsed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893">
    <w:name w:val="Title"/>
    <w:basedOn w:val="881"/>
    <w:link w:val="894"/>
    <w:uiPriority w:val="99"/>
    <w:qFormat/>
    <w:pPr>
      <w:pBdr/>
      <w:spacing w:after="0" w:line="240" w:lineRule="auto"/>
      <w:ind w:left="-90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894" w:customStyle="1">
    <w:name w:val="Название Знак"/>
    <w:basedOn w:val="884"/>
    <w:link w:val="893"/>
    <w:uiPriority w:val="99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895">
    <w:name w:val="Body Text"/>
    <w:basedOn w:val="881"/>
    <w:link w:val="896"/>
    <w:uiPriority w:val="99"/>
    <w:semiHidden/>
    <w:unhideWhenUsed/>
    <w:pPr>
      <w:pBdr/>
      <w:spacing w:after="0" w:line="240" w:lineRule="auto"/>
      <w:ind/>
      <w:jc w:val="center"/>
    </w:pPr>
    <w:rPr>
      <w:rFonts w:ascii="Times New Roman" w:hAnsi="Times New Roman" w:eastAsia="Times New Roman" w:cs="Times New Roman"/>
      <w:szCs w:val="20"/>
      <w:lang w:val="en-US" w:eastAsia="ru-RU"/>
    </w:rPr>
  </w:style>
  <w:style w:type="character" w:styleId="896" w:customStyle="1">
    <w:name w:val="Основной текст Знак"/>
    <w:basedOn w:val="884"/>
    <w:link w:val="895"/>
    <w:uiPriority w:val="99"/>
    <w:semiHidden/>
    <w:pPr>
      <w:pBdr/>
      <w:spacing/>
      <w:ind/>
    </w:pPr>
    <w:rPr>
      <w:rFonts w:ascii="Times New Roman" w:hAnsi="Times New Roman" w:eastAsia="Times New Roman" w:cs="Times New Roman"/>
      <w:szCs w:val="20"/>
      <w:lang w:val="en-US" w:eastAsia="ru-RU"/>
    </w:rPr>
  </w:style>
  <w:style w:type="paragraph" w:styleId="897">
    <w:name w:val="Subtitle"/>
    <w:basedOn w:val="881"/>
    <w:link w:val="898"/>
    <w:uiPriority w:val="99"/>
    <w:qFormat/>
    <w:pPr>
      <w:pBdr/>
      <w:tabs>
        <w:tab w:val="left" w:leader="none" w:pos="6804"/>
      </w:tabs>
      <w:spacing w:after="0" w:line="240" w:lineRule="auto"/>
      <w:ind/>
    </w:pPr>
    <w:rPr>
      <w:rFonts w:ascii="Times New Roman" w:hAnsi="Times New Roman" w:eastAsia="Times New Roman" w:cs="Times New Roman"/>
      <w:b/>
      <w:color w:val="000000"/>
      <w:sz w:val="16"/>
      <w:szCs w:val="20"/>
      <w:lang w:eastAsia="ru-RU"/>
    </w:rPr>
  </w:style>
  <w:style w:type="character" w:styleId="898" w:customStyle="1">
    <w:name w:val="Подзаголовок Знак"/>
    <w:basedOn w:val="884"/>
    <w:link w:val="897"/>
    <w:uiPriority w:val="99"/>
    <w:pPr>
      <w:pBdr/>
      <w:spacing/>
      <w:ind/>
    </w:pPr>
    <w:rPr>
      <w:rFonts w:ascii="Times New Roman" w:hAnsi="Times New Roman" w:eastAsia="Times New Roman" w:cs="Times New Roman"/>
      <w:b/>
      <w:color w:val="000000"/>
      <w:sz w:val="16"/>
      <w:szCs w:val="20"/>
      <w:lang w:eastAsia="ru-RU"/>
    </w:rPr>
  </w:style>
  <w:style w:type="paragraph" w:styleId="899">
    <w:name w:val="Document Map"/>
    <w:basedOn w:val="881"/>
    <w:link w:val="900"/>
    <w:uiPriority w:val="99"/>
    <w:semiHidden/>
    <w:unhideWhenUsed/>
    <w:pPr>
      <w:pBdr/>
      <w:spacing w:after="0" w:line="240" w:lineRule="auto"/>
      <w:ind/>
    </w:pPr>
    <w:rPr>
      <w:rFonts w:ascii="Tahoma" w:hAnsi="Tahoma" w:eastAsia="Calibri" w:cs="Tahoma"/>
      <w:sz w:val="16"/>
      <w:szCs w:val="16"/>
    </w:rPr>
  </w:style>
  <w:style w:type="character" w:styleId="900" w:customStyle="1">
    <w:name w:val="Схема документа Знак"/>
    <w:basedOn w:val="884"/>
    <w:link w:val="899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</w:rPr>
  </w:style>
  <w:style w:type="paragraph" w:styleId="901">
    <w:name w:val="Balloon Text"/>
    <w:basedOn w:val="881"/>
    <w:link w:val="902"/>
    <w:uiPriority w:val="99"/>
    <w:semiHidden/>
    <w:unhideWhenUsed/>
    <w:pPr>
      <w:pBdr/>
      <w:spacing w:after="0" w:line="240" w:lineRule="auto"/>
      <w:ind/>
    </w:pPr>
    <w:rPr>
      <w:rFonts w:ascii="Segoe UI" w:hAnsi="Segoe UI" w:eastAsia="Calibri" w:cs="Segoe UI"/>
      <w:sz w:val="18"/>
      <w:szCs w:val="18"/>
    </w:rPr>
  </w:style>
  <w:style w:type="character" w:styleId="902" w:customStyle="1">
    <w:name w:val="Текст выноски Знак"/>
    <w:basedOn w:val="884"/>
    <w:link w:val="901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</w:rPr>
  </w:style>
  <w:style w:type="character" w:styleId="903" w:customStyle="1">
    <w:name w:val="Без интервала Знак"/>
    <w:link w:val="904"/>
    <w:uiPriority w:val="1"/>
    <w:pPr>
      <w:pBdr/>
      <w:spacing/>
      <w:ind/>
    </w:pPr>
    <w:rPr>
      <w:rFonts w:ascii="Calibri" w:hAnsi="Calibri" w:eastAsia="Calibri" w:cs="Times New Roman"/>
    </w:rPr>
  </w:style>
  <w:style w:type="paragraph" w:styleId="904">
    <w:name w:val="No Spacing"/>
    <w:link w:val="903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character" w:styleId="905" w:customStyle="1">
    <w:name w:val="Абзац списка Знак"/>
    <w:link w:val="906"/>
    <w:uiPriority w:val="34"/>
    <w:pPr>
      <w:pBdr/>
      <w:spacing/>
      <w:ind/>
    </w:pPr>
    <w:rPr>
      <w:rFonts w:ascii="Calibri" w:hAnsi="Calibri" w:eastAsia="Calibri" w:cs="Times New Roman"/>
    </w:rPr>
  </w:style>
  <w:style w:type="paragraph" w:styleId="906">
    <w:name w:val="List Paragraph"/>
    <w:basedOn w:val="881"/>
    <w:link w:val="905"/>
    <w:uiPriority w:val="34"/>
    <w:qFormat/>
    <w:pPr>
      <w:pBdr/>
      <w:spacing/>
      <w:ind w:left="720"/>
      <w:contextualSpacing w:val="true"/>
    </w:pPr>
    <w:rPr>
      <w:rFonts w:ascii="Calibri" w:hAnsi="Calibri" w:eastAsia="Calibri" w:cs="Times New Roman"/>
    </w:rPr>
  </w:style>
  <w:style w:type="paragraph" w:styleId="907" w:customStyle="1">
    <w:name w:val="Абзац списка1"/>
    <w:basedOn w:val="881"/>
    <w:uiPriority w:val="99"/>
    <w:pPr>
      <w:pBdr/>
      <w:spacing w:after="0" w:line="240" w:lineRule="auto"/>
      <w:ind w:left="720"/>
      <w:contextualSpacing w:val="true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8" w:customStyle="1">
    <w:name w:val="Содержимое таблицы"/>
    <w:basedOn w:val="881"/>
    <w:uiPriority w:val="99"/>
    <w:pPr>
      <w:widowControl w:val="false"/>
      <w:suppressLineNumbers w:val="true"/>
      <w:pBdr/>
      <w:spacing w:after="0" w:line="240" w:lineRule="auto"/>
      <w:ind/>
    </w:pPr>
    <w:rPr>
      <w:rFonts w:ascii="Times New Roman" w:hAnsi="Times New Roman" w:eastAsia="Lucida Sans Unicode" w:cs="Tahoma"/>
      <w:sz w:val="24"/>
      <w:szCs w:val="24"/>
      <w:lang w:eastAsia="hi-IN" w:bidi="hi-IN"/>
    </w:rPr>
  </w:style>
  <w:style w:type="paragraph" w:styleId="909" w:customStyle="1">
    <w:name w:val="Заголовок таблицы"/>
    <w:basedOn w:val="908"/>
    <w:uiPriority w:val="99"/>
    <w:pPr>
      <w:pBdr/>
      <w:spacing/>
      <w:ind/>
      <w:jc w:val="center"/>
    </w:pPr>
    <w:rPr>
      <w:b/>
      <w:bCs/>
    </w:rPr>
  </w:style>
  <w:style w:type="character" w:styleId="910" w:customStyle="1">
    <w:name w:val="ConsPlusNormal Знак"/>
    <w:link w:val="911"/>
    <w:pPr>
      <w:pBdr/>
      <w:spacing/>
      <w:ind/>
    </w:pPr>
    <w:rPr>
      <w:rFonts w:ascii="Arial" w:hAnsi="Arial" w:eastAsia="Times New Roman" w:cs="Arial"/>
      <w:sz w:val="20"/>
      <w:szCs w:val="20"/>
      <w:lang w:eastAsia="ru-RU"/>
    </w:rPr>
  </w:style>
  <w:style w:type="paragraph" w:styleId="911" w:customStyle="1">
    <w:name w:val="ConsPlusNormal"/>
    <w:link w:val="910"/>
    <w:qFormat/>
    <w:pPr>
      <w:widowControl w:val="false"/>
      <w:pBdr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912" w:customStyle="1">
    <w:name w:val="Знак Знак Знак Знак"/>
    <w:basedOn w:val="881"/>
    <w:uiPriority w:val="99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913" w:customStyle="1">
    <w:name w:val="Default"/>
    <w:uiPriority w:val="99"/>
    <w:pPr>
      <w:pBdr/>
      <w:spacing w:after="0" w:line="240" w:lineRule="auto"/>
      <w:ind/>
    </w:pPr>
    <w:rPr>
      <w:rFonts w:ascii="Arial" w:hAnsi="Arial" w:eastAsia="Calibri" w:cs="Arial"/>
      <w:color w:val="000000"/>
      <w:sz w:val="24"/>
      <w:szCs w:val="24"/>
      <w:lang w:eastAsia="ru-RU"/>
    </w:rPr>
  </w:style>
  <w:style w:type="paragraph" w:styleId="914" w:customStyle="1">
    <w:name w:val="222"/>
    <w:basedOn w:val="881"/>
    <w:uiPriority w:val="99"/>
    <w:qFormat/>
    <w:pPr>
      <w:pBdr/>
      <w:spacing w:after="0" w:line="240" w:lineRule="auto"/>
      <w:ind w:left="85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15" w:customStyle="1">
    <w:name w:val="122"/>
    <w:basedOn w:val="881"/>
    <w:uiPriority w:val="99"/>
    <w:pPr>
      <w:pBdr/>
      <w:spacing w:after="0" w:line="240" w:lineRule="auto"/>
      <w:ind w:hanging="851" w:left="851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16" w:customStyle="1">
    <w:name w:val="Обычный1"/>
    <w:uiPriority w:val="99"/>
    <w:qFormat/>
    <w:pPr>
      <w:widowControl w:val="false"/>
      <w:pBdr/>
      <w:tabs>
        <w:tab w:val="left" w:leader="none" w:pos="709"/>
      </w:tabs>
      <w:spacing w:after="0" w:line="240" w:lineRule="auto"/>
      <w:ind/>
    </w:pPr>
    <w:rPr>
      <w:rFonts w:ascii="Times New Roman" w:hAnsi="Times New Roman" w:eastAsia="Times New Roman" w:cs="Lohit Hindi"/>
      <w:color w:val="00000a"/>
      <w:sz w:val="24"/>
      <w:szCs w:val="24"/>
      <w:lang w:eastAsia="zh-CN" w:bidi="hi-IN"/>
    </w:rPr>
  </w:style>
  <w:style w:type="character" w:styleId="917" w:customStyle="1">
    <w:name w:val="pinkbg1"/>
    <w:basedOn w:val="884"/>
    <w:pPr>
      <w:pBdr/>
      <w:spacing/>
      <w:ind/>
    </w:pPr>
    <w:rPr>
      <w:shd w:val="clear" w:color="auto" w:fill="fdd7c9"/>
    </w:rPr>
  </w:style>
  <w:style w:type="character" w:styleId="918" w:customStyle="1">
    <w:name w:val="apple-style-span"/>
    <w:basedOn w:val="884"/>
    <w:pPr>
      <w:pBdr/>
      <w:spacing/>
      <w:ind/>
    </w:pPr>
  </w:style>
  <w:style w:type="character" w:styleId="919" w:customStyle="1">
    <w:name w:val="apple-converted-space"/>
    <w:basedOn w:val="884"/>
    <w:pPr>
      <w:pBdr/>
      <w:spacing/>
      <w:ind/>
    </w:pPr>
  </w:style>
  <w:style w:type="character" w:styleId="920" w:customStyle="1">
    <w:name w:val="extended-text__full"/>
    <w:basedOn w:val="884"/>
    <w:pPr>
      <w:pBdr/>
      <w:spacing/>
      <w:ind/>
    </w:pPr>
  </w:style>
  <w:style w:type="character" w:styleId="921" w:customStyle="1">
    <w:name w:val="extended-text__short"/>
    <w:basedOn w:val="884"/>
    <w:pPr>
      <w:pBdr/>
      <w:spacing/>
      <w:ind/>
    </w:pPr>
  </w:style>
  <w:style w:type="table" w:styleId="922">
    <w:name w:val="Table Grid"/>
    <w:basedOn w:val="885"/>
    <w:uiPriority w:val="39"/>
    <w:pPr>
      <w:pBdr/>
      <w:spacing w:after="0" w:line="240" w:lineRule="auto"/>
      <w:ind/>
    </w:pPr>
    <w:rPr>
      <w:rFonts w:ascii="Calibri" w:hAnsi="Calibri" w:eastAsia="Calibri" w:cs="Times New Roman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3">
    <w:name w:val="Hyperlink"/>
    <w:basedOn w:val="884"/>
    <w:uiPriority w:val="99"/>
    <w:semiHidden/>
    <w:unhideWhenUsed/>
    <w:pPr>
      <w:pBdr/>
      <w:spacing/>
      <w:ind/>
    </w:pPr>
    <w:rPr>
      <w:color w:val="0000ff" w:themeColor="hyperlink"/>
      <w:u w:val="single"/>
    </w:rPr>
  </w:style>
  <w:style w:type="character" w:styleId="924">
    <w:name w:val="FollowedHyperlink"/>
    <w:basedOn w:val="88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Гуров Алексей Викторович</dc:creator>
  <cp:keywords/>
  <dc:description/>
  <cp:revision>16</cp:revision>
  <dcterms:created xsi:type="dcterms:W3CDTF">2026-01-22T04:08:00Z</dcterms:created>
  <dcterms:modified xsi:type="dcterms:W3CDTF">2026-03-19T23:47:24Z</dcterms:modified>
</cp:coreProperties>
</file>