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02"/>
        <w:pBdr/>
        <w:spacing/>
        <w:ind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1002"/>
        <w:pBdr/>
        <w:spacing/>
        <w:ind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1002"/>
        <w:pBdr/>
        <w:spacing/>
        <w:ind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Проект контракта</w:t>
      </w:r>
      <w:r>
        <w:rPr>
          <w:rFonts w:ascii="Times New Roman" w:hAnsi="Times New Roman"/>
          <w:b/>
          <w:bCs/>
          <w:sz w:val="22"/>
          <w:szCs w:val="22"/>
        </w:rPr>
      </w: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1002"/>
        <w:pBdr/>
        <w:spacing/>
        <w:ind/>
        <w:jc w:val="center"/>
        <w:rPr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Контракт №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002"/>
        <w:pBdr/>
        <w:spacing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на поставку Товара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02"/>
        <w:pBdr/>
        <w:spacing/>
        <w:ind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1005"/>
        <w:pBdr/>
        <w:spacing/>
        <w:ind w:hanging="426" w:left="426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г. Хабаровск                                                                                                                        "      "                 2026 г.</w: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1005"/>
        <w:pBdr/>
        <w:spacing/>
        <w:ind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Bdr/>
        <w:spacing/>
        <w:ind/>
        <w:jc w:val="both"/>
        <w:rPr>
          <w:color w:val="000000" w:themeColor="text1"/>
          <w:sz w:val="21"/>
          <w:szCs w:val="21"/>
        </w:rPr>
      </w:pPr>
      <w:r>
        <w:rPr>
          <w:b/>
          <w:sz w:val="21"/>
          <w:szCs w:val="21"/>
        </w:rPr>
        <w:t xml:space="preserve">           </w:t>
      </w:r>
      <w:r>
        <w:rPr>
          <w:b/>
          <w:sz w:val="21"/>
          <w:szCs w:val="21"/>
        </w:rPr>
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</w:t>
      </w:r>
      <w:r>
        <w:rPr>
          <w:sz w:val="21"/>
          <w:szCs w:val="21"/>
        </w:rPr>
        <w:t xml:space="preserve">, именуемое в дальнейшем </w:t>
      </w:r>
      <w:r>
        <w:rPr>
          <w:b/>
          <w:sz w:val="21"/>
          <w:szCs w:val="21"/>
        </w:rPr>
        <w:t xml:space="preserve">«Заказчик»,</w:t>
      </w:r>
      <w:r>
        <w:rPr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в лице</w:t>
      </w:r>
      <w:r>
        <w:rPr>
          <w:spacing w:val="7"/>
          <w:sz w:val="21"/>
          <w:szCs w:val="21"/>
        </w:rPr>
        <w:t xml:space="preserve"> _________________</w:t>
      </w:r>
      <w:r>
        <w:rPr>
          <w:spacing w:val="3"/>
          <w:sz w:val="21"/>
          <w:szCs w:val="21"/>
        </w:rPr>
        <w:t xml:space="preserve">, </w:t>
      </w:r>
      <w:r>
        <w:rPr>
          <w:spacing w:val="5"/>
          <w:sz w:val="21"/>
          <w:szCs w:val="21"/>
        </w:rPr>
        <w:t xml:space="preserve">действующего на основании _______</w:t>
      </w:r>
      <w:r>
        <w:rPr>
          <w:sz w:val="21"/>
          <w:szCs w:val="21"/>
        </w:rPr>
        <w:t xml:space="preserve">, с одной стороны, </w:t>
      </w:r>
      <w:r>
        <w:rPr>
          <w:sz w:val="21"/>
          <w:szCs w:val="21"/>
        </w:rPr>
        <w:t xml:space="preserve">и___________________</w:t>
      </w:r>
      <w:r>
        <w:rPr>
          <w:b/>
          <w:sz w:val="21"/>
          <w:szCs w:val="21"/>
        </w:rPr>
        <w:t xml:space="preserve">,</w:t>
      </w:r>
      <w:r>
        <w:rPr>
          <w:sz w:val="21"/>
          <w:szCs w:val="21"/>
        </w:rPr>
        <w:t xml:space="preserve"> именуемое в дальнейшем  "Поставщик", в лице ________________ действующей на основании _________</w:t>
      </w:r>
      <w:r>
        <w:rPr>
          <w:bCs/>
          <w:iCs/>
          <w:spacing w:val="-6"/>
          <w:sz w:val="21"/>
          <w:szCs w:val="21"/>
        </w:rPr>
        <w:t xml:space="preserve">, с другой стороны, совместно именуемые "Стороны" и каждый по отдельности "Сторона", с соблюдением   требований Гражданского кодекса Российской Федерации</w:t>
      </w:r>
      <w:r>
        <w:rPr>
          <w:bCs/>
          <w:iCs/>
          <w:spacing w:val="-6"/>
          <w:sz w:val="21"/>
          <w:szCs w:val="21"/>
        </w:rPr>
        <w:t xml:space="preserve">, п. 5 ч.1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>
        <w:rPr>
          <w:sz w:val="21"/>
          <w:szCs w:val="21"/>
        </w:rPr>
        <w:t xml:space="preserve">,</w:t>
      </w:r>
      <w:r>
        <w:rPr>
          <w:bCs/>
          <w:iCs/>
          <w:spacing w:val="-6"/>
          <w:sz w:val="21"/>
          <w:szCs w:val="21"/>
        </w:rPr>
        <w:t xml:space="preserve"> ИКЗ: </w:t>
      </w:r>
      <w:hyperlink r:id="rId9" w:tooltip="https://zakupki.gov.ru/epz/orderplan/pg2020/specialPurchase/special-purchase-info.html?plan-number=202603221000038001&amp;position-number=202603221000038001000006&amp;version=0" w:history="1">
        <w:r>
          <w:rPr>
            <w:rStyle w:val="976"/>
            <w:color w:val="000000" w:themeColor="text1"/>
            <w:sz w:val="21"/>
            <w:szCs w:val="21"/>
            <w:highlight w:val="white"/>
            <w:u w:val="none"/>
          </w:rPr>
          <w:t xml:space="preserve">261272102089627210100100170000000000</w:t>
        </w:r>
      </w:hyperlink>
      <w:r>
        <w:rPr>
          <w:color w:val="000000" w:themeColor="text1"/>
          <w:sz w:val="21"/>
          <w:szCs w:val="21"/>
        </w:rPr>
        <w:t xml:space="preserve"> </w:t>
      </w:r>
      <w:r>
        <w:rPr>
          <w:bCs/>
          <w:iCs/>
          <w:spacing w:val="-6"/>
          <w:sz w:val="21"/>
          <w:szCs w:val="21"/>
        </w:rPr>
        <w:t xml:space="preserve"> заключили настоящий контракт (</w:t>
      </w:r>
      <w:r>
        <w:rPr>
          <w:bCs/>
          <w:iCs/>
          <w:spacing w:val="-6"/>
          <w:sz w:val="21"/>
          <w:szCs w:val="21"/>
        </w:rPr>
        <w:t xml:space="preserve">далее-Контракт</w:t>
      </w:r>
      <w:r>
        <w:rPr>
          <w:bCs/>
          <w:iCs/>
          <w:spacing w:val="-6"/>
          <w:sz w:val="21"/>
          <w:szCs w:val="21"/>
        </w:rPr>
        <w:t xml:space="preserve">) о нижеследующем:</w:t>
      </w:r>
      <w:r>
        <w:rPr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widowControl w:val="false"/>
        <w:pBdr/>
        <w:spacing w:before="120"/>
        <w:ind w:firstLine="567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1. Предмет Контракта</w:t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p>
      <w:pPr>
        <w:widowControl w:val="false"/>
        <w:pBdr/>
        <w:tabs>
          <w:tab w:val="left" w:leader="none" w:pos="567"/>
        </w:tabs>
        <w:spacing w:before="120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1.1. В соответствии с Контрактом Поставщик обязуется в порядке и сроки, предусмотренные Контрактом, осуществить поставку картриджей для МФУ (далее - Товар), в соответствии Спецификацией (</w:t>
      </w:r>
      <w:hyperlink w:tooltip="#P365" w:anchor="P365" w:history="1">
        <w:r>
          <w:rPr>
            <w:sz w:val="21"/>
            <w:szCs w:val="21"/>
          </w:rPr>
          <w:t xml:space="preserve">Приложение № 1</w:t>
        </w:r>
      </w:hyperlink>
      <w:r>
        <w:rPr>
          <w:sz w:val="21"/>
          <w:szCs w:val="21"/>
        </w:rPr>
        <w:t xml:space="preserve"> к Контракту), а Заказчик обязуется в порядке и сроки, предусмотренные Контрактом принять и оплатить поставленный Товар.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1002"/>
        <w:pBdr/>
        <w:tabs>
          <w:tab w:val="left" w:leader="none" w:pos="851"/>
          <w:tab w:val="left" w:leader="none" w:pos="10206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/>
      <w:bookmarkStart w:id="0" w:name="P46"/>
      <w:r/>
      <w:bookmarkEnd w:id="0"/>
      <w:r>
        <w:rPr>
          <w:rFonts w:ascii="Times New Roman" w:hAnsi="Times New Roman"/>
          <w:sz w:val="21"/>
          <w:szCs w:val="21"/>
        </w:rPr>
        <w:t xml:space="preserve">1.2. Номенклатура Товара и его количество определяются Спецификацией (Приложение № 1 к Контракту) и Техническими характеристиками (Приложение № 2 к Контракту).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851"/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1.3. Поставка Товара осуществляется Поставщиком собственными силами с разгрузкой транспортного средства по адресу: </w:t>
      </w:r>
      <w:r>
        <w:rPr>
          <w:rFonts w:ascii="Times New Roman" w:hAnsi="Times New Roman"/>
          <w:sz w:val="21"/>
          <w:szCs w:val="21"/>
        </w:rPr>
        <w:t xml:space="preserve">г</w:t>
      </w:r>
      <w:r>
        <w:rPr>
          <w:rFonts w:ascii="Times New Roman" w:hAnsi="Times New Roman"/>
          <w:sz w:val="21"/>
          <w:szCs w:val="21"/>
        </w:rPr>
        <w:t xml:space="preserve">. Хабаровск, ул. Муравьёва-Амурского 35, (далее – Место доставки) в соответствии с Отгрузочной разнарядкой (Планом распределения) (Приложение № 3 к Контракту) с даты заключения контракта в течение 10 дней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Bdr/>
        <w:tabs>
          <w:tab w:val="left" w:leader="none" w:pos="851"/>
        </w:tabs>
        <w:spacing/>
        <w:ind w:firstLine="540"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1002"/>
        <w:pBdr/>
        <w:tabs>
          <w:tab w:val="left" w:leader="none" w:pos="851"/>
        </w:tabs>
        <w:spacing/>
        <w:ind w:firstLine="540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2. Цена Контракта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1"/>
          <w:szCs w:val="21"/>
        </w:rPr>
        <w:t xml:space="preserve">2.1.</w:t>
      </w:r>
      <w:r>
        <w:rPr>
          <w:sz w:val="21"/>
          <w:szCs w:val="21"/>
        </w:rPr>
        <w:t xml:space="preserve"> </w:t>
      </w:r>
      <w:r>
        <w:rPr>
          <w:rFonts w:ascii="Times New Roman" w:hAnsi="Times New Roman"/>
          <w:sz w:val="20"/>
        </w:rPr>
        <w:t xml:space="preserve">Цена Контракта составляет</w:t>
      </w:r>
      <w:r>
        <w:rPr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__________________________________</w:t>
      </w:r>
      <w:r>
        <w:rPr>
          <w:rFonts w:ascii="Times New Roman" w:hAnsi="Times New Roman"/>
          <w:sz w:val="20"/>
        </w:rPr>
        <w:t xml:space="preserve">(________________________) </w:t>
      </w:r>
      <w:r>
        <w:rPr>
          <w:rFonts w:ascii="Times New Roman" w:hAnsi="Times New Roman"/>
          <w:sz w:val="20"/>
        </w:rPr>
        <w:t xml:space="preserve">рублей </w:t>
      </w:r>
      <w:r>
        <w:rPr>
          <w:rFonts w:ascii="Times New Roman" w:hAnsi="Times New Roman"/>
          <w:b/>
          <w:sz w:val="20"/>
        </w:rPr>
        <w:t xml:space="preserve">___</w:t>
      </w:r>
      <w:r>
        <w:rPr>
          <w:rFonts w:ascii="Times New Roman" w:hAnsi="Times New Roman"/>
          <w:sz w:val="20"/>
        </w:rPr>
        <w:t xml:space="preserve"> копеек, в том числе НДС - _________________ / либо НДС – не облагается</w:t>
      </w:r>
      <w:r>
        <w:rPr>
          <w:rFonts w:ascii="Times New Roman" w:hAnsi="Times New Roman"/>
          <w:b/>
          <w:sz w:val="20"/>
        </w:rPr>
        <w:t xml:space="preserve">.</w:t>
      </w:r>
      <w:r>
        <w:rPr>
          <w:rFonts w:ascii="Times New Roman" w:hAnsi="Times New Roman"/>
          <w:b/>
          <w:sz w:val="20"/>
        </w:rPr>
      </w:r>
      <w:r>
        <w:rPr>
          <w:rFonts w:ascii="Times New Roman" w:hAnsi="Times New Roman"/>
          <w:b/>
          <w:sz w:val="20"/>
        </w:rPr>
      </w:r>
    </w:p>
    <w:p>
      <w:pPr>
        <w:pBdr/>
        <w:tabs>
          <w:tab w:val="left" w:leader="none" w:pos="708"/>
        </w:tabs>
        <w:spacing/>
        <w:ind w:firstLine="567" w:left="283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2.2. Цена Контракта и валюта платежа устанавливаются в российских рублях.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2.3. Цена Контракта включает в себя стоимость Товара,</w:t>
      </w:r>
      <w:r>
        <w:rPr>
          <w:rFonts w:ascii="Times New Roman" w:hAnsi="Times New Roman"/>
          <w:sz w:val="21"/>
          <w:szCs w:val="21"/>
        </w:rPr>
        <w:t xml:space="preserve"> а также все расходы на  транспортировку, страхование, уплату налогов, пошлин, сборов и других обязательных платежей, которые Поставщик должен оплатить в связи с выполнением обязательств по Контракту в соответствии с законодательством Российской Федерации.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Bdr/>
        <w:tabs>
          <w:tab w:val="left" w:leader="none" w:pos="851"/>
        </w:tabs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2.4. Цена Контракта является твердой и определяется на весь срок его исполнения, за исключением случаев, предусмотренных </w:t>
      </w:r>
      <w:hyperlink w:tooltip="#P63" w:anchor="P63" w:history="1">
        <w:r>
          <w:rPr>
            <w:sz w:val="21"/>
            <w:szCs w:val="21"/>
          </w:rPr>
          <w:t xml:space="preserve">пунктами 2.5</w:t>
        </w:r>
      </w:hyperlink>
      <w:r>
        <w:rPr>
          <w:sz w:val="21"/>
          <w:szCs w:val="21"/>
        </w:rPr>
        <w:t xml:space="preserve"> Контракта.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2.5. По соглашению Сторон цена Контракта может быть снижена без изменения предусмотренного Контрактом количества Товара и иных условий Контракта.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2.6. Источник финансирования-средства бюджетного учреждения.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709"/>
        <w:contextualSpacing w:val="true"/>
        <w:jc w:val="center"/>
        <w:outlineLvl w:val="1"/>
        <w:rPr>
          <w:rFonts w:ascii="Times New Roman" w:hAnsi="Times New Roman"/>
          <w:b/>
          <w:color w:val="000000"/>
          <w:sz w:val="21"/>
          <w:szCs w:val="21"/>
        </w:rPr>
      </w:pPr>
      <w:r>
        <w:rPr>
          <w:rFonts w:ascii="Times New Roman" w:hAnsi="Times New Roman"/>
          <w:b/>
          <w:color w:val="000000"/>
          <w:sz w:val="21"/>
          <w:szCs w:val="21"/>
        </w:rPr>
        <w:t xml:space="preserve">3. Взаимодействие  Сторон</w:t>
      </w:r>
      <w:r>
        <w:rPr>
          <w:rFonts w:ascii="Times New Roman" w:hAnsi="Times New Roman"/>
          <w:b/>
          <w:color w:val="000000"/>
          <w:sz w:val="21"/>
          <w:szCs w:val="21"/>
        </w:rPr>
      </w:r>
      <w:r>
        <w:rPr>
          <w:rFonts w:ascii="Times New Roman" w:hAnsi="Times New Roman"/>
          <w:b/>
          <w:color w:val="000000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3.1. Поставщик обязан: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3.1.1. 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3.1.2. представлять по требованию Заказчика информацию и документы, относящиеся к предмету Контракта;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3.1.3. незамедлительно информировать Заказчика обо всех обстоятельствах, препятствующих исполнению Контракта;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3.1.4. устранять своими силами и за свой счет допущенные недостатки при поставке Товара.</w:t>
      </w:r>
      <w:bookmarkStart w:id="1" w:name="P73"/>
      <w:r/>
      <w:bookmarkStart w:id="2" w:name="P79"/>
      <w:r/>
      <w:bookmarkEnd w:id="1"/>
      <w:r/>
      <w:bookmarkEnd w:id="2"/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3.1.5. Соответствовать требованиям </w:t>
      </w:r>
      <w:r>
        <w:rPr>
          <w:rFonts w:ascii="Times New Roman" w:hAnsi="Times New Roman"/>
          <w:color w:val="000000"/>
          <w:sz w:val="21"/>
          <w:szCs w:val="21"/>
        </w:rPr>
        <w:t xml:space="preserve">ч</w:t>
      </w:r>
      <w:r>
        <w:rPr>
          <w:rFonts w:ascii="Times New Roman" w:hAnsi="Times New Roman"/>
          <w:color w:val="000000"/>
          <w:sz w:val="21"/>
          <w:szCs w:val="21"/>
        </w:rPr>
        <w:t xml:space="preserve">.1 ст.31 Федерального закона № 44-РФ ФЗ.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3.2. Поставщик вправе: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3.2.1. требовать от Заказчика приемки поставленного Товара в Месте доставки;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3.2.2. требовать от Заказчика предоставления имеющейся у него информации, необходимой для исполнения обязательств по Контракту;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3.2.3. требовать от Заказчика своевременной оплаты поставленного Товара в порядке и на условиях, предусмотренных Контрактом.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3.3. Заказчик обязан: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3.3.1.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3.3.2. своевременно принять и оплатить поставленный Товар;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3.4. Заказчик вправе: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3.4.1. требовать от Поставщика, надлежащего исполнения обязательств, предусмотренных Контрактом;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3.4.2. запрашивать у Поставщика информацию об исполнении им обязательств по Контракту;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3.4.3. проверять в любое время ход исполнения Поставщиком обязательств по Контракту, в том числе осуществлять контроль сроков поставки Товара в соответствии с условиями Контракта;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3.4.4. осуществлять выборочную проверку качества поставляемого Товара, в том числе после приемки Товара;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3.4.5. требовать от Поставщика устранения недостатков, допущенных при исполнении Контракта, за его счет;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3.4.6. отказаться от приемки Товара, не соответствующего условиям Контракта, и потребовать безвозмездного устранения недостатков;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3.4.7. 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требованиям, установленным Контрактом.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40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4. Упаковка и маркировка. Условия транспортировки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4.1. Упаковка и маркировка </w:t>
      </w:r>
      <w:r>
        <w:rPr>
          <w:rFonts w:ascii="Times New Roman" w:hAnsi="Times New Roman"/>
          <w:color w:val="000000"/>
          <w:sz w:val="21"/>
          <w:szCs w:val="21"/>
        </w:rPr>
        <w:t xml:space="preserve">Товара</w:t>
      </w:r>
      <w:r>
        <w:rPr>
          <w:rFonts w:ascii="Times New Roman" w:hAnsi="Times New Roman"/>
          <w:sz w:val="21"/>
          <w:szCs w:val="21"/>
        </w:rPr>
        <w:t xml:space="preserve"> должны соответствовать требованиям законодательства Российской Федерации, международных контрактов и актов, составляющих право Евразийского экономического союза.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4.2. 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4.3. Вся упаковка должна иметь следующую маркировку: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Наименование Товара: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Контракт /счет № __________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Заказчик:   ФГБОУ ВО ДВГМУ Минздрава России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Поставщик: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Пункт назначения: 680000, Хабаровский край, г. Хабаровск, ул. Муравьева-Амурского, д. 35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Грузоотправитель: _________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4.4. Каждый ящик должен сопровождать экземпляр упаковочного листа с описанием Товара, указанием количества Товара, указанием номера и даты Контракта/счета (далее - Упаковочный лист). Упаковочный ли</w:t>
      </w:r>
      <w:r>
        <w:rPr>
          <w:rFonts w:ascii="Times New Roman" w:hAnsi="Times New Roman"/>
          <w:sz w:val="21"/>
          <w:szCs w:val="21"/>
        </w:rPr>
        <w:t xml:space="preserve">ст с пр</w:t>
      </w:r>
      <w:r>
        <w:rPr>
          <w:rFonts w:ascii="Times New Roman" w:hAnsi="Times New Roman"/>
          <w:sz w:val="21"/>
          <w:szCs w:val="21"/>
        </w:rPr>
        <w:t xml:space="preserve">иложением документов, предусмотренных </w:t>
      </w:r>
      <w:hyperlink w:tooltip="#P130" w:anchor="P130" w:history="1">
        <w:r>
          <w:rPr>
            <w:rStyle w:val="976"/>
            <w:rFonts w:ascii="Times New Roman" w:hAnsi="Times New Roman"/>
            <w:color w:val="000000"/>
            <w:sz w:val="21"/>
            <w:szCs w:val="21"/>
            <w:u w:val="none"/>
          </w:rPr>
          <w:t xml:space="preserve">пунктом 5.3</w:t>
        </w:r>
      </w:hyperlink>
      <w:r>
        <w:rPr>
          <w:rFonts w:ascii="Times New Roman" w:hAnsi="Times New Roman"/>
          <w:sz w:val="21"/>
          <w:szCs w:val="21"/>
        </w:rPr>
        <w:t xml:space="preserve"> Контракта, должен находиться внутри ящика.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4.5.</w:t>
      </w:r>
      <w:r>
        <w:rPr>
          <w:rFonts w:ascii="Times New Roman" w:hAnsi="Times New Roman"/>
          <w:sz w:val="21"/>
          <w:szCs w:val="21"/>
        </w:rPr>
        <w:t xml:space="preserve">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Товар.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5. Поставка Товара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5.1. Поставка Товара осуществляется с разгрузкой транспортного средства силами поставщика в соответствии с Отгрузочной разнарядкой (Планом распределения) (</w:t>
      </w:r>
      <w:hyperlink w:tooltip="#P513" w:anchor="P513" w:history="1">
        <w:r>
          <w:rPr>
            <w:rFonts w:ascii="Times New Roman" w:hAnsi="Times New Roman"/>
            <w:sz w:val="21"/>
            <w:szCs w:val="21"/>
          </w:rPr>
          <w:t xml:space="preserve">Приложение № 3</w:t>
        </w:r>
      </w:hyperlink>
      <w:r>
        <w:rPr>
          <w:rFonts w:ascii="Times New Roman" w:hAnsi="Times New Roman"/>
          <w:sz w:val="21"/>
          <w:szCs w:val="21"/>
        </w:rPr>
        <w:t xml:space="preserve"> к Контракту) </w:t>
      </w:r>
      <w:r>
        <w:rPr>
          <w:rFonts w:ascii="Times New Roman" w:hAnsi="Times New Roman"/>
          <w:sz w:val="21"/>
          <w:szCs w:val="21"/>
        </w:rPr>
        <w:t xml:space="preserve">с даты заключения</w:t>
      </w:r>
      <w:r>
        <w:rPr>
          <w:rFonts w:ascii="Times New Roman" w:hAnsi="Times New Roman"/>
          <w:sz w:val="21"/>
          <w:szCs w:val="21"/>
        </w:rPr>
        <w:t xml:space="preserve"> Контракта в течение 10 дней.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5.2. Фактической датой поставки считается дата подписания обеими сторонами товарной накладной или универсального передаточного документа, и подписание Заказчиком Акта приемки и проведения экспертизы товара (работ, услуг) собственными силами.</w:t>
      </w:r>
      <w:bookmarkStart w:id="3" w:name="P130"/>
      <w:r/>
      <w:bookmarkEnd w:id="3"/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5.3. При поставке Товара Поставщик представляет следующие документы: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а) счет;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б) счет-фактуру (при наличии);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в) товарную накладную или универсальный передаточный документ, составленные по форме в соответствии с законодательством Российской Федерации;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г) сводный реестр товарных накладных на поставку Товара (Приложение № 5 к Контракту) (при необходимости);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Bdr/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д</w:t>
      </w:r>
      <w:r>
        <w:rPr>
          <w:sz w:val="21"/>
          <w:szCs w:val="21"/>
        </w:rPr>
        <w:t xml:space="preserve">) копию документа, подтверждающего соответствие качества Товара, выданного уполномоченными органами (организациями).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5.4.Поставка Товара осуществляется в целых упаковках в соответствии с требованиями, действующими на территории Российской Федерации.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426"/>
        <w:contextualSpacing w:val="true"/>
        <w:jc w:val="center"/>
        <w:outlineLvl w:val="1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6. Приемка Товара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6.1.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а) проверку по Упаковочным листам номенклатуры поставленного Товара на соответствие Спецификации (приложение № 1 к Контракту) и Техническим характеристикам (приложение № 2 к Контракту);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б) проверку полноты и правильности оформления комплекта документов, предусмотренных </w:t>
      </w:r>
      <w:hyperlink w:tooltip="#P130" w:anchor="P130" w:history="1">
        <w:r>
          <w:rPr>
            <w:rFonts w:ascii="Times New Roman" w:hAnsi="Times New Roman"/>
            <w:sz w:val="21"/>
            <w:szCs w:val="21"/>
          </w:rPr>
          <w:t xml:space="preserve">пунктом 5.3</w:t>
        </w:r>
      </w:hyperlink>
      <w:r>
        <w:rPr>
          <w:rFonts w:ascii="Times New Roman" w:hAnsi="Times New Roman"/>
          <w:sz w:val="21"/>
          <w:szCs w:val="21"/>
        </w:rPr>
        <w:t xml:space="preserve"> Контракта;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в) контроль </w:t>
      </w:r>
      <w:r>
        <w:rPr>
          <w:rFonts w:ascii="Times New Roman" w:hAnsi="Times New Roman"/>
          <w:sz w:val="21"/>
          <w:szCs w:val="21"/>
        </w:rPr>
        <w:t xml:space="preserve">наличия/отсутствия внешних повреждений упаковки Товара</w:t>
      </w:r>
      <w:r>
        <w:rPr>
          <w:rFonts w:ascii="Times New Roman" w:hAnsi="Times New Roman"/>
          <w:sz w:val="21"/>
          <w:szCs w:val="21"/>
        </w:rPr>
        <w:t xml:space="preserve">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По факту приемки Товара Поставщик и За</w:t>
      </w:r>
      <w:r>
        <w:rPr>
          <w:rFonts w:ascii="Times New Roman" w:hAnsi="Times New Roman"/>
          <w:sz w:val="21"/>
          <w:szCs w:val="21"/>
        </w:rPr>
        <w:t xml:space="preserve">казчик/ Получатель подписывают Акт приемки (ф. 0510452), предусмотренный приказом Минфина России от 15.04.2021 № 61н «Об утверждении унифицированных форм электронных документов бухгалтерского учёта, применяемых при ведении бюджетного учёта, бухгалтерского </w:t>
      </w:r>
      <w:r>
        <w:rPr>
          <w:rFonts w:ascii="Times New Roman" w:hAnsi="Times New Roman"/>
          <w:sz w:val="21"/>
          <w:szCs w:val="21"/>
        </w:rPr>
        <w:t xml:space="preserve">учёта государственных (муниципальных) учреждений, и Методических указаний по их формированию и применению» (далее – Акт приёмки (ф. 0510452)).</w:t>
      </w:r>
      <w:r>
        <w:rPr>
          <w:rFonts w:ascii="Times New Roman" w:hAnsi="Times New Roman"/>
          <w:sz w:val="21"/>
          <w:szCs w:val="21"/>
        </w:rPr>
        <w:t xml:space="preserve"> При отсутствии Поставщика при приемке поставленного товара, подписание Акта приёмки (ф. 0510452) </w:t>
      </w:r>
      <w:r>
        <w:rPr>
          <w:rFonts w:ascii="Times New Roman" w:hAnsi="Times New Roman"/>
          <w:sz w:val="21"/>
          <w:szCs w:val="21"/>
        </w:rPr>
        <w:t xml:space="preserve">исполнителем не предусмотрено. Акт приёмки (ф. 0510452) утверждается без исполнителя, и в его адрес в целях подтверждения возникновения у принимающей стороны обязанности оплатить поставленный товар  направляется Акт приёмки (ф. 0510452) или его скан-копия.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6.2. Для проверки предоставленных Поставщиком результатов поставки, предусмотренных Контрактом, в части их с</w:t>
      </w:r>
      <w:r>
        <w:rPr>
          <w:rFonts w:ascii="Times New Roman" w:hAnsi="Times New Roman"/>
          <w:sz w:val="21"/>
          <w:szCs w:val="21"/>
        </w:rPr>
        <w:t xml:space="preserve">оответствия условиям Контракта, Заказчиком проводится экспертиза Товара, в порядке, установленном законодательством Российской Федерации. Экспертиза может проводиться силами Заказчика или к ее проведению могут привлекаться эксперты, экспертные организации.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6.3. Заказчик в течение 10 (десяти) дней, со дня получения от Поставщика документов, предусмотренных </w:t>
      </w:r>
      <w:hyperlink w:tooltip="#P130" w:anchor="P130" w:history="1">
        <w:r>
          <w:rPr>
            <w:rFonts w:ascii="Times New Roman" w:hAnsi="Times New Roman"/>
            <w:sz w:val="21"/>
            <w:szCs w:val="21"/>
          </w:rPr>
          <w:t xml:space="preserve">пунктом 5.3</w:t>
        </w:r>
      </w:hyperlink>
      <w:r>
        <w:rPr>
          <w:rFonts w:ascii="Times New Roman" w:hAnsi="Times New Roman"/>
          <w:sz w:val="21"/>
          <w:szCs w:val="21"/>
        </w:rPr>
        <w:t xml:space="preserve"> Контракта, направляет Поставщику подписанный </w:t>
      </w:r>
      <w:hyperlink r:id="rId10" w:tooltip="https://login.consultant.ru/link/?req=doc&amp;base=RZB&amp;n=465243&amp;dst=1668" w:history="1">
        <w:r>
          <w:rPr>
            <w:rFonts w:ascii="Times New Roman" w:hAnsi="Times New Roman"/>
            <w:sz w:val="21"/>
            <w:szCs w:val="21"/>
          </w:rPr>
          <w:t xml:space="preserve">Акт</w:t>
        </w:r>
      </w:hyperlink>
      <w:r>
        <w:rPr>
          <w:rFonts w:ascii="Times New Roman" w:hAnsi="Times New Roman"/>
          <w:sz w:val="21"/>
          <w:szCs w:val="21"/>
        </w:rPr>
        <w:t xml:space="preserve"> приемки (ф. 0510452) или мотивированный отказ от подписания, в котором указываются недостатки и сроки их устранения. Поставщик обязан подписать </w:t>
      </w:r>
      <w:hyperlink r:id="rId11" w:tooltip="https://login.consultant.ru/link/?req=doc&amp;base=RZB&amp;n=465243&amp;dst=1668" w:history="1">
        <w:r>
          <w:rPr>
            <w:rFonts w:ascii="Times New Roman" w:hAnsi="Times New Roman"/>
            <w:sz w:val="21"/>
            <w:szCs w:val="21"/>
          </w:rPr>
          <w:t xml:space="preserve">Акт</w:t>
        </w:r>
      </w:hyperlink>
      <w:r>
        <w:rPr>
          <w:rFonts w:ascii="Times New Roman" w:hAnsi="Times New Roman"/>
          <w:sz w:val="21"/>
          <w:szCs w:val="21"/>
        </w:rPr>
        <w:t xml:space="preserve"> приемки (ф. 0510452) в течение 10 (календарных) дней со дня получения от Заказчика.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6.4. После устранения недостатков, послуживших основанием для </w:t>
      </w:r>
      <w:r>
        <w:rPr>
          <w:rFonts w:ascii="Times New Roman" w:hAnsi="Times New Roman"/>
          <w:sz w:val="21"/>
          <w:szCs w:val="21"/>
        </w:rPr>
        <w:t xml:space="preserve">неподписания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товарной накладной или универсального передаточного документа, </w:t>
      </w:r>
      <w:hyperlink r:id="rId12" w:tooltip="https://login.consultant.ru/link/?req=doc&amp;base=RZB&amp;n=465243&amp;dst=1668" w:history="1">
        <w:r>
          <w:rPr>
            <w:rFonts w:ascii="Times New Roman" w:hAnsi="Times New Roman"/>
            <w:sz w:val="21"/>
            <w:szCs w:val="21"/>
          </w:rPr>
          <w:t xml:space="preserve">Акт</w:t>
        </w:r>
      </w:hyperlink>
      <w:r>
        <w:rPr>
          <w:rFonts w:ascii="Times New Roman" w:hAnsi="Times New Roman"/>
          <w:sz w:val="21"/>
          <w:szCs w:val="21"/>
        </w:rPr>
        <w:t xml:space="preserve">а приемки (ф. 0510452), Поставщик и Заказчик подписывают </w:t>
      </w:r>
      <w:r>
        <w:rPr>
          <w:rFonts w:ascii="Times New Roman" w:hAnsi="Times New Roman"/>
          <w:sz w:val="21"/>
          <w:szCs w:val="21"/>
        </w:rPr>
        <w:t xml:space="preserve">товарную накладную или универсальный передаточный документ, </w:t>
      </w:r>
      <w:hyperlink r:id="rId13" w:tooltip="https://login.consultant.ru/link/?req=doc&amp;base=RZB&amp;n=465243&amp;dst=1668" w:history="1">
        <w:r>
          <w:rPr>
            <w:rFonts w:ascii="Times New Roman" w:hAnsi="Times New Roman"/>
            <w:sz w:val="21"/>
            <w:szCs w:val="21"/>
          </w:rPr>
          <w:t xml:space="preserve">Акт</w:t>
        </w:r>
      </w:hyperlink>
      <w:r>
        <w:rPr>
          <w:rFonts w:ascii="Times New Roman" w:hAnsi="Times New Roman"/>
          <w:sz w:val="21"/>
          <w:szCs w:val="21"/>
        </w:rPr>
        <w:t xml:space="preserve"> приемки (ф. 0510452) в порядке и сроки, предусмотренные </w:t>
      </w:r>
      <w:hyperlink w:tooltip="#P147" w:anchor="P147" w:history="1">
        <w:r>
          <w:rPr>
            <w:rFonts w:ascii="Times New Roman" w:hAnsi="Times New Roman"/>
            <w:sz w:val="21"/>
            <w:szCs w:val="21"/>
          </w:rPr>
          <w:t xml:space="preserve">пунктами 6.2</w:t>
        </w:r>
      </w:hyperlink>
      <w:r>
        <w:rPr>
          <w:rFonts w:ascii="Times New Roman" w:hAnsi="Times New Roman"/>
          <w:sz w:val="21"/>
          <w:szCs w:val="21"/>
        </w:rPr>
        <w:t xml:space="preserve"> и </w:t>
      </w:r>
      <w:hyperlink w:tooltip="#P148" w:anchor="P148" w:history="1">
        <w:r>
          <w:rPr>
            <w:rFonts w:ascii="Times New Roman" w:hAnsi="Times New Roman"/>
            <w:sz w:val="21"/>
            <w:szCs w:val="21"/>
          </w:rPr>
          <w:t xml:space="preserve">6.3</w:t>
        </w:r>
      </w:hyperlink>
      <w:r>
        <w:rPr>
          <w:rFonts w:ascii="Times New Roman" w:hAnsi="Times New Roman"/>
          <w:sz w:val="21"/>
          <w:szCs w:val="21"/>
        </w:rPr>
        <w:t xml:space="preserve"> Контракта.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6.5. Со дня подписания Акта приемки и проведения экспертизы товара (работ, услуг) собственными силами, товарной накладной или универсального передаточного документа Заказчиком риск случайной гибели, утраты или повреждения Товара переходит к Заказчику.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center"/>
        <w:outlineLvl w:val="1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7. Выборочная проверка Товара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7.1. Заказчик имеет право осуществлять выборочную проверку поставляемого Товара, в том числе после приемки Товара.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7.2.Выбор независимых профильных экспертных организаций по контролю качества осуществляется Заказчиком.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7.3. Проверка Товара проводится за счет средств Заказчика.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7.4. Если по результатам проверки Товара определяе</w:t>
      </w:r>
      <w:r>
        <w:rPr>
          <w:rFonts w:ascii="Times New Roman" w:hAnsi="Times New Roman"/>
          <w:sz w:val="21"/>
          <w:szCs w:val="21"/>
        </w:rPr>
        <w:t xml:space="preserve">тся, что Товар не соответствует требованиям Контракта, несоответствующий условиям Контракта. Товар забраковывается в объеме всей серии. При этом объем поставки, и сумма Контракта остаются неизменными, а Поставщик обязан заменить забракованную серию Товара.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7.5.Расходы по проведению проверки Товара в случае, если по результатам проверки Товара определяется, что Товар не соответствует требованиям Контракта, несет Поставщик.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7.6.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426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426"/>
        <w:contextualSpacing w:val="true"/>
        <w:jc w:val="center"/>
        <w:outlineLvl w:val="1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8. Качество Товара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8.1. Товар должен быть разрешен к при</w:t>
      </w:r>
      <w:r>
        <w:rPr>
          <w:rFonts w:ascii="Times New Roman" w:hAnsi="Times New Roman"/>
          <w:sz w:val="21"/>
          <w:szCs w:val="21"/>
        </w:rPr>
        <w:t xml:space="preserve">менению на территории Российской Федерации.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подтверждается: документом, подтверждающим соответствие Товара</w:t>
      </w:r>
      <w:r>
        <w:rPr>
          <w:rFonts w:ascii="Times New Roman" w:hAnsi="Times New Roman"/>
          <w:sz w:val="21"/>
          <w:szCs w:val="21"/>
        </w:rPr>
        <w:t xml:space="preserve">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8.2. Срок годности Товара подтверждается инструкцией по применению Товара на русском языке, а также информацией, указанной на русском языке на первичной упаковке Товара (за исключением первичн</w:t>
      </w:r>
      <w:r>
        <w:rPr>
          <w:rFonts w:ascii="Times New Roman" w:hAnsi="Times New Roman"/>
          <w:sz w:val="21"/>
          <w:szCs w:val="21"/>
        </w:rPr>
        <w:t xml:space="preserve">ой упаковки лекарственных растительных препаратов) и на вторичной (потребительской) упаковке. Остаточный срок годности Товара на дату поставки Заказчику должен соответствовать значению, указанному в Технических характеристиках (Приложение № 2 к Контракту).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8.3. Поставщик гарантирует, что поставляемый Товар новый, не бывший в употреблении, свободен от прав третьих лиц, не является предметом спора, не находится в залоге, под арестом или иным обременением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outlineLvl w:val="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426"/>
        <w:contextualSpacing w:val="true"/>
        <w:jc w:val="center"/>
        <w:outlineLvl w:val="1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9. Порядок расчетов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141" w:left="426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9.1. Оплата по Контракту осуществляется за счет средств бюджетного учреждения на 2026 год.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141" w:left="426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9.2. Оплата по Контракту осуществляется в безналичном порядке путем перечисления денежных средств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141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со счета Заказчика на счет Поставщика. Датой оплаты считается дата списания денежных средств со счета Заказчика. Оплата по Контракту осуществляется после исполнения Поставщиком обязательств по поставке Товара (либо - по каждому этапу поставки Товара) </w:t>
      </w:r>
      <w:bookmarkStart w:id="4" w:name="P176"/>
      <w:r/>
      <w:bookmarkEnd w:id="4"/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0"/>
          <w:tab w:val="left" w:leader="none" w:pos="9923"/>
        </w:tabs>
        <w:spacing/>
        <w:ind w:firstLine="141" w:left="426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9.3. Оплата по Контракту за поставленный Товар осуществляется Заказчиком после представления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0"/>
          <w:tab w:val="left" w:leader="none" w:pos="9923"/>
        </w:tabs>
        <w:spacing/>
        <w:ind w:firstLine="141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Поставщиком в срок 5 календарных дней документов, предусмотренных </w:t>
      </w:r>
      <w:hyperlink w:tooltip="#P130" w:anchor="P130" w:history="1">
        <w:r>
          <w:rPr>
            <w:rFonts w:ascii="Times New Roman" w:hAnsi="Times New Roman"/>
            <w:sz w:val="21"/>
            <w:szCs w:val="21"/>
          </w:rPr>
          <w:t xml:space="preserve">пунктом 5.3</w:t>
        </w:r>
      </w:hyperlink>
      <w:r>
        <w:rPr>
          <w:rFonts w:ascii="Times New Roman" w:hAnsi="Times New Roman"/>
          <w:sz w:val="21"/>
          <w:szCs w:val="21"/>
        </w:rPr>
        <w:t xml:space="preserve">. Контракта, а также документов на оплату: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/>
      <w:bookmarkStart w:id="5" w:name="P177"/>
      <w:r/>
      <w:bookmarkEnd w:id="5"/>
      <w:r>
        <w:rPr>
          <w:rFonts w:ascii="Times New Roman" w:hAnsi="Times New Roman"/>
          <w:sz w:val="21"/>
          <w:szCs w:val="21"/>
        </w:rPr>
        <w:t xml:space="preserve">а) счет;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б) счет-фактуру (при наличии);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426"/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в) товарную накладную или универсальный передаточный документ, составленные по форме в соответствии с законодательством Российской Федерации;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г) сводный реестр товарных накладных на поставку Товара (Приложение № 4 к Контракту) (при необходимости);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Bdr/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д</w:t>
      </w:r>
      <w:r>
        <w:rPr>
          <w:sz w:val="21"/>
          <w:szCs w:val="21"/>
        </w:rPr>
        <w:t xml:space="preserve">) копию документа, подтверждающего соответствие качества Товара, выданного уполномоченными органами (организациями).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9.4. На всех документах, перечисленных в </w:t>
      </w:r>
      <w:hyperlink w:tooltip="#P177" w:anchor="P177" w:history="1">
        <w:r>
          <w:rPr>
            <w:rFonts w:ascii="Times New Roman" w:hAnsi="Times New Roman"/>
            <w:sz w:val="21"/>
            <w:szCs w:val="21"/>
          </w:rPr>
          <w:t xml:space="preserve">подпунктах "а"</w:t>
        </w:r>
      </w:hyperlink>
      <w:r>
        <w:rPr>
          <w:rFonts w:ascii="Times New Roman" w:hAnsi="Times New Roman"/>
          <w:sz w:val="21"/>
          <w:szCs w:val="21"/>
        </w:rPr>
        <w:t xml:space="preserve"> - </w:t>
      </w:r>
      <w:hyperlink w:tooltip="#P182" w:anchor="P182" w:history="1">
        <w:r>
          <w:rPr>
            <w:rFonts w:ascii="Times New Roman" w:hAnsi="Times New Roman"/>
            <w:sz w:val="21"/>
            <w:szCs w:val="21"/>
          </w:rPr>
          <w:t xml:space="preserve">"</w:t>
        </w:r>
        <w:r>
          <w:rPr>
            <w:rFonts w:ascii="Times New Roman" w:hAnsi="Times New Roman"/>
            <w:sz w:val="21"/>
            <w:szCs w:val="21"/>
          </w:rPr>
          <w:t xml:space="preserve">д</w:t>
        </w:r>
        <w:r>
          <w:rPr>
            <w:rFonts w:ascii="Times New Roman" w:hAnsi="Times New Roman"/>
            <w:sz w:val="21"/>
            <w:szCs w:val="21"/>
          </w:rPr>
          <w:t xml:space="preserve">"</w:t>
        </w:r>
      </w:hyperlink>
      <w:r>
        <w:rPr>
          <w:rFonts w:ascii="Times New Roman" w:hAnsi="Times New Roman"/>
          <w:sz w:val="21"/>
          <w:szCs w:val="21"/>
        </w:rPr>
        <w:t xml:space="preserve">  пункта 9.3 Контракта, должны быть указаны наименование Заказчика/Получателя, Поставщика, номер и дата Контракта, даты оформления и подписания документов.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9.5. Оплата по Контракту осуществляется по факту поставки всего Товара, предусмотренного Спецификацией (приложение № 1 к Контракту), в течение 10 (десяти) рабочих дней </w:t>
      </w:r>
      <w:r>
        <w:rPr>
          <w:rFonts w:ascii="Times New Roman" w:hAnsi="Times New Roman"/>
          <w:sz w:val="21"/>
          <w:szCs w:val="21"/>
        </w:rPr>
        <w:t xml:space="preserve">с даты подписания</w:t>
      </w:r>
      <w:r>
        <w:rPr>
          <w:rFonts w:ascii="Times New Roman" w:hAnsi="Times New Roman"/>
          <w:sz w:val="21"/>
          <w:szCs w:val="21"/>
        </w:rPr>
        <w:t xml:space="preserve"> Заказчиком Акта приемки и проведения экспертизы товара (работ, услуг) собственными силами и на основании документов, предусмотренных </w:t>
      </w:r>
      <w:hyperlink w:tooltip="#P176" w:anchor="P176" w:history="1">
        <w:r>
          <w:rPr>
            <w:rFonts w:ascii="Times New Roman" w:hAnsi="Times New Roman"/>
            <w:sz w:val="21"/>
            <w:szCs w:val="21"/>
          </w:rPr>
          <w:t xml:space="preserve">пунктом 9.3</w:t>
        </w:r>
      </w:hyperlink>
      <w:r>
        <w:rPr>
          <w:rFonts w:ascii="Times New Roman" w:hAnsi="Times New Roman"/>
          <w:sz w:val="21"/>
          <w:szCs w:val="21"/>
        </w:rPr>
        <w:t xml:space="preserve"> Контракта.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9.6. По окончании исполнения Сторонами обязательств по Контракту в течение 30 дней при необходимости Стороны подписывают Акт сверки расчетов (</w:t>
      </w:r>
      <w:hyperlink w:tooltip="#P692" w:anchor="P692" w:history="1">
        <w:r>
          <w:rPr>
            <w:rFonts w:ascii="Times New Roman" w:hAnsi="Times New Roman"/>
            <w:sz w:val="21"/>
            <w:szCs w:val="21"/>
          </w:rPr>
          <w:t xml:space="preserve">Приложение № 5</w:t>
        </w:r>
      </w:hyperlink>
      <w:r>
        <w:rPr>
          <w:rFonts w:ascii="Times New Roman" w:hAnsi="Times New Roman"/>
          <w:sz w:val="21"/>
          <w:szCs w:val="21"/>
        </w:rPr>
        <w:t xml:space="preserve"> к Контракту).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426"/>
        <w:contextualSpacing w:val="true"/>
        <w:jc w:val="both"/>
        <w:outlineLvl w:val="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426"/>
        <w:contextualSpacing w:val="true"/>
        <w:jc w:val="center"/>
        <w:outlineLvl w:val="1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10. Ответственность Сторон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10.1. За неисполнение или ненадлежащее исполнение </w:t>
      </w:r>
      <w:r>
        <w:rPr>
          <w:rFonts w:ascii="Times New Roman" w:hAnsi="Times New Roman"/>
          <w:sz w:val="21"/>
          <w:szCs w:val="21"/>
        </w:rPr>
        <w:t xml:space="preserve">условий Контракта Стороны несут ответственность в соответствии с законодательством Российской Федерации. 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10.2. Размер штрафа устанавливается Контрактом в порядке, установленном Постановлением Правительства Российской Федерации от 30.08.2017 № 1042.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10.3. В случае </w:t>
      </w:r>
      <w:r>
        <w:rPr>
          <w:rFonts w:ascii="Times New Roman" w:hAnsi="Times New Roman"/>
          <w:sz w:val="21"/>
          <w:szCs w:val="21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10.4. Пеня начисляется за каждый день просрочки исполнения Заказчиком обязательства, предусмотренного Контрактом, начиная со дня, следующего посл</w:t>
      </w:r>
      <w:r>
        <w:rPr>
          <w:rFonts w:ascii="Times New Roman" w:hAnsi="Times New Roman"/>
          <w:sz w:val="21"/>
          <w:szCs w:val="21"/>
        </w:rPr>
        <w:t xml:space="preserve">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10.5.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Поставщик вправе взыскать с Заказчика штраф в размере 1000 рублей.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10.6. В случае нарушения Поставщиком срока предоставления документов, предусмотренного пунктом 9.3. Контракта, Заказчик не несет ответственность, установленную пунктами 10.3 – 10.5 Контракта.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10.7. Общая сумма начисленн</w:t>
      </w:r>
      <w:r>
        <w:rPr>
          <w:rFonts w:ascii="Times New Roman" w:hAnsi="Times New Roman"/>
          <w:sz w:val="21"/>
          <w:szCs w:val="21"/>
        </w:rPr>
        <w:t xml:space="preserve">ых штрафов</w:t>
      </w:r>
      <w:r>
        <w:rPr>
          <w:rFonts w:ascii="Times New Roman" w:hAnsi="Times New Roman"/>
          <w:sz w:val="21"/>
          <w:szCs w:val="21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10.8. В случае просрочки исполн</w:t>
      </w:r>
      <w:r>
        <w:rPr>
          <w:rFonts w:ascii="Times New Roman" w:hAnsi="Times New Roman"/>
          <w:sz w:val="21"/>
          <w:szCs w:val="21"/>
        </w:rPr>
        <w:t xml:space="preserve">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10.9. Пеня начисляется за каждый день просрочки исполнения Поставщиком обязательства, предусмотренного Контрактом, в </w:t>
      </w:r>
      <w:r>
        <w:rPr>
          <w:rFonts w:ascii="Times New Roman" w:hAnsi="Times New Roman"/>
          <w:sz w:val="21"/>
          <w:szCs w:val="21"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10.10. За каждый факт неисполнения или ненадлежащего испо</w:t>
      </w:r>
      <w:r>
        <w:rPr>
          <w:rFonts w:ascii="Times New Roman" w:hAnsi="Times New Roman"/>
          <w:sz w:val="21"/>
          <w:szCs w:val="21"/>
        </w:rPr>
        <w:t xml:space="preserve">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10.11.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 1000 рублей.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10.12. 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426"/>
        <w:contextualSpacing w:val="true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11. Порядок урегулирования споров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11.1. Стороны настоящего Контракта должны приложить все усилия, чтобы разрешить путем переговоров все противоречия или спорные вопросы, возникающие между ними</w:t>
      </w:r>
      <w:r>
        <w:rPr>
          <w:rFonts w:ascii="Times New Roman" w:hAnsi="Times New Roman"/>
          <w:sz w:val="21"/>
          <w:szCs w:val="21"/>
        </w:rPr>
        <w:t xml:space="preserve"> в рамках настоящего Контракта или в связи с ним. Для реализации этого порядка заинтересованная Сторона должна обратиться с письменной претензией к другой Стороне. Срок рассмотрения претензии Сторонами составляет 10 календарных дней с момента ее получения.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11.2. В случае невозможности разрешения разногласий путем переговоров спор передается на рассмотрение   Арбитражного суда Хабаровского края.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426"/>
        <w:contextualSpacing w:val="true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12. Обстоятельства непреодолимой силы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12.1. </w:t>
      </w:r>
      <w:r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полн</w:t>
      </w:r>
      <w:r>
        <w:rPr>
          <w:rFonts w:ascii="Times New Roman" w:hAnsi="Times New Roman"/>
          <w:sz w:val="21"/>
          <w:szCs w:val="21"/>
        </w:rPr>
        <w:t xml:space="preserve">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</w:t>
      </w:r>
      <w:r>
        <w:rPr>
          <w:rFonts w:ascii="Times New Roman" w:hAnsi="Times New Roman"/>
          <w:sz w:val="21"/>
          <w:szCs w:val="21"/>
        </w:rPr>
        <w:t xml:space="preserve">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r>
        <w:rPr>
          <w:rFonts w:ascii="Times New Roman" w:hAnsi="Times New Roman"/>
          <w:sz w:val="21"/>
          <w:szCs w:val="21"/>
        </w:rPr>
        <w:t xml:space="preserve"> на исполнение Сторонами своих </w:t>
      </w:r>
      <w:r>
        <w:rPr>
          <w:rFonts w:ascii="Times New Roman" w:hAnsi="Times New Roman"/>
          <w:sz w:val="21"/>
          <w:szCs w:val="21"/>
        </w:rPr>
        <w:t xml:space="preserve">обязательств, а также которые Стороны были не в состоянии предвидеть и предотвратить.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12.2. При наступлении таких обстоятель</w:t>
      </w:r>
      <w:r>
        <w:rPr>
          <w:rFonts w:ascii="Times New Roman" w:hAnsi="Times New Roman"/>
          <w:sz w:val="21"/>
          <w:szCs w:val="21"/>
        </w:rPr>
        <w:t xml:space="preserve">ств ср</w:t>
      </w:r>
      <w:r>
        <w:rPr>
          <w:rFonts w:ascii="Times New Roman" w:hAnsi="Times New Roman"/>
          <w:sz w:val="21"/>
          <w:szCs w:val="21"/>
        </w:rPr>
        <w:t xml:space="preserve">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12.3. </w:t>
      </w:r>
      <w:r>
        <w:rPr>
          <w:rFonts w:ascii="Times New Roman" w:hAnsi="Times New Roman"/>
          <w:sz w:val="21"/>
          <w:szCs w:val="21"/>
        </w:rPr>
        <w:t xml:space="preserve">Сторона, для которой надлежащее исполнение обязательств оказало</w:t>
      </w:r>
      <w:r>
        <w:rPr>
          <w:rFonts w:ascii="Times New Roman" w:hAnsi="Times New Roman"/>
          <w:sz w:val="21"/>
          <w:szCs w:val="21"/>
        </w:rPr>
        <w:t xml:space="preserve">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12.4. Если обстоятельства, указанные в п.12.1 настоящего Контракта, будут длиться более 2 (двух) месяцев </w:t>
      </w:r>
      <w:r>
        <w:rPr>
          <w:rFonts w:ascii="Times New Roman" w:hAnsi="Times New Roman"/>
          <w:sz w:val="21"/>
          <w:szCs w:val="21"/>
        </w:rPr>
        <w:t xml:space="preserve">с даты</w:t>
      </w:r>
      <w:r>
        <w:rPr>
          <w:rFonts w:ascii="Times New Roman" w:hAnsi="Times New Roman"/>
          <w:sz w:val="21"/>
          <w:szCs w:val="21"/>
        </w:rPr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567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12.5. Не уведомлени</w:t>
      </w:r>
      <w:r>
        <w:rPr>
          <w:rFonts w:ascii="Times New Roman" w:hAnsi="Times New Roman"/>
          <w:sz w:val="21"/>
          <w:szCs w:val="21"/>
        </w:rPr>
        <w:t xml:space="preserve">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 </w:t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tabs>
          <w:tab w:val="left" w:leader="none" w:pos="9923"/>
        </w:tabs>
        <w:spacing/>
        <w:ind w:firstLine="426"/>
        <w:contextualSpacing w:val="true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widowControl w:val="false"/>
        <w:pBdr/>
        <w:spacing/>
        <w:ind/>
        <w:contextualSpacing w:val="true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13. </w:t>
      </w:r>
      <w:r>
        <w:rPr>
          <w:b/>
          <w:color w:val="000000"/>
          <w:sz w:val="21"/>
          <w:szCs w:val="21"/>
        </w:rPr>
        <w:t xml:space="preserve">Антикоррупционная</w:t>
      </w:r>
      <w:r>
        <w:rPr>
          <w:b/>
          <w:color w:val="000000"/>
          <w:sz w:val="21"/>
          <w:szCs w:val="21"/>
        </w:rPr>
        <w:t xml:space="preserve"> оговорка</w:t>
      </w:r>
      <w:r>
        <w:rPr>
          <w:b/>
          <w:color w:val="000000"/>
          <w:sz w:val="21"/>
          <w:szCs w:val="21"/>
        </w:rPr>
      </w:r>
      <w:r>
        <w:rPr>
          <w:b/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13.1. </w:t>
      </w:r>
      <w:r>
        <w:rPr>
          <w:sz w:val="21"/>
          <w:szCs w:val="21"/>
        </w:rPr>
        <w:t xml:space="preserve">При исполнении своих обязательств по настоящему контракту Стороны, их </w:t>
      </w:r>
      <w:r>
        <w:rPr>
          <w:sz w:val="21"/>
          <w:szCs w:val="21"/>
        </w:rPr>
        <w:t xml:space="preserve">аффилированные</w:t>
      </w:r>
      <w:r>
        <w:rPr>
          <w:sz w:val="21"/>
          <w:szCs w:val="21"/>
        </w:rPr>
        <w:t xml:space="preserve"> лица, работники или посредники не выплачивают, н</w:t>
      </w:r>
      <w:r>
        <w:rPr>
          <w:sz w:val="21"/>
          <w:szCs w:val="21"/>
        </w:rPr>
        <w:t xml:space="preserve">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13.2. При исполнении своих обязательств по настоящему контракту Стороны, их </w:t>
      </w:r>
      <w:r>
        <w:rPr>
          <w:sz w:val="21"/>
          <w:szCs w:val="21"/>
        </w:rPr>
        <w:t xml:space="preserve">аффилированные</w:t>
      </w:r>
      <w:r>
        <w:rPr>
          <w:sz w:val="21"/>
          <w:szCs w:val="21"/>
        </w:rPr>
        <w:t xml:space="preserve"> лица, работники или посредники не осуществляют действия, квалифицируемые применимым для целей насто</w:t>
      </w:r>
      <w:r>
        <w:rPr>
          <w:sz w:val="21"/>
          <w:szCs w:val="21"/>
        </w:rPr>
        <w:t xml:space="preserve">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13.3.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</w:t>
      </w:r>
      <w:r>
        <w:rPr>
          <w:sz w:val="21"/>
          <w:szCs w:val="21"/>
        </w:rPr>
        <w:t xml:space="preserve">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r>
        <w:rPr>
          <w:sz w:val="21"/>
          <w:szCs w:val="21"/>
        </w:rPr>
        <w:t xml:space="preserve">с даты направления</w:t>
      </w:r>
      <w:r>
        <w:rPr>
          <w:sz w:val="21"/>
          <w:szCs w:val="21"/>
        </w:rPr>
        <w:t xml:space="preserve"> письменного уведомления.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13.4. В письме</w:t>
      </w:r>
      <w:r>
        <w:rPr>
          <w:sz w:val="21"/>
          <w:szCs w:val="21"/>
        </w:rPr>
        <w:t xml:space="preserve">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r>
        <w:rPr>
          <w:sz w:val="21"/>
          <w:szCs w:val="21"/>
        </w:rPr>
        <w:t xml:space="preserve">аффилированными</w:t>
      </w:r>
      <w:r>
        <w:rPr>
          <w:sz w:val="21"/>
          <w:szCs w:val="21"/>
        </w:rPr>
        <w:t xml:space="preserve"> лицами, работниками или посредниками, выражающееся в действиях, квалифицируе</w:t>
      </w:r>
      <w:r>
        <w:rPr>
          <w:sz w:val="21"/>
          <w:szCs w:val="21"/>
        </w:rPr>
        <w:t xml:space="preserve">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13.5.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</w:t>
      </w:r>
      <w:r>
        <w:rPr>
          <w:sz w:val="21"/>
          <w:szCs w:val="21"/>
        </w:rPr>
        <w:t xml:space="preserve">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1023"/>
        <w:pBdr/>
        <w:spacing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13.6. Стороны гарантируют осуществление надлежащего разбирательства по фактам нарушения положений настоящего раздела контракта и применение эффективных мер по предотвращению возможных конфликтных ситуаций.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firstLine="709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/>
        <w:contextualSpacing w:val="true"/>
        <w:jc w:val="center"/>
        <w:outlineLvl w:val="1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14. Изменение и расторжение Контракта </w:t>
      </w:r>
      <w:r>
        <w:rPr>
          <w:b/>
          <w:color w:val="000000"/>
          <w:sz w:val="21"/>
          <w:szCs w:val="21"/>
        </w:rPr>
      </w:r>
      <w:r>
        <w:rPr>
          <w:b/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14.1. Все изменения Контракта должны быть совершены в письменном виде и оформлены дополнительными соглашениями к Контракту.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14.2. Настоящий контракт может быть расторгнут: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14.2.1. по соглашению Сторон;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14.2.2. в судебном порядке.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14.3. Заказчик вправе принять решение об одностороннем отказе от исполнения контракта в следующих случаях: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14.3.1. При существенном нарушении условий контракта Поставщиком.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14.3.2. В случае просрочки срока поставки товара.  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14.3.3. В иных случаях, предусмотренных действующим законодательством.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14.4.Расторжение контракта по соглашению Сторон производится Сторонами путем подписания соответствующего соглашения о расторжении.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14.5.  Исполнитель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709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/>
        <w:contextualSpacing w:val="true"/>
        <w:jc w:val="center"/>
        <w:outlineLvl w:val="1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15. Исключительные права</w:t>
      </w:r>
      <w:r>
        <w:rPr>
          <w:b/>
          <w:color w:val="000000"/>
          <w:sz w:val="21"/>
          <w:szCs w:val="21"/>
        </w:rPr>
      </w:r>
      <w:r>
        <w:rPr>
          <w:b/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15.1.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</w:t>
      </w:r>
      <w:r>
        <w:rPr>
          <w:color w:val="000000"/>
          <w:sz w:val="21"/>
          <w:szCs w:val="21"/>
        </w:rPr>
        <w:t xml:space="preserve">использованием Товара.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15.2. Все убытки, понесенные Заказчиком в случае нарушения исключительных прав третьих лиц на результаты интеллектуа</w:t>
      </w:r>
      <w:r>
        <w:rPr>
          <w:color w:val="000000"/>
          <w:sz w:val="21"/>
          <w:szCs w:val="21"/>
        </w:rPr>
        <w:t xml:space="preserve">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709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/>
        <w:contextualSpacing w:val="true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16. Уведомления</w:t>
      </w:r>
      <w:r>
        <w:rPr>
          <w:b/>
          <w:color w:val="000000"/>
          <w:sz w:val="21"/>
          <w:szCs w:val="21"/>
        </w:rPr>
      </w:r>
      <w:r>
        <w:rPr>
          <w:b/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16.1.Все уведомления Сторон, связанные с исполнением настоящего Контракта, направляются в письменной форме по почте заказным письмом по фактическому </w:t>
      </w:r>
      <w:r>
        <w:rPr>
          <w:color w:val="000000"/>
          <w:sz w:val="21"/>
          <w:szCs w:val="21"/>
        </w:rPr>
        <w:t xml:space="preserve">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представлением оригинала или электронно-цифровой форме, подписанные квалифицированной электронной подписью.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16.2. В случае направления уведомлений с использованием почты уведомления считаются полученными Стороной в день фактического получ</w:t>
      </w:r>
      <w:r>
        <w:rPr>
          <w:color w:val="000000"/>
          <w:sz w:val="21"/>
          <w:szCs w:val="21"/>
        </w:rPr>
        <w:t xml:space="preserve">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отправки, при условии подтверждения получения уведомления противоположной Стороной. 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709"/>
        <w:contextualSpacing w:val="true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</w:r>
      <w:r>
        <w:rPr>
          <w:b/>
          <w:color w:val="000000"/>
          <w:sz w:val="21"/>
          <w:szCs w:val="21"/>
        </w:rPr>
      </w:r>
      <w:r>
        <w:rPr>
          <w:b/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17. Заключительные положения</w:t>
      </w:r>
      <w:r>
        <w:rPr>
          <w:b/>
          <w:color w:val="000000"/>
          <w:sz w:val="21"/>
          <w:szCs w:val="21"/>
        </w:rPr>
      </w:r>
      <w:r>
        <w:rPr>
          <w:b/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17.1. Контра</w:t>
      </w:r>
      <w:r>
        <w:rPr>
          <w:color w:val="000000"/>
          <w:sz w:val="21"/>
          <w:szCs w:val="21"/>
        </w:rPr>
        <w:t xml:space="preserve">кт  вст</w:t>
      </w:r>
      <w:r>
        <w:rPr>
          <w:color w:val="000000"/>
          <w:sz w:val="21"/>
          <w:szCs w:val="21"/>
        </w:rPr>
        <w:t xml:space="preserve">упает в силу с даты заключения и действует до 31.12.202</w:t>
      </w:r>
      <w:r>
        <w:rPr>
          <w:color w:val="000000"/>
          <w:sz w:val="21"/>
          <w:szCs w:val="21"/>
        </w:rPr>
        <w:t xml:space="preserve">6</w:t>
      </w:r>
      <w:r>
        <w:rPr>
          <w:color w:val="000000"/>
          <w:sz w:val="21"/>
          <w:szCs w:val="21"/>
        </w:rPr>
        <w:t xml:space="preserve"> г, а в части расчетов и гарантийных обязательств – до полного их исполнения сторонами.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17.2. Настоящий Контракт составлен в 2 (двух) экземплярах, имеющих одинаковую юридическую силу, по одному экземпляру для каждой из Сторон.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17.3. Все адреса и реквизиты, указанные в разделе 18 настоящего Контракта, являютс</w:t>
      </w:r>
      <w:r>
        <w:rPr>
          <w:color w:val="000000"/>
          <w:sz w:val="21"/>
          <w:szCs w:val="21"/>
        </w:rPr>
        <w:t xml:space="preserve">я действующими. Иных адресов для направления почтовой корреспонденции Стороны не имеют. Об изменении адреса для почтовой   корреспонденции и (или) банковских реквизитов Сторона сообщает другой Стороне в течение 3 (трех) рабочих дней с момента их изменения.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17.4. Условия настоящего Контракта, дополнительных соглашений к нему и иная информация, полученная сторонами в соответствии с контрактом, носит конфиденциальный характер и разглашению не подлежит.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17.5. Все Приложения к Контракту являются его неотъемлемыми частями, а именно: 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17.5.1  Приложение № 1 – Спецификация;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17.5.2. Приложение № 2 –Технические характеристики;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17.5.3 Приложение  № 3 – Отгрузочная разнарядка (План распределения);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17.5.4 Приложение  № 4 – Сводный реестр товарных накладных на поставку Товара;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17.5.5 Приложение  № 5 – Акт сверки расчетов.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pacing/>
        <w:ind/>
        <w:contextualSpacing w:val="true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17. Банковские реквизиты и подписи сторон</w:t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tbl>
      <w:tblPr>
        <w:tblW w:w="4957" w:type="pct"/>
        <w:tblBorders/>
        <w:tblLook w:val="01E0" w:firstRow="1" w:lastRow="1" w:firstColumn="1" w:lastColumn="1" w:noHBand="0" w:noVBand="0"/>
      </w:tblPr>
      <w:tblGrid>
        <w:gridCol w:w="4999"/>
        <w:gridCol w:w="5332"/>
      </w:tblGrid>
      <w:tr>
        <w:trPr>
          <w:trHeight w:val="61"/>
        </w:trPr>
        <w:tc>
          <w:tcPr>
            <w:tcBorders/>
            <w:tcW w:w="486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Заказчик: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ФГБОУ ВО ДВГМУ Минздрава России 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Юридический/почтовый адрес: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680000, Хабаровский край, </w:t>
            </w:r>
            <w:r>
              <w:rPr>
                <w:sz w:val="21"/>
                <w:szCs w:val="21"/>
              </w:rPr>
              <w:t xml:space="preserve">г</w:t>
            </w:r>
            <w:r>
              <w:rPr>
                <w:sz w:val="21"/>
                <w:szCs w:val="21"/>
              </w:rPr>
              <w:t xml:space="preserve">. Хабаровск,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ул.  Муравьева-Амурского, д. 35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Тел./факс (4212) 32-55-92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</w:t>
            </w:r>
            <w:r>
              <w:rPr>
                <w:sz w:val="21"/>
                <w:szCs w:val="21"/>
                <w:lang w:val="en-US"/>
              </w:rPr>
              <w:t xml:space="preserve">-</w:t>
            </w:r>
            <w:r>
              <w:rPr>
                <w:sz w:val="21"/>
                <w:szCs w:val="21"/>
                <w:lang w:val="en-US"/>
              </w:rPr>
              <w:t xml:space="preserve">mail</w:t>
            </w:r>
            <w:r>
              <w:rPr>
                <w:sz w:val="21"/>
                <w:szCs w:val="21"/>
                <w:lang w:val="en-US"/>
              </w:rPr>
              <w:t xml:space="preserve">: </w:t>
            </w:r>
            <w:r>
              <w:rPr>
                <w:sz w:val="21"/>
                <w:szCs w:val="21"/>
                <w:lang w:val="en-US"/>
              </w:rPr>
              <w:t xml:space="preserve">snab</w:t>
            </w:r>
            <w:r>
              <w:rPr>
                <w:sz w:val="21"/>
                <w:szCs w:val="21"/>
                <w:lang w:val="en-US"/>
              </w:rPr>
              <w:t xml:space="preserve">@</w:t>
            </w:r>
            <w:r>
              <w:rPr>
                <w:sz w:val="21"/>
                <w:szCs w:val="21"/>
                <w:lang w:val="en-US"/>
              </w:rPr>
              <w:t xml:space="preserve">m</w:t>
            </w:r>
            <w:r>
              <w:rPr>
                <w:sz w:val="21"/>
                <w:szCs w:val="21"/>
              </w:rPr>
              <w:t xml:space="preserve">а</w:t>
            </w:r>
            <w:r>
              <w:rPr>
                <w:sz w:val="21"/>
                <w:szCs w:val="21"/>
                <w:lang w:val="en-US"/>
              </w:rPr>
              <w:t xml:space="preserve">il</w:t>
            </w:r>
            <w:r>
              <w:rPr>
                <w:sz w:val="21"/>
                <w:szCs w:val="21"/>
                <w:lang w:val="en-US"/>
              </w:rPr>
              <w:t xml:space="preserve">.</w:t>
            </w:r>
            <w:r>
              <w:rPr>
                <w:sz w:val="21"/>
                <w:szCs w:val="21"/>
                <w:lang w:val="en-US"/>
              </w:rPr>
              <w:t xml:space="preserve">fesmu</w:t>
            </w:r>
            <w:r>
              <w:rPr>
                <w:sz w:val="21"/>
                <w:szCs w:val="21"/>
                <w:lang w:val="en-US"/>
              </w:rPr>
              <w:t xml:space="preserve">.</w:t>
            </w:r>
            <w:r>
              <w:rPr>
                <w:sz w:val="21"/>
                <w:szCs w:val="21"/>
                <w:lang w:val="en-US"/>
              </w:rPr>
              <w:t xml:space="preserve">ru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</w:r>
            <w:r>
              <w:rPr>
                <w:sz w:val="21"/>
                <w:szCs w:val="21"/>
                <w:lang w:val="en-US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ИНН 2721020896  КПП 272101001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УФК по Хабаровскому краю (ФГБОУ ВО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ДВГМУ Минздрава России ЛС 20226Х51140)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ОКЦ №2 ДГУ Банка России//УФК по Хабаровскому краю </w:t>
            </w:r>
            <w:r>
              <w:rPr>
                <w:sz w:val="21"/>
                <w:szCs w:val="21"/>
              </w:rPr>
              <w:t xml:space="preserve">г</w:t>
            </w:r>
            <w:r>
              <w:rPr>
                <w:sz w:val="21"/>
                <w:szCs w:val="21"/>
              </w:rPr>
              <w:t xml:space="preserve">. Хабаровск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БИК  010813050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Номер счета банка получателя (единый казначейский счет) 40102810845370000014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Номер счета банка получателя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(казначейский счет) 03214643000000012200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ОКТМО  08701000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ОКПО  01962959  ОГРН  1032700296078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708"/>
              </w:tabs>
              <w:spacing/>
              <w:ind/>
              <w:contextualSpacing w:val="true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708"/>
              </w:tabs>
              <w:spacing/>
              <w:ind/>
              <w:contextualSpacing w:val="true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708"/>
              </w:tabs>
              <w:spacing/>
              <w:ind/>
              <w:contextualSpacing w:val="true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708"/>
              </w:tabs>
              <w:spacing/>
              <w:ind/>
              <w:contextualSpacing w:val="true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Должность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708"/>
              </w:tabs>
              <w:spacing/>
              <w:ind/>
              <w:contextualSpacing w:val="true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-993"/>
              </w:tabs>
              <w:spacing/>
              <w:ind/>
              <w:contextualSpacing w:val="true"/>
              <w:rPr/>
            </w:pPr>
            <w:r>
              <w:t xml:space="preserve">______________/ __________________/</w:t>
            </w:r>
            <w:r/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Подпись, печать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518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Поставщик: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Наименование организации_________</w:t>
            </w: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Юридический адрес: </w:t>
            </w: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Тел./факс</w:t>
            </w: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ИНН/КПП</w:t>
            </w: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р</w:t>
            </w:r>
            <w:r>
              <w:rPr>
                <w:sz w:val="22"/>
                <w:szCs w:val="22"/>
                <w:lang w:eastAsia="ar-SA"/>
              </w:rPr>
              <w:t xml:space="preserve">/с</w:t>
            </w: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к/с</w:t>
            </w: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Банк</w:t>
            </w: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БИК</w:t>
            </w: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ОКПО</w:t>
            </w: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ОГРН</w:t>
            </w: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</w:p>
          <w:p>
            <w:pPr>
              <w:pBdr/>
              <w:tabs>
                <w:tab w:val="left" w:leader="none" w:pos="9923"/>
              </w:tabs>
              <w:spacing/>
              <w:ind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ОКТМО</w:t>
            </w: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</w:p>
          <w:p>
            <w:pPr>
              <w:pBdr/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2"/>
                <w:szCs w:val="22"/>
                <w:lang w:eastAsia="ar-SA"/>
              </w:rPr>
              <w:t xml:space="preserve">Электр</w:t>
            </w:r>
            <w:r>
              <w:rPr>
                <w:sz w:val="22"/>
                <w:szCs w:val="22"/>
                <w:lang w:eastAsia="ar-SA"/>
              </w:rPr>
              <w:t xml:space="preserve">.п</w:t>
            </w:r>
            <w:r>
              <w:rPr>
                <w:sz w:val="22"/>
                <w:szCs w:val="22"/>
                <w:lang w:eastAsia="ar-SA"/>
              </w:rPr>
              <w:t xml:space="preserve">очта</w:t>
            </w:r>
            <w:r>
              <w:rPr>
                <w:sz w:val="22"/>
                <w:szCs w:val="22"/>
                <w:lang w:eastAsia="ar-SA"/>
              </w:rPr>
              <w:t xml:space="preserve">: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Должность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-993"/>
              </w:tabs>
              <w:spacing/>
              <w:ind/>
              <w:contextualSpacing w:val="true"/>
              <w:rPr/>
            </w:pPr>
            <w:r>
              <w:t xml:space="preserve">______________/ __________________/</w:t>
            </w:r>
            <w:r/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Подпись, печать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</w:tbl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Приложение № 1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к Контракту от "      "            2025г. №________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rPr>
          <w:sz w:val="21"/>
          <w:szCs w:val="21"/>
        </w:rPr>
      </w:pPr>
      <w:r/>
      <w:bookmarkStart w:id="6" w:name="P365"/>
      <w:r/>
      <w:bookmarkEnd w:id="6"/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</w:p>
    <w:p>
      <w:pPr>
        <w:widowControl w:val="false"/>
        <w:pBdr/>
        <w:spacing/>
        <w:ind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</w:p>
    <w:p>
      <w:pPr>
        <w:widowControl w:val="false"/>
        <w:pBdr/>
        <w:spacing/>
        <w:ind/>
        <w:jc w:val="center"/>
        <w:rPr>
          <w:b/>
          <w:bCs/>
          <w:sz w:val="21"/>
          <w:szCs w:val="21"/>
        </w:rPr>
      </w:pPr>
      <w:r>
        <w:rPr>
          <w:b/>
          <w:sz w:val="21"/>
          <w:szCs w:val="21"/>
        </w:rPr>
        <w:t xml:space="preserve">СПЕЦИФИКАЦИЯ </w:t>
      </w: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</w:p>
    <w:p>
      <w:pPr>
        <w:widowControl w:val="false"/>
        <w:pBdr/>
        <w:spacing/>
        <w:ind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</w:p>
    <w:tbl>
      <w:tblPr>
        <w:jc w:val="center"/>
        <w:tblInd w:w="-311" w:type="dxa"/>
        <w:tblW w:w="10160" w:type="dxa"/>
        <w:tblCellMar>
          <w:left w:w="67" w:type="dxa"/>
          <w:top w:w="102" w:type="dxa"/>
          <w:right w:w="62" w:type="dxa"/>
          <w:bottom w:w="102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043"/>
        <w:gridCol w:w="1418"/>
        <w:gridCol w:w="1134"/>
        <w:gridCol w:w="708"/>
        <w:gridCol w:w="851"/>
        <w:gridCol w:w="1134"/>
        <w:gridCol w:w="1318"/>
      </w:tblGrid>
      <w:tr>
        <w:trPr>
          <w:jc w:val="center"/>
          <w:trHeight w:val="133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 </w:t>
            </w:r>
            <w:r>
              <w:rPr>
                <w:sz w:val="21"/>
                <w:szCs w:val="21"/>
              </w:rPr>
              <w:t xml:space="preserve">п</w:t>
            </w:r>
            <w:r>
              <w:rPr>
                <w:sz w:val="21"/>
                <w:szCs w:val="21"/>
              </w:rPr>
              <w:t xml:space="preserve">/</w:t>
            </w:r>
            <w:r>
              <w:rPr>
                <w:sz w:val="21"/>
                <w:szCs w:val="21"/>
              </w:rPr>
              <w:t xml:space="preserve">п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Наименование Товара (с указанием количества единиц в  упаковке)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ОКПД</w:t>
            </w:r>
            <w:r>
              <w:rPr>
                <w:color w:val="000000"/>
                <w:sz w:val="21"/>
                <w:szCs w:val="21"/>
              </w:rPr>
              <w:t xml:space="preserve">2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Наименование страны происхождения Товара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Единица измерения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Кол-во 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Цена за единицу измерения, руб. 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Стоимость, руб.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center"/>
          <w:trHeight w:val="1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7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center"/>
          <w:trHeight w:val="4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/>
            <w:bookmarkStart w:id="7" w:name="OLE_LINK5"/>
            <w:r>
              <w:rPr>
                <w:sz w:val="21"/>
                <w:szCs w:val="21"/>
              </w:rPr>
              <w:t xml:space="preserve">1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28.23.25.000</w:t>
            </w:r>
            <w:bookmarkEnd w:id="7"/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штука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1</w:t>
            </w: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center"/>
          <w:trHeight w:val="3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3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28.23.25.000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штука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1</w:t>
            </w: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28.23.25.000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штука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1</w:t>
            </w: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center"/>
          <w:trHeight w:val="4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28.23.25.000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штука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1</w:t>
            </w: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center"/>
          <w:trHeight w:val="30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3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28.23.25.000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штука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40</w:t>
            </w:r>
            <w:r>
              <w:rPr>
                <w:color w:val="000000"/>
                <w:sz w:val="21"/>
                <w:szCs w:val="21"/>
              </w:rPr>
            </w: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center"/>
          <w:trHeight w:val="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Итого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</w:tc>
      </w:tr>
    </w:tbl>
    <w:p>
      <w:pPr>
        <w:pStyle w:val="1002"/>
        <w:pBdr/>
        <w:spacing/>
        <w:ind w:firstLine="5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540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Цена Контракта составляет</w:t>
      </w:r>
      <w:r>
        <w:rPr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 xml:space="preserve">__________________________________</w:t>
      </w:r>
      <w:r>
        <w:rPr>
          <w:rFonts w:ascii="Times New Roman" w:hAnsi="Times New Roman"/>
          <w:sz w:val="21"/>
          <w:szCs w:val="21"/>
        </w:rPr>
        <w:t xml:space="preserve">(________________________) </w:t>
      </w:r>
      <w:r>
        <w:rPr>
          <w:rFonts w:ascii="Times New Roman" w:hAnsi="Times New Roman"/>
          <w:sz w:val="21"/>
          <w:szCs w:val="21"/>
        </w:rPr>
        <w:t xml:space="preserve">рублей </w:t>
      </w:r>
      <w:r>
        <w:rPr>
          <w:rFonts w:ascii="Times New Roman" w:hAnsi="Times New Roman"/>
          <w:b/>
          <w:sz w:val="21"/>
          <w:szCs w:val="21"/>
        </w:rPr>
        <w:t xml:space="preserve">___</w:t>
      </w:r>
      <w:r>
        <w:rPr>
          <w:rFonts w:ascii="Times New Roman" w:hAnsi="Times New Roman"/>
          <w:sz w:val="21"/>
          <w:szCs w:val="21"/>
        </w:rPr>
        <w:t xml:space="preserve"> копеек, в том числе НДС - _________________ / либо НДС – не облагается</w:t>
      </w:r>
      <w:r>
        <w:rPr>
          <w:rFonts w:ascii="Times New Roman" w:hAnsi="Times New Roman"/>
          <w:b/>
          <w:sz w:val="21"/>
          <w:szCs w:val="21"/>
        </w:rPr>
        <w:t xml:space="preserve">.</w:t>
      </w:r>
      <w:r>
        <w:rPr>
          <w:rFonts w:ascii="Times New Roman" w:hAnsi="Times New Roman"/>
          <w:b/>
          <w:sz w:val="21"/>
          <w:szCs w:val="21"/>
        </w:rPr>
      </w:r>
      <w:r>
        <w:rPr>
          <w:rFonts w:ascii="Times New Roman" w:hAnsi="Times New Roman"/>
          <w:b/>
          <w:sz w:val="21"/>
          <w:szCs w:val="21"/>
        </w:rPr>
      </w:r>
    </w:p>
    <w:p>
      <w:pPr>
        <w:pBdr/>
        <w:tabs>
          <w:tab w:val="left" w:leader="none" w:pos="708"/>
        </w:tabs>
        <w:spacing/>
        <w:ind w:firstLine="284" w:left="283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tbl>
      <w:tblPr>
        <w:tblW w:w="5089" w:type="pct"/>
        <w:tblBorders/>
        <w:tblpPr w:horzAnchor="margin" w:tblpXSpec="left" w:vertAnchor="text" w:tblpY="55" w:leftFromText="180" w:topFromText="0" w:rightFromText="180" w:bottomFromText="0"/>
        <w:tblLook w:val="01E0" w:firstRow="1" w:lastRow="1" w:firstColumn="1" w:lastColumn="1" w:noHBand="0" w:noVBand="0"/>
      </w:tblPr>
      <w:tblGrid>
        <w:gridCol w:w="5212"/>
        <w:gridCol w:w="5394"/>
      </w:tblGrid>
      <w:tr>
        <w:trPr>
          <w:trHeight w:val="161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57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Заказчик: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-993"/>
              </w:tabs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______________/ __________________/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Подпись, печать  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43" w:type="pct"/>
            <w:textDirection w:val="lrTb"/>
            <w:noWrap w:val="false"/>
          </w:tcPr>
          <w:p>
            <w:pPr>
              <w:pBdr/>
              <w:spacing/>
              <w:ind w:hanging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 w:hanging="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Поставщик: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 w:hanging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-993"/>
              </w:tabs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______________/ __________________/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 w:hanging="108"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Подпись, печать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Приложение № 2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к Контракту от "      "            2025г. №__________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rPr>
          <w:b/>
          <w:sz w:val="21"/>
          <w:szCs w:val="21"/>
        </w:rPr>
      </w:pPr>
      <w:r>
        <w:rPr>
          <w:b/>
          <w:sz w:val="21"/>
          <w:szCs w:val="21"/>
        </w:rPr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p>
      <w:pPr>
        <w:widowControl w:val="false"/>
        <w:pBdr/>
        <w:spacing/>
        <w:ind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p>
      <w:pPr>
        <w:pBdr/>
        <w:spacing/>
        <w:ind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ТЕХНИЧЕСКАЯ ЧАСТЬ</w:t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p>
      <w:pPr>
        <w:pBdr/>
        <w:spacing/>
        <w:ind/>
        <w:jc w:val="center"/>
        <w:rPr>
          <w:b/>
          <w:color w:val="ff0000"/>
          <w:sz w:val="21"/>
          <w:szCs w:val="21"/>
        </w:rPr>
      </w:pPr>
      <w:r>
        <w:rPr>
          <w:b/>
          <w:sz w:val="21"/>
          <w:szCs w:val="21"/>
        </w:rPr>
        <w:t xml:space="preserve">СВЕДЕНИЯ ОБ ОБЪЕКТЕ ЗАКУПКИ</w:t>
      </w:r>
      <w:r>
        <w:rPr>
          <w:b/>
          <w:color w:val="ff0000"/>
          <w:sz w:val="21"/>
          <w:szCs w:val="21"/>
        </w:rPr>
      </w:r>
      <w:r>
        <w:rPr>
          <w:b/>
          <w:color w:val="ff0000"/>
          <w:sz w:val="21"/>
          <w:szCs w:val="21"/>
        </w:rPr>
      </w:r>
    </w:p>
    <w:p>
      <w:pPr>
        <w:pStyle w:val="1002"/>
        <w:pBdr/>
        <w:spacing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/>
        <w:ind/>
        <w:contextualSpacing w:val="true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Товар, поставка которого предусмотрен требованиям настоящей технической части, должен быть разрешен к применению на территории Российской Федерации. </w:t>
      </w:r>
      <w:r>
        <w:rPr>
          <w:rFonts w:eastAsia="Calibri"/>
          <w:sz w:val="21"/>
          <w:szCs w:val="21"/>
        </w:rPr>
      </w:r>
      <w:r>
        <w:rPr>
          <w:rFonts w:eastAsia="Calibri"/>
          <w:sz w:val="21"/>
          <w:szCs w:val="21"/>
        </w:rPr>
      </w:r>
    </w:p>
    <w:p>
      <w:pPr>
        <w:pBdr/>
        <w:spacing/>
        <w:ind/>
        <w:contextualSpacing w:val="true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Требуемые к поставке расходные материалы должны обеспечивать полную совместимость с указанными типами оборудования и при использовании не влиять на прекращ</w:t>
      </w:r>
      <w:r>
        <w:rPr>
          <w:rFonts w:eastAsia="Calibri"/>
          <w:sz w:val="21"/>
          <w:szCs w:val="21"/>
        </w:rPr>
        <w:t xml:space="preserve">ение (сокращение) гарантийных обязательств на оборудование и сокращение ресурса их работы, заявленные производителем оборудования. Поставляемые товары должны соответствовать техническим характеристикам, определенным фирмой-производителем указанной техники.</w:t>
      </w:r>
      <w:r>
        <w:rPr>
          <w:rFonts w:eastAsia="Calibri"/>
          <w:sz w:val="21"/>
          <w:szCs w:val="21"/>
        </w:rPr>
      </w:r>
      <w:r>
        <w:rPr>
          <w:rFonts w:eastAsia="Calibri"/>
          <w:sz w:val="21"/>
          <w:szCs w:val="21"/>
        </w:rPr>
      </w:r>
    </w:p>
    <w:p>
      <w:pPr>
        <w:pBdr/>
        <w:spacing/>
        <w:ind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Поставляемые товары должны быть свободны от любых прав третьих лиц.</w:t>
      </w:r>
      <w:r>
        <w:rPr>
          <w:rFonts w:eastAsia="Calibri"/>
          <w:sz w:val="21"/>
          <w:szCs w:val="21"/>
        </w:rPr>
      </w:r>
      <w:r>
        <w:rPr>
          <w:rFonts w:eastAsia="Calibri"/>
          <w:sz w:val="21"/>
          <w:szCs w:val="21"/>
        </w:rPr>
      </w:r>
    </w:p>
    <w:p>
      <w:pPr>
        <w:numPr>
          <w:ilvl w:val="0"/>
          <w:numId w:val="47"/>
        </w:numPr>
        <w:pBdr/>
        <w:spacing/>
        <w:ind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Расходные материалы для принтеров должны быть новыми, не бывшими в употреблении (не должны быть повторно заправленными, не должны быть восстановленными, не содержать восстановленн</w:t>
      </w:r>
      <w:r>
        <w:rPr>
          <w:sz w:val="21"/>
          <w:szCs w:val="21"/>
        </w:rPr>
        <w:t xml:space="preserve">ые элементы). Расходные материалы для принтеров должны быть серийного выпуска промышленного производства, изготовленными под зарегистрированными товарными знаками, поставляться в оригинальной упаковке, содержащей все необходимые коды и знаки производителя.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numPr>
          <w:ilvl w:val="0"/>
          <w:numId w:val="47"/>
        </w:numPr>
        <w:pBdr/>
        <w:tabs>
          <w:tab w:val="left" w:leader="none" w:pos="0"/>
        </w:tabs>
        <w:spacing/>
        <w:ind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Расходные материалы для принтеров не должны иметь дефектов: деформаций, трещин, замятия, неровно завинченных винт</w:t>
      </w:r>
      <w:r>
        <w:rPr>
          <w:sz w:val="21"/>
          <w:szCs w:val="21"/>
        </w:rPr>
        <w:t xml:space="preserve">ов, потертостей, связанных с конструкцией, материалами или производственными процессами по их изготовлению, либо в результате проявляющихся в результате действия или упущения производителя и/или упущения поставщика. Не допускается поставка товаров условия </w:t>
      </w:r>
      <w:r>
        <w:rPr>
          <w:sz w:val="21"/>
          <w:szCs w:val="21"/>
        </w:rPr>
        <w:t xml:space="preserve">хранения</w:t>
      </w:r>
      <w:r>
        <w:rPr>
          <w:sz w:val="21"/>
          <w:szCs w:val="21"/>
        </w:rPr>
        <w:t xml:space="preserve"> которых были нарушены.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numPr>
          <w:ilvl w:val="0"/>
          <w:numId w:val="47"/>
        </w:numPr>
        <w:pBdr/>
        <w:tabs>
          <w:tab w:val="left" w:leader="none" w:pos="0"/>
        </w:tabs>
        <w:spacing/>
        <w:ind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Контакты чипа на корпусе продукции, в случае его наличия, не должны иметь потертостей или следов окисления. Чипы должны быть надежно закреплены на корпусе. 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numPr>
          <w:ilvl w:val="0"/>
          <w:numId w:val="47"/>
        </w:numPr>
        <w:pBdr/>
        <w:tabs>
          <w:tab w:val="left" w:leader="none" w:pos="0"/>
        </w:tabs>
        <w:spacing/>
        <w:ind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Расходные материалы до</w:t>
      </w:r>
      <w:r>
        <w:rPr>
          <w:sz w:val="21"/>
          <w:szCs w:val="21"/>
        </w:rPr>
        <w:t xml:space="preserve">лжны быть снабжены запорной лентой чекой для предотвращения просыпания тонера. Каждая единица расходных материалов должна быть упакована в пластиковый пакет, внутренняя поверхность пакета не должна иметь следов просыпания тонера или следов потеков краски. 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numPr>
          <w:ilvl w:val="0"/>
          <w:numId w:val="47"/>
        </w:numPr>
        <w:pBdr/>
        <w:tabs>
          <w:tab w:val="left" w:leader="none" w:pos="0"/>
        </w:tabs>
        <w:spacing/>
        <w:ind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При поставке товара с продукцией должно быть передано санитарно-эпидемиологическое заключение.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numPr>
          <w:ilvl w:val="0"/>
          <w:numId w:val="47"/>
        </w:numPr>
        <w:pBdr/>
        <w:tabs>
          <w:tab w:val="left" w:leader="none" w:pos="0"/>
        </w:tabs>
        <w:spacing/>
        <w:ind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Поставщик обязан гарантировать качество и годность продукции к эксплуатации, при использовании, в целях, для которых предназначена данная продукция. Сроки гарантии продукции должны соответствовать указанным срокам в настоящей технической части. </w:t>
      </w:r>
      <w:r>
        <w:rPr>
          <w:b/>
          <w:sz w:val="21"/>
          <w:szCs w:val="21"/>
        </w:rPr>
        <w:t xml:space="preserve">Срок гарантии на расходные материалы для принтеров должен быть не менее 1 года</w:t>
      </w:r>
      <w:r>
        <w:rPr>
          <w:sz w:val="21"/>
          <w:szCs w:val="21"/>
        </w:rPr>
        <w:t xml:space="preserve">, замена некачественных расходных материалов должна осуществляться в течение одного рабочего дня за счет поставщика.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numPr>
          <w:ilvl w:val="0"/>
          <w:numId w:val="47"/>
        </w:numPr>
        <w:pBdr/>
        <w:tabs>
          <w:tab w:val="left" w:leader="none" w:pos="0"/>
        </w:tabs>
        <w:spacing/>
        <w:ind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Расходные материалы для принтеров должны поставляться в упаковке, способной предотвратить их повреждение или порч</w:t>
      </w:r>
      <w:r>
        <w:rPr>
          <w:sz w:val="21"/>
          <w:szCs w:val="21"/>
        </w:rPr>
        <w:t xml:space="preserve">у во время перевозки, передачи заказчику и дальнейшего хранения. Отгрузка товара должна осуществляться в соответствии с требованиями и рекомендациями производителя товара, указанными в сопроводительной (технической, эксплуатационной) документации к товару.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numPr>
          <w:ilvl w:val="0"/>
          <w:numId w:val="47"/>
        </w:numPr>
        <w:pBdr/>
        <w:tabs>
          <w:tab w:val="left" w:leader="none" w:pos="0"/>
        </w:tabs>
        <w:spacing/>
        <w:ind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Каждая единица товара должна поставляться с комплектом технической документации - руководством по установке на русском языке, недопустимо представление технической документации в виде копий.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numPr>
          <w:ilvl w:val="0"/>
          <w:numId w:val="47"/>
        </w:numPr>
        <w:pBdr/>
        <w:tabs>
          <w:tab w:val="left" w:leader="none" w:pos="0"/>
        </w:tabs>
        <w:spacing/>
        <w:ind/>
        <w:contextualSpacing w:val="true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Требование к маркировке</w:t>
      </w:r>
      <w:r>
        <w:rPr>
          <w:sz w:val="21"/>
          <w:szCs w:val="21"/>
        </w:rPr>
        <w:t xml:space="preserve">: 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tabs>
          <w:tab w:val="left" w:leader="none" w:pos="0"/>
        </w:tabs>
        <w:spacing/>
        <w:ind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На индивидуальной упаковочной коробке наличие: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tabs>
          <w:tab w:val="left" w:leader="none" w:pos="142"/>
        </w:tabs>
        <w:spacing/>
        <w:ind w:left="709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-наименование  товарного знака предприятия изготовителя;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tabs>
          <w:tab w:val="left" w:leader="none" w:pos="142"/>
        </w:tabs>
        <w:spacing/>
        <w:ind w:left="709"/>
        <w:contextualSpacing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-марки картриджа и информации о совместимости с определенным принтером;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hd w:val="clear" w:color="auto" w:fill="ffffff"/>
        <w:tabs>
          <w:tab w:val="left" w:leader="none" w:pos="142"/>
        </w:tabs>
        <w:spacing/>
        <w:ind w:left="709"/>
        <w:jc w:val="both"/>
        <w:rPr>
          <w:color w:val="1a1a1a"/>
          <w:sz w:val="21"/>
          <w:szCs w:val="21"/>
        </w:rPr>
      </w:pPr>
      <w:r>
        <w:rPr>
          <w:color w:val="1a1a1a"/>
          <w:sz w:val="21"/>
          <w:szCs w:val="21"/>
        </w:rPr>
        <w:t xml:space="preserve">-номер партии на коробке и на картридже должны совпадать;</w:t>
      </w:r>
      <w:r>
        <w:rPr>
          <w:color w:val="1a1a1a"/>
          <w:sz w:val="21"/>
          <w:szCs w:val="21"/>
        </w:rPr>
      </w:r>
      <w:r>
        <w:rPr>
          <w:color w:val="1a1a1a"/>
          <w:sz w:val="21"/>
          <w:szCs w:val="21"/>
        </w:rPr>
      </w:r>
    </w:p>
    <w:p>
      <w:pPr>
        <w:pBdr/>
        <w:shd w:val="clear" w:color="auto" w:fill="ffffff"/>
        <w:tabs>
          <w:tab w:val="left" w:leader="none" w:pos="142"/>
        </w:tabs>
        <w:spacing/>
        <w:ind w:left="709"/>
        <w:jc w:val="both"/>
        <w:rPr>
          <w:color w:val="1a1a1a"/>
          <w:sz w:val="21"/>
          <w:szCs w:val="21"/>
        </w:rPr>
      </w:pPr>
      <w:r>
        <w:rPr>
          <w:color w:val="1a1a1a"/>
          <w:sz w:val="21"/>
          <w:szCs w:val="21"/>
        </w:rPr>
        <w:t xml:space="preserve">-голограммы, защитные пломбы, марки, содержащие все элементы защиты от подделок</w:t>
      </w:r>
      <w:r>
        <w:rPr>
          <w:color w:val="1a1a1a"/>
          <w:sz w:val="21"/>
          <w:szCs w:val="21"/>
        </w:rPr>
      </w:r>
      <w:r>
        <w:rPr>
          <w:color w:val="1a1a1a"/>
          <w:sz w:val="21"/>
          <w:szCs w:val="21"/>
        </w:rPr>
      </w:r>
    </w:p>
    <w:p>
      <w:pPr>
        <w:pBdr/>
        <w:shd w:val="clear" w:color="auto" w:fill="ffffff"/>
        <w:spacing/>
        <w:ind/>
        <w:jc w:val="both"/>
        <w:rPr>
          <w:color w:val="1a1a1a"/>
          <w:sz w:val="21"/>
          <w:szCs w:val="21"/>
        </w:rPr>
      </w:pPr>
      <w:r>
        <w:rPr>
          <w:color w:val="1a1a1a"/>
          <w:sz w:val="21"/>
          <w:szCs w:val="21"/>
        </w:rPr>
        <w:t xml:space="preserve">(микротекст, изменяемый под углом зрения цвет логотипа, </w:t>
      </w:r>
      <w:r>
        <w:rPr>
          <w:color w:val="1a1a1a"/>
          <w:sz w:val="21"/>
          <w:szCs w:val="21"/>
        </w:rPr>
        <w:t xml:space="preserve">термополоса</w:t>
      </w:r>
      <w:r>
        <w:rPr>
          <w:color w:val="1a1a1a"/>
          <w:sz w:val="21"/>
          <w:szCs w:val="21"/>
        </w:rPr>
        <w:t xml:space="preserve"> и т.п.);</w:t>
      </w:r>
      <w:r>
        <w:rPr>
          <w:color w:val="1a1a1a"/>
          <w:sz w:val="21"/>
          <w:szCs w:val="21"/>
        </w:rPr>
      </w:r>
      <w:r>
        <w:rPr>
          <w:color w:val="1a1a1a"/>
          <w:sz w:val="21"/>
          <w:szCs w:val="21"/>
        </w:rPr>
      </w:r>
    </w:p>
    <w:p>
      <w:pPr>
        <w:pBdr/>
        <w:shd w:val="clear" w:color="auto" w:fill="ffffff"/>
        <w:spacing/>
        <w:ind/>
        <w:jc w:val="both"/>
        <w:outlineLvl w:val="0"/>
        <w:rPr>
          <w:color w:val="1a1a1a"/>
          <w:sz w:val="21"/>
          <w:szCs w:val="21"/>
        </w:rPr>
      </w:pPr>
      <w:r>
        <w:rPr>
          <w:color w:val="1a1a1a"/>
          <w:sz w:val="21"/>
          <w:szCs w:val="21"/>
        </w:rPr>
        <w:t xml:space="preserve"> - На корпусе картриджа наличие:</w:t>
      </w:r>
      <w:r>
        <w:rPr>
          <w:color w:val="1a1a1a"/>
          <w:sz w:val="21"/>
          <w:szCs w:val="21"/>
        </w:rPr>
      </w:r>
      <w:r>
        <w:rPr>
          <w:color w:val="1a1a1a"/>
          <w:sz w:val="21"/>
          <w:szCs w:val="21"/>
        </w:rPr>
      </w:r>
    </w:p>
    <w:p>
      <w:pPr>
        <w:pBdr/>
        <w:shd w:val="clear" w:color="auto" w:fill="ffffff"/>
        <w:spacing/>
        <w:ind w:left="709"/>
        <w:jc w:val="both"/>
        <w:rPr>
          <w:color w:val="1a1a1a"/>
          <w:sz w:val="21"/>
          <w:szCs w:val="21"/>
        </w:rPr>
      </w:pPr>
      <w:r>
        <w:rPr>
          <w:color w:val="1a1a1a"/>
          <w:sz w:val="21"/>
          <w:szCs w:val="21"/>
        </w:rPr>
        <w:t xml:space="preserve">- наименования производителя;</w:t>
      </w:r>
      <w:r>
        <w:rPr>
          <w:color w:val="1a1a1a"/>
          <w:sz w:val="21"/>
          <w:szCs w:val="21"/>
        </w:rPr>
      </w:r>
      <w:r>
        <w:rPr>
          <w:color w:val="1a1a1a"/>
          <w:sz w:val="21"/>
          <w:szCs w:val="21"/>
        </w:rPr>
      </w:r>
    </w:p>
    <w:p>
      <w:pPr>
        <w:pBdr/>
        <w:shd w:val="clear" w:color="auto" w:fill="ffffff"/>
        <w:spacing/>
        <w:ind w:left="709"/>
        <w:jc w:val="both"/>
        <w:rPr>
          <w:color w:val="1a1a1a"/>
          <w:sz w:val="21"/>
          <w:szCs w:val="21"/>
        </w:rPr>
      </w:pPr>
      <w:r>
        <w:rPr>
          <w:color w:val="1a1a1a"/>
          <w:sz w:val="21"/>
          <w:szCs w:val="21"/>
        </w:rPr>
        <w:t xml:space="preserve">-марки картриджа,</w:t>
      </w:r>
      <w:r>
        <w:rPr>
          <w:color w:val="1a1a1a"/>
          <w:sz w:val="21"/>
          <w:szCs w:val="21"/>
        </w:rPr>
      </w:r>
      <w:r>
        <w:rPr>
          <w:color w:val="1a1a1a"/>
          <w:sz w:val="21"/>
          <w:szCs w:val="21"/>
        </w:rPr>
      </w:r>
    </w:p>
    <w:p>
      <w:pPr>
        <w:pBdr/>
        <w:shd w:val="clear" w:color="auto" w:fill="ffffff"/>
        <w:spacing/>
        <w:ind w:left="709"/>
        <w:jc w:val="both"/>
        <w:rPr>
          <w:color w:val="1a1a1a"/>
          <w:sz w:val="21"/>
          <w:szCs w:val="21"/>
        </w:rPr>
      </w:pPr>
      <w:r>
        <w:rPr>
          <w:color w:val="1a1a1a"/>
          <w:sz w:val="21"/>
          <w:szCs w:val="21"/>
        </w:rPr>
        <w:t xml:space="preserve">-серийный номер картриджа (должен совпадать с номером на упаковке).</w:t>
      </w:r>
      <w:r>
        <w:rPr>
          <w:color w:val="1a1a1a"/>
          <w:sz w:val="21"/>
          <w:szCs w:val="21"/>
        </w:rPr>
      </w:r>
      <w:r>
        <w:rPr>
          <w:color w:val="1a1a1a"/>
          <w:sz w:val="21"/>
          <w:szCs w:val="21"/>
        </w:rPr>
      </w:r>
    </w:p>
    <w:p>
      <w:pPr>
        <w:pBdr/>
        <w:shd w:val="clear" w:color="auto" w:fill="ffffff"/>
        <w:spacing/>
        <w:ind w:left="709"/>
        <w:jc w:val="both"/>
        <w:rPr>
          <w:color w:val="1a1a1a"/>
          <w:sz w:val="21"/>
          <w:szCs w:val="21"/>
        </w:rPr>
      </w:pPr>
      <w:r>
        <w:rPr>
          <w:color w:val="1a1a1a"/>
          <w:sz w:val="21"/>
          <w:szCs w:val="21"/>
        </w:rPr>
      </w:r>
      <w:r>
        <w:rPr>
          <w:color w:val="1a1a1a"/>
          <w:sz w:val="21"/>
          <w:szCs w:val="21"/>
        </w:rPr>
      </w:r>
      <w:r>
        <w:rPr>
          <w:color w:val="1a1a1a"/>
          <w:sz w:val="21"/>
          <w:szCs w:val="21"/>
        </w:rPr>
      </w:r>
    </w:p>
    <w:p>
      <w:pPr>
        <w:pBdr/>
        <w:spacing/>
        <w:ind/>
        <w:outlineLvl w:val="0"/>
        <w:rPr>
          <w:rFonts w:eastAsia="Calibri"/>
          <w:sz w:val="21"/>
          <w:szCs w:val="21"/>
        </w:rPr>
      </w:pPr>
      <w:r>
        <w:rPr>
          <w:rFonts w:eastAsia="Calibri"/>
          <w:b/>
          <w:sz w:val="21"/>
          <w:szCs w:val="21"/>
        </w:rPr>
        <w:t xml:space="preserve">Срок поставки: </w:t>
      </w:r>
      <w:r>
        <w:rPr>
          <w:rFonts w:eastAsia="Calibri"/>
          <w:sz w:val="21"/>
          <w:szCs w:val="21"/>
        </w:rPr>
        <w:t xml:space="preserve">в течение 10 дней </w:t>
      </w:r>
      <w:r>
        <w:rPr>
          <w:rFonts w:eastAsia="Calibri"/>
          <w:sz w:val="21"/>
          <w:szCs w:val="21"/>
        </w:rPr>
        <w:t xml:space="preserve">с даты заключения</w:t>
      </w:r>
      <w:r>
        <w:rPr>
          <w:rFonts w:eastAsia="Calibri"/>
          <w:sz w:val="21"/>
          <w:szCs w:val="21"/>
        </w:rPr>
        <w:t xml:space="preserve"> Контракта.</w:t>
      </w:r>
      <w:r>
        <w:rPr>
          <w:rFonts w:eastAsia="Calibri"/>
          <w:sz w:val="21"/>
          <w:szCs w:val="21"/>
        </w:rPr>
      </w:r>
      <w:r>
        <w:rPr>
          <w:rFonts w:eastAsia="Calibri"/>
          <w:sz w:val="21"/>
          <w:szCs w:val="21"/>
        </w:rPr>
      </w:r>
    </w:p>
    <w:p>
      <w:pPr>
        <w:pBdr/>
        <w:spacing/>
        <w:ind/>
        <w:rPr>
          <w:rFonts w:eastAsia="Calibri"/>
          <w:b/>
          <w:sz w:val="21"/>
          <w:szCs w:val="21"/>
        </w:rPr>
      </w:pPr>
      <w:r>
        <w:rPr>
          <w:rFonts w:eastAsia="Calibri"/>
          <w:b/>
          <w:sz w:val="21"/>
          <w:szCs w:val="21"/>
        </w:rPr>
        <w:t xml:space="preserve">Год изготовления Товара   не ранее 2025 год.</w:t>
      </w:r>
      <w:r>
        <w:rPr>
          <w:rFonts w:eastAsia="Calibri"/>
          <w:b/>
          <w:sz w:val="21"/>
          <w:szCs w:val="21"/>
        </w:rPr>
      </w:r>
      <w:r>
        <w:rPr>
          <w:rFonts w:eastAsia="Calibri"/>
          <w:b/>
          <w:sz w:val="21"/>
          <w:szCs w:val="21"/>
        </w:rPr>
      </w:r>
    </w:p>
    <w:p>
      <w:pPr>
        <w:pBdr/>
        <w:spacing/>
        <w:ind/>
        <w:outlineLvl w:val="0"/>
        <w:rPr>
          <w:rFonts w:eastAsia="Calibri"/>
          <w:b/>
          <w:color w:val="000000"/>
          <w:sz w:val="21"/>
          <w:szCs w:val="21"/>
          <w:shd w:val="clear" w:color="auto" w:fill="ffffff"/>
        </w:rPr>
      </w:pPr>
      <w:r>
        <w:rPr>
          <w:rFonts w:eastAsia="Calibri"/>
          <w:b/>
          <w:color w:val="000000"/>
          <w:sz w:val="21"/>
          <w:szCs w:val="21"/>
          <w:shd w:val="clear" w:color="auto" w:fill="ffffff"/>
        </w:rPr>
        <w:t xml:space="preserve">Количество к поставке:</w:t>
      </w:r>
      <w:r>
        <w:rPr>
          <w:rFonts w:eastAsia="Calibri"/>
          <w:b/>
          <w:color w:val="000000"/>
          <w:sz w:val="21"/>
          <w:szCs w:val="21"/>
          <w:shd w:val="clear" w:color="auto" w:fill="ffffff"/>
        </w:rPr>
      </w:r>
      <w:r>
        <w:rPr>
          <w:rFonts w:eastAsia="Calibri"/>
          <w:b/>
          <w:color w:val="000000"/>
          <w:sz w:val="21"/>
          <w:szCs w:val="21"/>
          <w:shd w:val="clear" w:color="auto" w:fill="ffffff"/>
        </w:rPr>
      </w:r>
    </w:p>
    <w:tbl>
      <w:tblPr>
        <w:tblInd w:w="29" w:type="dxa"/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40"/>
        <w:gridCol w:w="4541"/>
        <w:gridCol w:w="1292"/>
        <w:gridCol w:w="859"/>
        <w:gridCol w:w="1476"/>
        <w:gridCol w:w="1713"/>
      </w:tblGrid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№ </w:t>
            </w:r>
            <w:r>
              <w:rPr>
                <w:rFonts w:eastAsia="Calibri"/>
                <w:sz w:val="21"/>
                <w:szCs w:val="21"/>
              </w:rPr>
              <w:t xml:space="preserve">п</w:t>
            </w:r>
            <w:r>
              <w:rPr>
                <w:rFonts w:eastAsia="Calibri"/>
                <w:sz w:val="21"/>
                <w:szCs w:val="21"/>
              </w:rPr>
              <w:t xml:space="preserve">/</w:t>
            </w:r>
            <w:r>
              <w:rPr>
                <w:rFonts w:eastAsia="Calibri"/>
                <w:sz w:val="21"/>
                <w:szCs w:val="21"/>
              </w:rPr>
              <w:t xml:space="preserve">п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Наименование товара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единица измерения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Кол-во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ОКПД 2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КТРУ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trHeight w:val="6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штука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 xml:space="preserve">1</w:t>
            </w:r>
            <w:r>
              <w:rPr>
                <w:rFonts w:eastAsia="Calibri"/>
                <w:color w:val="000000"/>
                <w:sz w:val="21"/>
                <w:szCs w:val="21"/>
              </w:rPr>
            </w:r>
            <w:r>
              <w:rPr>
                <w:rFonts w:eastAsia="Calibri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28.23.25.000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20.59.12.120-00000002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штука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 xml:space="preserve">1</w:t>
            </w:r>
            <w:r>
              <w:rPr>
                <w:rFonts w:eastAsia="Calibri"/>
                <w:color w:val="000000"/>
                <w:sz w:val="21"/>
                <w:szCs w:val="21"/>
              </w:rPr>
            </w:r>
            <w:r>
              <w:rPr>
                <w:rFonts w:eastAsia="Calibri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28.23.25.000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20.59.12.120-00000002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3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штука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 xml:space="preserve">1</w:t>
            </w:r>
            <w:r>
              <w:rPr>
                <w:rFonts w:eastAsia="Calibri"/>
                <w:color w:val="000000"/>
                <w:sz w:val="21"/>
                <w:szCs w:val="21"/>
              </w:rPr>
            </w:r>
            <w:r>
              <w:rPr>
                <w:rFonts w:eastAsia="Calibri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28.23.25.000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20.59.12.120-00000002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 xml:space="preserve">4</w:t>
            </w:r>
            <w:r>
              <w:rPr>
                <w:rFonts w:eastAsia="Calibri"/>
                <w:color w:val="000000"/>
                <w:sz w:val="21"/>
                <w:szCs w:val="21"/>
              </w:rPr>
            </w:r>
            <w:r>
              <w:rPr>
                <w:rFonts w:eastAsia="Calibri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штука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 xml:space="preserve">1</w:t>
            </w:r>
            <w:r>
              <w:rPr>
                <w:rFonts w:eastAsia="Calibri"/>
                <w:color w:val="000000"/>
                <w:sz w:val="21"/>
                <w:szCs w:val="21"/>
              </w:rPr>
            </w:r>
            <w:r>
              <w:rPr>
                <w:rFonts w:eastAsia="Calibri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28.23.25.000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20.59.12.120-00000002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 xml:space="preserve">5</w:t>
            </w:r>
            <w:r>
              <w:rPr>
                <w:rFonts w:eastAsia="Calibri"/>
                <w:color w:val="000000"/>
                <w:sz w:val="21"/>
                <w:szCs w:val="21"/>
              </w:rPr>
            </w:r>
            <w:r>
              <w:rPr>
                <w:rFonts w:eastAsia="Calibri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штука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 xml:space="preserve">40</w:t>
            </w:r>
            <w:r>
              <w:rPr>
                <w:rFonts w:eastAsia="Calibri"/>
                <w:color w:val="000000"/>
                <w:sz w:val="21"/>
                <w:szCs w:val="21"/>
              </w:rPr>
            </w:r>
            <w:r>
              <w:rPr>
                <w:rFonts w:eastAsia="Calibri"/>
                <w:color w:val="000000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28.23.25.000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20.59.12.120-00000002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</w:tbl>
    <w:p>
      <w:pPr>
        <w:pBdr/>
        <w:spacing/>
        <w:ind/>
        <w:jc w:val="both"/>
        <w:rPr>
          <w:rFonts w:eastAsia="Calibri"/>
          <w:b/>
          <w:sz w:val="21"/>
          <w:szCs w:val="21"/>
        </w:rPr>
      </w:pPr>
      <w:r>
        <w:rPr>
          <w:rFonts w:eastAsia="Calibri"/>
          <w:b/>
          <w:sz w:val="21"/>
          <w:szCs w:val="21"/>
        </w:rPr>
      </w:r>
      <w:r>
        <w:rPr>
          <w:rFonts w:eastAsia="Calibri"/>
          <w:b/>
          <w:sz w:val="21"/>
          <w:szCs w:val="21"/>
        </w:rPr>
      </w:r>
      <w:r>
        <w:rPr>
          <w:rFonts w:eastAsia="Calibri"/>
          <w:b/>
          <w:sz w:val="21"/>
          <w:szCs w:val="21"/>
        </w:rPr>
      </w:r>
    </w:p>
    <w:p>
      <w:pPr>
        <w:pBdr/>
        <w:spacing/>
        <w:ind/>
        <w:jc w:val="center"/>
        <w:rPr>
          <w:rFonts w:eastAsia="Calibri"/>
          <w:b/>
          <w:bCs/>
          <w:color w:val="000000"/>
          <w:sz w:val="21"/>
          <w:szCs w:val="21"/>
        </w:rPr>
      </w:pPr>
      <w:r>
        <w:rPr>
          <w:b/>
          <w:bCs/>
          <w:sz w:val="21"/>
          <w:szCs w:val="21"/>
        </w:rPr>
        <w:t xml:space="preserve">Функциональные, технические и качественные характеристики, эксплуатационные характеристики товара. </w:t>
      </w:r>
      <w:r>
        <w:rPr>
          <w:rFonts w:eastAsia="Calibri"/>
          <w:b/>
          <w:bCs/>
          <w:color w:val="000000"/>
          <w:sz w:val="21"/>
          <w:szCs w:val="21"/>
        </w:rPr>
        <w:t xml:space="preserve"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  <w:r>
        <w:rPr>
          <w:rFonts w:eastAsia="Calibri"/>
          <w:b/>
          <w:bCs/>
          <w:color w:val="000000"/>
          <w:sz w:val="21"/>
          <w:szCs w:val="21"/>
        </w:rPr>
      </w:r>
      <w:r>
        <w:rPr>
          <w:rFonts w:eastAsia="Calibri"/>
          <w:b/>
          <w:bCs/>
          <w:color w:val="000000"/>
          <w:sz w:val="21"/>
          <w:szCs w:val="21"/>
        </w:rPr>
      </w:r>
    </w:p>
    <w:tbl>
      <w:tblPr>
        <w:jc w:val="center"/>
        <w:tblW w:w="105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87"/>
        <w:gridCol w:w="7098"/>
        <w:gridCol w:w="2956"/>
      </w:tblGrid>
      <w:tr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 w:right="-36" w:left="-46"/>
              <w:contextualSpacing w:val="true"/>
              <w:jc w:val="center"/>
              <w:rPr>
                <w:rFonts w:eastAsia="Calibri"/>
                <w:b/>
                <w:bCs/>
                <w:sz w:val="21"/>
                <w:szCs w:val="21"/>
              </w:rPr>
            </w:pPr>
            <w:r>
              <w:rPr>
                <w:rFonts w:eastAsia="Calibri"/>
                <w:b/>
                <w:bCs/>
                <w:sz w:val="21"/>
                <w:szCs w:val="21"/>
              </w:rPr>
              <w:t xml:space="preserve">№ </w:t>
            </w:r>
            <w:r>
              <w:rPr>
                <w:rFonts w:eastAsia="Calibri"/>
                <w:b/>
                <w:bCs/>
                <w:sz w:val="21"/>
                <w:szCs w:val="21"/>
              </w:rPr>
              <w:t xml:space="preserve">п</w:t>
            </w:r>
            <w:r>
              <w:rPr>
                <w:rFonts w:eastAsia="Calibri"/>
                <w:b/>
                <w:bCs/>
                <w:sz w:val="21"/>
                <w:szCs w:val="21"/>
              </w:rPr>
              <w:t xml:space="preserve">/</w:t>
            </w:r>
            <w:r>
              <w:rPr>
                <w:rFonts w:eastAsia="Calibri"/>
                <w:b/>
                <w:bCs/>
                <w:sz w:val="21"/>
                <w:szCs w:val="21"/>
              </w:rPr>
              <w:t xml:space="preserve">п</w:t>
            </w:r>
            <w:r>
              <w:rPr>
                <w:rFonts w:eastAsia="Calibri"/>
                <w:b/>
                <w:bCs/>
                <w:sz w:val="21"/>
                <w:szCs w:val="21"/>
              </w:rPr>
            </w:r>
            <w:r>
              <w:rPr>
                <w:rFonts w:eastAsia="Calibri"/>
                <w:b/>
                <w:bCs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/>
              <w:ind/>
              <w:rPr>
                <w:rFonts w:eastAsia="Calibri"/>
                <w:b/>
                <w:color w:val="00000a"/>
                <w:sz w:val="21"/>
                <w:szCs w:val="21"/>
              </w:rPr>
            </w:pPr>
            <w:r>
              <w:rPr>
                <w:rFonts w:eastAsia="Calibri"/>
                <w:b/>
                <w:color w:val="00000a"/>
                <w:sz w:val="21"/>
                <w:szCs w:val="21"/>
                <w:lang w:eastAsia="zh-CN" w:bidi="hi-IN"/>
              </w:rPr>
              <w:t xml:space="preserve">Наименование, характеристики, параметры товара</w:t>
            </w:r>
            <w:r>
              <w:rPr>
                <w:rFonts w:eastAsia="Calibri"/>
                <w:b/>
                <w:color w:val="00000a"/>
                <w:sz w:val="21"/>
                <w:szCs w:val="21"/>
              </w:rPr>
            </w:r>
            <w:r>
              <w:rPr>
                <w:rFonts w:eastAsia="Calibri"/>
                <w:b/>
                <w:color w:val="00000a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/>
              <w:ind/>
              <w:jc w:val="center"/>
              <w:rPr>
                <w:rFonts w:eastAsia="Calibri"/>
                <w:b/>
                <w:color w:val="00000a"/>
                <w:sz w:val="21"/>
                <w:szCs w:val="21"/>
              </w:rPr>
            </w:pPr>
            <w:r>
              <w:rPr>
                <w:rFonts w:eastAsia="Calibri"/>
                <w:b/>
                <w:color w:val="00000a"/>
                <w:sz w:val="21"/>
                <w:szCs w:val="21"/>
                <w:lang w:eastAsia="zh-CN" w:bidi="hi-IN"/>
              </w:rPr>
              <w:t xml:space="preserve">Требуемое значение, величина параметра</w:t>
            </w:r>
            <w:r>
              <w:rPr>
                <w:rFonts w:eastAsia="Calibri"/>
                <w:b/>
                <w:color w:val="00000a"/>
                <w:sz w:val="21"/>
                <w:szCs w:val="21"/>
              </w:rPr>
            </w:r>
            <w:r>
              <w:rPr>
                <w:rFonts w:eastAsia="Calibri"/>
                <w:b/>
                <w:color w:val="00000a"/>
                <w:sz w:val="21"/>
                <w:szCs w:val="21"/>
              </w:rPr>
            </w:r>
          </w:p>
        </w:tc>
      </w:tr>
      <w:tr>
        <w:trPr>
          <w:jc w:val="center"/>
          <w:trHeight w:val="4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  <w:t xml:space="preserve">1</w:t>
            </w: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8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Наименование в соответствии с техническим паспортом и/или руководством по эксплуатации 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8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Товарный знак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3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Страна происхождения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7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4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Назначение: расходные материалы для МФУ или принтера, содержащие чернила или тонер, обеспечивающие печать документов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10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5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Модель принтера (МФУ)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1"/>
                <w:szCs w:val="21"/>
              </w:rPr>
            </w:pPr>
            <w:r>
              <w:rPr>
                <w:rFonts w:eastAsia="Calibri"/>
                <w:bCs/>
                <w:sz w:val="21"/>
                <w:szCs w:val="21"/>
              </w:rPr>
              <w:t xml:space="preserve">МФУ </w:t>
            </w:r>
            <w:r>
              <w:rPr>
                <w:rFonts w:eastAsia="Calibri"/>
                <w:bCs/>
                <w:sz w:val="21"/>
                <w:szCs w:val="21"/>
              </w:rPr>
              <w:t xml:space="preserve">Canon</w:t>
            </w:r>
            <w:r>
              <w:rPr>
                <w:rFonts w:eastAsia="Calibri"/>
                <w:bCs/>
                <w:sz w:val="21"/>
                <w:szCs w:val="21"/>
              </w:rPr>
              <w:t xml:space="preserve"> </w:t>
            </w:r>
            <w:r>
              <w:rPr>
                <w:rFonts w:eastAsia="Calibri"/>
                <w:bCs/>
                <w:sz w:val="21"/>
                <w:szCs w:val="21"/>
              </w:rPr>
              <w:t xml:space="preserve">i-SENSYS</w:t>
            </w:r>
            <w:r>
              <w:rPr>
                <w:rFonts w:eastAsia="Calibri"/>
                <w:bCs/>
                <w:sz w:val="21"/>
                <w:szCs w:val="21"/>
              </w:rPr>
              <w:t xml:space="preserve"> MF744Cdw</w:t>
            </w:r>
            <w:r>
              <w:rPr>
                <w:rFonts w:eastAsia="Calibri"/>
                <w:bCs/>
                <w:sz w:val="21"/>
                <w:szCs w:val="21"/>
              </w:rPr>
            </w:r>
            <w:r>
              <w:rPr>
                <w:rFonts w:eastAsia="Calibri"/>
                <w:bCs/>
                <w:sz w:val="21"/>
                <w:szCs w:val="21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10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6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Модель картриджа в соответствии с технической документацией на принтер (МФУ)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  <w:lang w:val="en-US"/>
              </w:rPr>
            </w:pPr>
            <w:r>
              <w:rPr>
                <w:rFonts w:eastAsia="Calibri"/>
                <w:sz w:val="21"/>
                <w:szCs w:val="21"/>
              </w:rPr>
              <w:t xml:space="preserve">Картридж</w:t>
            </w:r>
            <w:r>
              <w:rPr>
                <w:rFonts w:eastAsia="Calibri"/>
                <w:sz w:val="21"/>
                <w:szCs w:val="21"/>
                <w:lang w:val="en-US"/>
              </w:rPr>
              <w:t xml:space="preserve"> Canon Cartridge 055 </w:t>
            </w:r>
            <w:r>
              <w:rPr>
                <w:rFonts w:eastAsia="Calibri"/>
                <w:sz w:val="21"/>
                <w:szCs w:val="21"/>
              </w:rPr>
              <w:t xml:space="preserve">Н</w:t>
            </w:r>
            <w:r>
              <w:rPr>
                <w:rFonts w:eastAsia="Calibri"/>
                <w:sz w:val="21"/>
                <w:szCs w:val="21"/>
                <w:lang w:val="en-US"/>
              </w:rPr>
              <w:t xml:space="preserve"> Yellow</w:t>
            </w:r>
            <w:r>
              <w:rPr>
                <w:rFonts w:eastAsia="Calibri"/>
                <w:sz w:val="21"/>
                <w:szCs w:val="21"/>
                <w:lang w:val="en-US"/>
              </w:rPr>
            </w:r>
            <w:r>
              <w:rPr>
                <w:rFonts w:eastAsia="Calibri"/>
                <w:sz w:val="21"/>
                <w:szCs w:val="21"/>
                <w:lang w:val="en-US"/>
              </w:rPr>
            </w:r>
          </w:p>
        </w:tc>
      </w:tr>
      <w:tr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7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Маркировка товара на картридже и упаковке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055Н Y</w:t>
            </w:r>
            <w:r>
              <w:rPr>
                <w:rFonts w:eastAsia="Calibri"/>
                <w:sz w:val="21"/>
                <w:szCs w:val="21"/>
                <w:lang w:val="en-US"/>
              </w:rPr>
              <w:t xml:space="preserve">ellow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8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Тип  печати: лазерный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9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Цвет: желтый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3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10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Ресурс при 5% заполнении листа А</w:t>
            </w:r>
            <w:r>
              <w:rPr>
                <w:rFonts w:eastAsia="Calibri"/>
                <w:sz w:val="21"/>
                <w:szCs w:val="21"/>
              </w:rPr>
              <w:t xml:space="preserve">4</w:t>
            </w:r>
            <w:r>
              <w:rPr>
                <w:rFonts w:eastAsia="Calibri"/>
                <w:sz w:val="21"/>
                <w:szCs w:val="21"/>
              </w:rPr>
              <w:t xml:space="preserve">: 5900 страниц 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1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11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 чипа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нет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4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  <w:t xml:space="preserve">2</w:t>
            </w: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Наименование в соответствии с техническим паспортом и/или руководством по эксплуатации 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Товарный знак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4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3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Страна происхождения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4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Назначение: расходные материалы для МФУ или принтера, содержащие чернила или тонер, обеспечивающие печать документов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5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Модель принтера (МФУ)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1"/>
                <w:szCs w:val="21"/>
              </w:rPr>
            </w:pPr>
            <w:r>
              <w:rPr>
                <w:rFonts w:eastAsia="Calibri"/>
                <w:bCs/>
                <w:sz w:val="21"/>
                <w:szCs w:val="21"/>
              </w:rPr>
              <w:t xml:space="preserve">МФУ </w:t>
            </w:r>
            <w:r>
              <w:rPr>
                <w:rFonts w:eastAsia="Calibri"/>
                <w:bCs/>
                <w:sz w:val="21"/>
                <w:szCs w:val="21"/>
              </w:rPr>
              <w:t xml:space="preserve">Canon</w:t>
            </w:r>
            <w:r>
              <w:rPr>
                <w:rFonts w:eastAsia="Calibri"/>
                <w:bCs/>
                <w:sz w:val="21"/>
                <w:szCs w:val="21"/>
              </w:rPr>
              <w:t xml:space="preserve"> </w:t>
            </w:r>
            <w:r>
              <w:rPr>
                <w:rFonts w:eastAsia="Calibri"/>
                <w:bCs/>
                <w:sz w:val="21"/>
                <w:szCs w:val="21"/>
              </w:rPr>
              <w:t xml:space="preserve">i-SENSYS</w:t>
            </w:r>
            <w:r>
              <w:rPr>
                <w:rFonts w:eastAsia="Calibri"/>
                <w:bCs/>
                <w:sz w:val="21"/>
                <w:szCs w:val="21"/>
              </w:rPr>
              <w:t xml:space="preserve"> MF744Cdw</w:t>
            </w:r>
            <w:r>
              <w:rPr>
                <w:rFonts w:eastAsia="Calibri"/>
                <w:bCs/>
                <w:sz w:val="21"/>
                <w:szCs w:val="21"/>
              </w:rPr>
            </w:r>
            <w:r>
              <w:rPr>
                <w:rFonts w:eastAsia="Calibri"/>
                <w:bCs/>
                <w:sz w:val="21"/>
                <w:szCs w:val="21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6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Модель картриджа в соответствии с технической документацией на принтер (МФУ)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  <w:lang w:val="en-US"/>
              </w:rPr>
            </w:pPr>
            <w:r>
              <w:rPr>
                <w:rFonts w:eastAsia="Calibri"/>
                <w:sz w:val="21"/>
                <w:szCs w:val="21"/>
              </w:rPr>
              <w:t xml:space="preserve">Картридж</w:t>
            </w:r>
            <w:r>
              <w:rPr>
                <w:rFonts w:eastAsia="Calibri"/>
                <w:sz w:val="21"/>
                <w:szCs w:val="21"/>
                <w:lang w:val="en-US"/>
              </w:rPr>
              <w:t xml:space="preserve"> Canon Cartridge 055</w:t>
            </w:r>
            <w:r>
              <w:rPr>
                <w:rFonts w:eastAsia="Calibri"/>
                <w:sz w:val="21"/>
                <w:szCs w:val="21"/>
              </w:rPr>
              <w:t xml:space="preserve">Н</w:t>
            </w:r>
            <w:r>
              <w:rPr>
                <w:rFonts w:eastAsia="Calibri"/>
                <w:sz w:val="21"/>
                <w:szCs w:val="21"/>
                <w:lang w:val="en-US"/>
              </w:rPr>
              <w:t xml:space="preserve"> Magenta</w:t>
            </w:r>
            <w:r>
              <w:rPr>
                <w:rFonts w:eastAsia="Calibri"/>
                <w:sz w:val="21"/>
                <w:szCs w:val="21"/>
                <w:lang w:val="en-US"/>
              </w:rPr>
            </w:r>
            <w:r>
              <w:rPr>
                <w:rFonts w:eastAsia="Calibri"/>
                <w:sz w:val="21"/>
                <w:szCs w:val="21"/>
                <w:lang w:val="en-US"/>
              </w:rPr>
            </w:r>
          </w:p>
        </w:tc>
      </w:tr>
      <w:tr>
        <w:trPr>
          <w:jc w:val="center"/>
          <w:trHeight w:val="3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7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Маркировка товара на картридже и упаковке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055Н</w:t>
            </w:r>
            <w:r>
              <w:rPr>
                <w:rFonts w:eastAsia="Calibri"/>
                <w:sz w:val="21"/>
                <w:szCs w:val="21"/>
                <w:lang w:val="en-US"/>
              </w:rPr>
              <w:t xml:space="preserve"> Magenta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8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Тип  печати: лазерный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4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9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Цвет: пурпурный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3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10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Ресурс при 5% заполнении листа А</w:t>
            </w:r>
            <w:r>
              <w:rPr>
                <w:rFonts w:eastAsia="Calibri"/>
                <w:sz w:val="21"/>
                <w:szCs w:val="21"/>
              </w:rPr>
              <w:t xml:space="preserve">4</w:t>
            </w:r>
            <w:r>
              <w:rPr>
                <w:rFonts w:eastAsia="Calibri"/>
                <w:sz w:val="21"/>
                <w:szCs w:val="21"/>
              </w:rPr>
              <w:t xml:space="preserve">: </w:t>
            </w:r>
            <w:r>
              <w:rPr>
                <w:rFonts w:eastAsia="Calibri"/>
                <w:sz w:val="21"/>
                <w:szCs w:val="21"/>
              </w:rPr>
              <w:t xml:space="preserve">5900 страниц 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1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11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 чипа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нет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  <w:t xml:space="preserve">3</w:t>
            </w: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  <w:shd w:val="clear" w:color="auto" w:fill="ffffff"/>
              </w:rPr>
              <w:t xml:space="preserve">.</w:t>
            </w: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Наименование в соответствии с техническим паспортом и/или руководством по эксплуатации 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Товарный знак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3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Страна происхождения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4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Назначение: расходные материалы для МФУ или принтера, содержащие чернила или тонер, обеспечивающие печать документов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5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Модель принтера (МФУ)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1"/>
                <w:szCs w:val="21"/>
                <w:lang w:val="en-US"/>
              </w:rPr>
            </w:pPr>
            <w:r>
              <w:rPr>
                <w:rFonts w:eastAsia="Calibri"/>
                <w:bCs/>
                <w:sz w:val="21"/>
                <w:szCs w:val="21"/>
              </w:rPr>
              <w:t xml:space="preserve">МФУ</w:t>
            </w:r>
            <w:r>
              <w:rPr>
                <w:rFonts w:eastAsia="Calibri"/>
                <w:bCs/>
                <w:sz w:val="21"/>
                <w:szCs w:val="21"/>
                <w:lang w:val="en-US"/>
              </w:rPr>
              <w:t xml:space="preserve"> Canon </w:t>
            </w:r>
            <w:r>
              <w:rPr>
                <w:rFonts w:eastAsia="Calibri"/>
                <w:bCs/>
                <w:sz w:val="21"/>
                <w:szCs w:val="21"/>
                <w:lang w:val="en-US"/>
              </w:rPr>
              <w:t xml:space="preserve">i</w:t>
            </w:r>
            <w:r>
              <w:rPr>
                <w:rFonts w:eastAsia="Calibri"/>
                <w:bCs/>
                <w:sz w:val="21"/>
                <w:szCs w:val="21"/>
                <w:lang w:val="en-US"/>
              </w:rPr>
              <w:t xml:space="preserve">-SENSYS MF744Cdw</w:t>
            </w:r>
            <w:r>
              <w:rPr>
                <w:rFonts w:eastAsia="Calibri"/>
                <w:bCs/>
                <w:sz w:val="21"/>
                <w:szCs w:val="21"/>
                <w:lang w:val="en-US"/>
              </w:rPr>
            </w:r>
            <w:r>
              <w:rPr>
                <w:rFonts w:eastAsia="Calibri"/>
                <w:bCs/>
                <w:sz w:val="21"/>
                <w:szCs w:val="21"/>
                <w:lang w:val="en-US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6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Модель картриджа в соответствии с технической документацией на принтер (МФУ)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Картридж</w:t>
            </w:r>
            <w:r>
              <w:rPr>
                <w:rFonts w:eastAsia="Calibri"/>
                <w:sz w:val="21"/>
                <w:szCs w:val="21"/>
                <w:lang w:val="en-US"/>
              </w:rPr>
              <w:t xml:space="preserve"> Canon Cartridge 055</w:t>
            </w:r>
            <w:r>
              <w:rPr>
                <w:rFonts w:eastAsia="Calibri"/>
                <w:sz w:val="21"/>
                <w:szCs w:val="21"/>
              </w:rPr>
              <w:t xml:space="preserve">Н</w:t>
            </w:r>
            <w:r>
              <w:rPr>
                <w:rFonts w:eastAsia="Calibri"/>
                <w:sz w:val="21"/>
                <w:szCs w:val="21"/>
                <w:lang w:val="en-US"/>
              </w:rPr>
              <w:t xml:space="preserve"> Cyan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4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7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Маркировка товара на картридже и упаковке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055Н </w:t>
            </w:r>
            <w:r>
              <w:rPr>
                <w:rFonts w:eastAsia="Calibri"/>
                <w:sz w:val="21"/>
                <w:szCs w:val="21"/>
              </w:rPr>
              <w:t xml:space="preserve">Cyan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4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8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Тип  печати: лазерный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9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Цвет: голубой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10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Ресурс при 5% заполнении листа А</w:t>
            </w:r>
            <w:r>
              <w:rPr>
                <w:rFonts w:eastAsia="Calibri"/>
                <w:sz w:val="21"/>
                <w:szCs w:val="21"/>
              </w:rPr>
              <w:t xml:space="preserve">4</w:t>
            </w:r>
            <w:r>
              <w:rPr>
                <w:rFonts w:eastAsia="Calibri"/>
                <w:sz w:val="21"/>
                <w:szCs w:val="21"/>
              </w:rPr>
              <w:t xml:space="preserve">: 5900 страниц 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1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11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 чипа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нет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7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  <w:t xml:space="preserve">4</w:t>
            </w: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Наименование в соответствии с техническим паспортом и/или руководством по эксплуатации 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Товарный знак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3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Страна происхождения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4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Назначение: расходные материалы для МФУ или принтера, содержащие чернила или тонер, обеспечивающие печать документов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5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Модель принтера (МФУ)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1"/>
                <w:szCs w:val="21"/>
                <w:lang w:val="en-US"/>
              </w:rPr>
            </w:pPr>
            <w:r>
              <w:rPr>
                <w:rFonts w:eastAsia="Calibri"/>
                <w:bCs/>
                <w:sz w:val="21"/>
                <w:szCs w:val="21"/>
              </w:rPr>
              <w:t xml:space="preserve">МФУ</w:t>
            </w:r>
            <w:r>
              <w:rPr>
                <w:rFonts w:eastAsia="Calibri"/>
                <w:bCs/>
                <w:sz w:val="21"/>
                <w:szCs w:val="21"/>
                <w:lang w:val="en-US"/>
              </w:rPr>
              <w:t xml:space="preserve"> Canon </w:t>
            </w:r>
            <w:r>
              <w:rPr>
                <w:rFonts w:eastAsia="Calibri"/>
                <w:bCs/>
                <w:sz w:val="21"/>
                <w:szCs w:val="21"/>
                <w:lang w:val="en-US"/>
              </w:rPr>
              <w:t xml:space="preserve">i</w:t>
            </w:r>
            <w:r>
              <w:rPr>
                <w:rFonts w:eastAsia="Calibri"/>
                <w:bCs/>
                <w:sz w:val="21"/>
                <w:szCs w:val="21"/>
                <w:lang w:val="en-US"/>
              </w:rPr>
              <w:t xml:space="preserve">-SENSYS MF744Cdw</w:t>
            </w:r>
            <w:r>
              <w:rPr>
                <w:rFonts w:eastAsia="Calibri"/>
                <w:bCs/>
                <w:sz w:val="21"/>
                <w:szCs w:val="21"/>
                <w:lang w:val="en-US"/>
              </w:rPr>
            </w:r>
            <w:r>
              <w:rPr>
                <w:rFonts w:eastAsia="Calibri"/>
                <w:bCs/>
                <w:sz w:val="21"/>
                <w:szCs w:val="21"/>
                <w:lang w:val="en-US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6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Модель картриджа в соответствии с технической документацией на принтер (МФУ)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  <w:lang w:val="en-US"/>
              </w:rPr>
            </w:pPr>
            <w:r>
              <w:rPr>
                <w:rFonts w:eastAsia="Calibri"/>
                <w:sz w:val="21"/>
                <w:szCs w:val="21"/>
              </w:rPr>
              <w:t xml:space="preserve">Картридж</w:t>
            </w:r>
            <w:r>
              <w:rPr>
                <w:rFonts w:eastAsia="Calibri"/>
                <w:sz w:val="21"/>
                <w:szCs w:val="21"/>
                <w:lang w:val="en-US"/>
              </w:rPr>
              <w:t xml:space="preserve"> Canon Cartridge 055</w:t>
            </w:r>
            <w:r>
              <w:rPr>
                <w:rFonts w:eastAsia="Calibri"/>
                <w:sz w:val="21"/>
                <w:szCs w:val="21"/>
              </w:rPr>
              <w:t xml:space="preserve">Н</w:t>
            </w:r>
            <w:r>
              <w:rPr>
                <w:rFonts w:eastAsia="Calibri"/>
                <w:sz w:val="21"/>
                <w:szCs w:val="21"/>
                <w:lang w:val="en-US"/>
              </w:rPr>
              <w:t xml:space="preserve"> Black</w:t>
            </w:r>
            <w:r>
              <w:rPr>
                <w:rFonts w:eastAsia="Calibri"/>
                <w:sz w:val="21"/>
                <w:szCs w:val="21"/>
                <w:lang w:val="en-US"/>
              </w:rPr>
            </w:r>
            <w:r>
              <w:rPr>
                <w:rFonts w:eastAsia="Calibri"/>
                <w:sz w:val="21"/>
                <w:szCs w:val="21"/>
                <w:lang w:val="en-US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7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Маркировка товара на картридже и упаковке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val="en-US"/>
              </w:rPr>
              <w:t xml:space="preserve">05</w:t>
            </w:r>
            <w:r>
              <w:rPr>
                <w:rFonts w:eastAsia="Calibri"/>
                <w:sz w:val="21"/>
                <w:szCs w:val="21"/>
              </w:rPr>
              <w:t xml:space="preserve">5Н</w:t>
            </w:r>
            <w:r>
              <w:rPr>
                <w:rFonts w:eastAsia="Calibri"/>
                <w:sz w:val="21"/>
                <w:szCs w:val="21"/>
                <w:lang w:val="en-US"/>
              </w:rPr>
              <w:t xml:space="preserve"> Black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8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Тип печати: лазерный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9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Цвет: черный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3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10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Ресурс при 5% заполнении листа А</w:t>
            </w:r>
            <w:r>
              <w:rPr>
                <w:rFonts w:eastAsia="Calibri"/>
                <w:sz w:val="21"/>
                <w:szCs w:val="21"/>
              </w:rPr>
              <w:t xml:space="preserve">4</w:t>
            </w:r>
            <w:r>
              <w:rPr>
                <w:rFonts w:eastAsia="Calibri"/>
                <w:sz w:val="21"/>
                <w:szCs w:val="21"/>
              </w:rPr>
              <w:t xml:space="preserve">: 7600 страниц 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1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11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 чипа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нет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  <w:t xml:space="preserve">5</w:t>
            </w: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  <w:r>
              <w:rPr>
                <w:rFonts w:eastAsia="Calibri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4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Наименование в соответствии с техническим паспортом и/или руководством по эксплуатации 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Товарный знак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3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Страна происхождения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4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Назначение: расходные материалы для МФУ или принтера, содержащие чернила или тонер, обеспечивающие печать документов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8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5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Модель принтера (МФУ)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МФУ</w:t>
            </w:r>
            <w:r>
              <w:rPr>
                <w:rFonts w:eastAsia="Calibri"/>
                <w:sz w:val="21"/>
                <w:szCs w:val="21"/>
                <w:lang w:val="en-US"/>
              </w:rPr>
              <w:t xml:space="preserve"> </w:t>
            </w:r>
            <w:r>
              <w:rPr>
                <w:rFonts w:eastAsia="Calibri"/>
                <w:bCs/>
                <w:sz w:val="21"/>
                <w:szCs w:val="21"/>
              </w:rPr>
              <w:t xml:space="preserve">Canon</w:t>
            </w:r>
            <w:r>
              <w:rPr>
                <w:rFonts w:eastAsia="Calibri"/>
                <w:bCs/>
                <w:sz w:val="21"/>
                <w:szCs w:val="21"/>
              </w:rPr>
              <w:t xml:space="preserve"> </w:t>
            </w:r>
            <w:r>
              <w:rPr>
                <w:rFonts w:eastAsia="Calibri"/>
                <w:bCs/>
                <w:sz w:val="21"/>
                <w:szCs w:val="21"/>
              </w:rPr>
              <w:t xml:space="preserve">i-SENSYS</w:t>
            </w:r>
            <w:r>
              <w:rPr>
                <w:rFonts w:eastAsia="Calibri"/>
                <w:bCs/>
                <w:sz w:val="21"/>
                <w:szCs w:val="21"/>
              </w:rPr>
              <w:t xml:space="preserve"> MF443dw</w:t>
            </w:r>
            <w:r>
              <w:rPr>
                <w:rFonts w:eastAsia="Calibri"/>
                <w:bCs/>
                <w:sz w:val="21"/>
                <w:szCs w:val="21"/>
              </w:rPr>
            </w:r>
            <w:r>
              <w:rPr>
                <w:rFonts w:eastAsia="Calibri"/>
                <w:bCs/>
                <w:sz w:val="21"/>
                <w:szCs w:val="21"/>
              </w:rPr>
            </w:r>
          </w:p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8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6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Модель картриджа в соответствии с технической документацией на принтер (МФУ)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Картридж </w:t>
            </w:r>
            <w:r>
              <w:rPr>
                <w:rFonts w:eastAsia="Calibri"/>
                <w:sz w:val="21"/>
                <w:szCs w:val="21"/>
              </w:rPr>
              <w:t xml:space="preserve">Canon</w:t>
            </w:r>
            <w:r>
              <w:rPr>
                <w:rFonts w:eastAsia="Calibri"/>
                <w:sz w:val="21"/>
                <w:szCs w:val="21"/>
              </w:rPr>
              <w:t xml:space="preserve"> </w:t>
            </w:r>
            <w:r>
              <w:rPr>
                <w:rFonts w:eastAsia="Calibri"/>
                <w:sz w:val="21"/>
                <w:szCs w:val="21"/>
              </w:rPr>
              <w:t xml:space="preserve">Cartridge</w:t>
            </w:r>
            <w:r>
              <w:rPr>
                <w:rFonts w:eastAsia="Calibri"/>
                <w:sz w:val="21"/>
                <w:szCs w:val="21"/>
              </w:rPr>
              <w:t xml:space="preserve"> 057Н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4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7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Маркировка товара на картридже и упаковке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framePr w:h="1085" w:hAnchor="page" w:vAnchor="page" w:w="3962" w:wrap="auto" w:x="6982" w:y="1265"/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057Н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3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8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Тип  печати: лазерный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9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Цвет: черный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10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Ресурс при 5% заполнении листа А</w:t>
            </w:r>
            <w:r>
              <w:rPr>
                <w:rFonts w:eastAsia="Calibri"/>
                <w:sz w:val="21"/>
                <w:szCs w:val="21"/>
              </w:rPr>
              <w:t xml:space="preserve">4</w:t>
            </w:r>
            <w:r>
              <w:rPr>
                <w:rFonts w:eastAsia="Calibri"/>
                <w:sz w:val="21"/>
                <w:szCs w:val="21"/>
              </w:rPr>
              <w:t xml:space="preserve"> 10000 страниц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11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Наличие чипа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Да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</w:tbl>
    <w:p>
      <w:pPr>
        <w:pBdr/>
        <w:spacing/>
        <w:ind/>
        <w:jc w:val="both"/>
        <w:rPr>
          <w:rFonts w:eastAsia="Calibri"/>
          <w:b/>
          <w:bCs/>
          <w:color w:val="000000"/>
          <w:sz w:val="21"/>
          <w:szCs w:val="21"/>
        </w:rPr>
      </w:pPr>
      <w:r>
        <w:rPr>
          <w:rFonts w:eastAsia="Calibri"/>
          <w:b/>
          <w:bCs/>
          <w:color w:val="000000"/>
          <w:sz w:val="21"/>
          <w:szCs w:val="21"/>
        </w:rPr>
      </w:r>
      <w:r>
        <w:rPr>
          <w:rFonts w:eastAsia="Calibri"/>
          <w:b/>
          <w:bCs/>
          <w:color w:val="000000"/>
          <w:sz w:val="21"/>
          <w:szCs w:val="21"/>
        </w:rPr>
      </w:r>
      <w:r>
        <w:rPr>
          <w:rFonts w:eastAsia="Calibri"/>
          <w:b/>
          <w:bCs/>
          <w:color w:val="000000"/>
          <w:sz w:val="21"/>
          <w:szCs w:val="21"/>
        </w:rPr>
      </w:r>
    </w:p>
    <w:p>
      <w:pPr>
        <w:keepNext w:val="true"/>
        <w:pBdr/>
        <w:spacing w:line="240" w:lineRule="exact"/>
        <w:ind w:hanging="216" w:left="216"/>
        <w:jc w:val="both"/>
        <w:outlineLvl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Безопасность Товара должна соответствовать требованиям технических регламентов, действующих на территории Российской Федерации.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keepNext w:val="true"/>
        <w:pBdr/>
        <w:spacing w:line="240" w:lineRule="exact"/>
        <w:ind w:hanging="216" w:left="216"/>
        <w:jc w:val="both"/>
        <w:outlineLvl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Товар должен быть изготовлен в соответствии </w:t>
      </w:r>
      <w:r>
        <w:rPr>
          <w:color w:val="000000"/>
          <w:sz w:val="21"/>
          <w:szCs w:val="21"/>
        </w:rPr>
        <w:t xml:space="preserve">с</w:t>
      </w:r>
      <w:r>
        <w:rPr>
          <w:color w:val="000000"/>
          <w:sz w:val="21"/>
          <w:szCs w:val="21"/>
        </w:rPr>
        <w:t xml:space="preserve">:</w:t>
      </w:r>
      <w:r>
        <w:rPr>
          <w:color w:val="000000"/>
          <w:sz w:val="21"/>
          <w:szCs w:val="21"/>
        </w:rPr>
      </w:r>
      <w:r>
        <w:rPr>
          <w:color w:val="000000"/>
          <w:sz w:val="21"/>
          <w:szCs w:val="21"/>
        </w:rPr>
      </w:r>
    </w:p>
    <w:p>
      <w:pPr>
        <w:widowControl w:val="false"/>
        <w:pBdr/>
        <w:spacing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ГОСТ </w:t>
      </w:r>
      <w:r>
        <w:rPr>
          <w:sz w:val="21"/>
          <w:szCs w:val="21"/>
        </w:rPr>
        <w:t xml:space="preserve">Р</w:t>
      </w:r>
      <w:r>
        <w:rPr>
          <w:sz w:val="21"/>
          <w:szCs w:val="21"/>
        </w:rPr>
        <w:t xml:space="preserve"> 56691-2015 «Безопасность потребительских товаров. Руководящие указания для поставщиков и распространителей продукции» (утвержден и введен в действие Приказом Федерального агентства по техническому регулированию и метрологии от 9 ноября 2015 г. № 1738-ст);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ГОСТ 13.2.014-2001 «Репрография. </w:t>
      </w:r>
      <w:r>
        <w:rPr>
          <w:sz w:val="21"/>
          <w:szCs w:val="21"/>
        </w:rPr>
        <w:t xml:space="preserve">Копирография</w:t>
      </w:r>
      <w:r>
        <w:rPr>
          <w:sz w:val="21"/>
          <w:szCs w:val="21"/>
        </w:rPr>
        <w:t xml:space="preserve">. Метод испытания сухих тонеров для электрофотографических аппаратов по качеству воспроизведения изображения на копиях»;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ГОСТ 13.2.015-2001 «Репрография. </w:t>
      </w:r>
      <w:r>
        <w:rPr>
          <w:sz w:val="21"/>
          <w:szCs w:val="21"/>
        </w:rPr>
        <w:t xml:space="preserve">Копирография</w:t>
      </w:r>
      <w:r>
        <w:rPr>
          <w:sz w:val="21"/>
          <w:szCs w:val="21"/>
        </w:rPr>
        <w:t xml:space="preserve">. Метод определения расхода тонера при проявлении в электрофотографических аппаратах»;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- ГОСТ ИСО 14123-1-2000 «Безопасность оборудования. Снижение риска для здоровья от</w:t>
      </w:r>
      <w:r>
        <w:rPr>
          <w:sz w:val="21"/>
          <w:szCs w:val="21"/>
        </w:rPr>
        <w:t xml:space="preserve"> опасных веществ, выделяемых оборудованием. Часть 1. Основные положения и технические требования» (введен в действие с 01.07.2003 г Постановлением Государственного комитета Российской Федерации по стандартизации и метрологии от 29 апреля 2002 г. № 178-ст).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pacing/>
        <w:ind/>
        <w:jc w:val="center"/>
        <w:rPr>
          <w:rFonts w:eastAsia="Calibri"/>
          <w:b/>
          <w:bCs/>
          <w:sz w:val="21"/>
          <w:szCs w:val="21"/>
        </w:rPr>
      </w:pPr>
      <w:r>
        <w:rPr>
          <w:rFonts w:eastAsia="Calibri"/>
          <w:b/>
          <w:bCs/>
          <w:sz w:val="21"/>
          <w:szCs w:val="21"/>
        </w:rPr>
        <w:t xml:space="preserve">Порядок контроля и приемки поставленного товара</w:t>
      </w:r>
      <w:r>
        <w:rPr>
          <w:rFonts w:eastAsia="Calibri"/>
          <w:b/>
          <w:bCs/>
          <w:sz w:val="21"/>
          <w:szCs w:val="21"/>
        </w:rPr>
      </w:r>
      <w:r>
        <w:rPr>
          <w:rFonts w:eastAsia="Calibri"/>
          <w:b/>
          <w:bCs/>
          <w:sz w:val="21"/>
          <w:szCs w:val="21"/>
        </w:rPr>
      </w:r>
    </w:p>
    <w:p>
      <w:pPr>
        <w:pBdr/>
        <w:spacing/>
        <w:ind/>
        <w:jc w:val="both"/>
        <w:rPr>
          <w:rFonts w:eastAsia="Calibri"/>
          <w:bCs/>
          <w:sz w:val="21"/>
          <w:szCs w:val="21"/>
        </w:rPr>
      </w:pPr>
      <w:r>
        <w:rPr>
          <w:rFonts w:eastAsia="Calibri"/>
          <w:bCs/>
          <w:sz w:val="21"/>
          <w:szCs w:val="21"/>
        </w:rPr>
        <w:t xml:space="preserve">Приемка Товара производится в соответствии с контрактом. Поставщик должен передать Заказчику:</w:t>
      </w:r>
      <w:r>
        <w:rPr>
          <w:rFonts w:eastAsia="Calibri"/>
          <w:bCs/>
          <w:sz w:val="21"/>
          <w:szCs w:val="21"/>
        </w:rPr>
      </w:r>
      <w:r>
        <w:rPr>
          <w:rFonts w:eastAsia="Calibri"/>
          <w:bCs/>
          <w:sz w:val="21"/>
          <w:szCs w:val="21"/>
        </w:rPr>
      </w:r>
    </w:p>
    <w:p>
      <w:pPr>
        <w:pBdr/>
        <w:spacing/>
        <w:ind w:left="568"/>
        <w:contextualSpacing w:val="true"/>
        <w:jc w:val="both"/>
        <w:rPr>
          <w:rFonts w:eastAsia="Calibri"/>
          <w:bCs/>
          <w:sz w:val="21"/>
          <w:szCs w:val="21"/>
        </w:rPr>
      </w:pPr>
      <w:r>
        <w:rPr>
          <w:rFonts w:eastAsia="Calibri"/>
          <w:bCs/>
          <w:sz w:val="21"/>
          <w:szCs w:val="21"/>
        </w:rPr>
        <w:t xml:space="preserve"> Счет; счет-фактуру (при наличии), товарную накладную или универсальный передаточный документ</w:t>
      </w:r>
      <w:r>
        <w:rPr>
          <w:rFonts w:eastAsia="Calibri"/>
          <w:bCs/>
          <w:sz w:val="21"/>
          <w:szCs w:val="21"/>
        </w:rPr>
      </w:r>
      <w:r>
        <w:rPr>
          <w:rFonts w:eastAsia="Calibri"/>
          <w:bCs/>
          <w:sz w:val="21"/>
          <w:szCs w:val="21"/>
        </w:rPr>
      </w:r>
    </w:p>
    <w:p>
      <w:pPr>
        <w:pBdr/>
        <w:spacing/>
        <w:ind/>
        <w:contextualSpacing w:val="true"/>
        <w:jc w:val="both"/>
        <w:rPr>
          <w:rFonts w:eastAsia="Calibri"/>
          <w:bCs/>
          <w:sz w:val="21"/>
          <w:szCs w:val="21"/>
        </w:rPr>
      </w:pPr>
      <w:r>
        <w:rPr>
          <w:rFonts w:eastAsia="Calibri"/>
          <w:bCs/>
          <w:sz w:val="21"/>
          <w:szCs w:val="21"/>
        </w:rPr>
        <w:t xml:space="preserve">(далее - УПД), </w:t>
      </w:r>
      <w:r>
        <w:rPr>
          <w:rFonts w:eastAsia="Calibri"/>
          <w:bCs/>
          <w:sz w:val="21"/>
          <w:szCs w:val="21"/>
        </w:rPr>
        <w:t xml:space="preserve">составленный</w:t>
      </w:r>
      <w:r>
        <w:rPr>
          <w:rFonts w:eastAsia="Calibri"/>
          <w:bCs/>
          <w:sz w:val="21"/>
          <w:szCs w:val="21"/>
        </w:rPr>
        <w:t xml:space="preserve"> по форме в соответствии с законодательством Российской Федерации.</w:t>
      </w:r>
      <w:r>
        <w:rPr>
          <w:rFonts w:eastAsia="Calibri"/>
          <w:bCs/>
          <w:sz w:val="21"/>
          <w:szCs w:val="21"/>
        </w:rPr>
      </w:r>
      <w:r>
        <w:rPr>
          <w:rFonts w:eastAsia="Calibri"/>
          <w:bCs/>
          <w:sz w:val="21"/>
          <w:szCs w:val="21"/>
        </w:rPr>
      </w:r>
    </w:p>
    <w:p>
      <w:pPr>
        <w:pBdr/>
        <w:spacing/>
        <w:ind/>
        <w:jc w:val="both"/>
        <w:rPr>
          <w:rFonts w:eastAsia="Calibri"/>
          <w:b/>
          <w:sz w:val="21"/>
          <w:szCs w:val="21"/>
        </w:rPr>
      </w:pPr>
      <w:r>
        <w:rPr>
          <w:rFonts w:eastAsia="Calibri"/>
          <w:bCs/>
          <w:sz w:val="21"/>
          <w:szCs w:val="21"/>
        </w:rPr>
        <w:t xml:space="preserve">На всех документах, перечисленных, обязательно должны быть указаны наименование Заказчика, Поставщика, номер и дата Контракта, даты оформления и подписания документов</w:t>
      </w:r>
      <w:r>
        <w:rPr>
          <w:rFonts w:eastAsia="Calibri"/>
          <w:b/>
          <w:sz w:val="21"/>
          <w:szCs w:val="21"/>
        </w:rPr>
      </w:r>
      <w:r>
        <w:rPr>
          <w:rFonts w:eastAsia="Calibri"/>
          <w:b/>
          <w:sz w:val="21"/>
          <w:szCs w:val="21"/>
        </w:rPr>
      </w:r>
    </w:p>
    <w:p>
      <w:pPr>
        <w:pBdr/>
        <w:spacing/>
        <w:ind/>
        <w:jc w:val="both"/>
        <w:rPr>
          <w:rFonts w:eastAsia="Calibri"/>
          <w:b/>
          <w:sz w:val="21"/>
          <w:szCs w:val="21"/>
        </w:rPr>
      </w:pPr>
      <w:r>
        <w:rPr>
          <w:rFonts w:eastAsia="Calibri"/>
          <w:b/>
          <w:sz w:val="21"/>
          <w:szCs w:val="21"/>
        </w:rPr>
      </w:r>
      <w:r>
        <w:rPr>
          <w:rFonts w:eastAsia="Calibri"/>
          <w:b/>
          <w:sz w:val="21"/>
          <w:szCs w:val="21"/>
        </w:rPr>
      </w:r>
      <w:r>
        <w:rPr>
          <w:rFonts w:eastAsia="Calibri"/>
          <w:b/>
          <w:sz w:val="21"/>
          <w:szCs w:val="21"/>
        </w:rPr>
      </w:r>
    </w:p>
    <w:p>
      <w:pPr>
        <w:pBdr/>
        <w:spacing/>
        <w:ind w:left="-142"/>
        <w:jc w:val="both"/>
        <w:rPr>
          <w:rFonts w:eastAsia="Calibri"/>
          <w:b/>
          <w:sz w:val="21"/>
          <w:szCs w:val="21"/>
        </w:rPr>
      </w:pPr>
      <w:r>
        <w:rPr>
          <w:rFonts w:eastAsia="Calibri"/>
          <w:b/>
          <w:sz w:val="21"/>
          <w:szCs w:val="21"/>
        </w:rPr>
        <w:t xml:space="preserve">  Примечание: </w:t>
      </w:r>
      <w:r>
        <w:rPr>
          <w:rFonts w:eastAsia="Calibri"/>
          <w:b/>
          <w:sz w:val="21"/>
          <w:szCs w:val="21"/>
        </w:rPr>
      </w:r>
      <w:r>
        <w:rPr>
          <w:rFonts w:eastAsia="Calibri"/>
          <w:b/>
          <w:sz w:val="21"/>
          <w:szCs w:val="21"/>
        </w:rPr>
      </w:r>
    </w:p>
    <w:p>
      <w:pPr>
        <w:pBdr/>
        <w:spacing/>
        <w:ind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Во всех случаях, когда в Технической части или в приложениях к ней (при наличии) имеются ссылки на конкретные стандарт</w:t>
      </w:r>
      <w:r>
        <w:rPr>
          <w:rFonts w:eastAsia="Calibri"/>
          <w:sz w:val="21"/>
          <w:szCs w:val="21"/>
        </w:rPr>
        <w:t xml:space="preserve">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rFonts w:eastAsia="Calibri"/>
          <w:sz w:val="21"/>
          <w:szCs w:val="21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>
        <w:rPr>
          <w:rFonts w:eastAsia="Calibri"/>
          <w:sz w:val="21"/>
          <w:szCs w:val="21"/>
        </w:rPr>
      </w:r>
      <w:r>
        <w:rPr>
          <w:rFonts w:eastAsia="Calibri"/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1002"/>
        <w:pBdr/>
        <w:spacing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Style w:val="1002"/>
        <w:pBdr/>
        <w:spacing/>
        <w:ind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  <w:r>
        <w:rPr>
          <w:rFonts w:ascii="Times New Roman" w:hAnsi="Times New Roman"/>
          <w:sz w:val="21"/>
          <w:szCs w:val="21"/>
        </w:rPr>
      </w:r>
    </w:p>
    <w:p>
      <w:pPr>
        <w:pBdr/>
        <w:spacing/>
        <w:ind/>
        <w:rPr>
          <w:vanish/>
          <w:sz w:val="21"/>
          <w:szCs w:val="21"/>
        </w:rPr>
      </w:pPr>
      <w:r>
        <w:rPr>
          <w:vanish/>
          <w:sz w:val="21"/>
          <w:szCs w:val="21"/>
        </w:rPr>
      </w:r>
      <w:r>
        <w:rPr>
          <w:vanish/>
          <w:sz w:val="21"/>
          <w:szCs w:val="21"/>
        </w:rPr>
      </w:r>
      <w:r>
        <w:rPr>
          <w:vanish/>
          <w:sz w:val="21"/>
          <w:szCs w:val="21"/>
        </w:rPr>
      </w:r>
    </w:p>
    <w:tbl>
      <w:tblPr>
        <w:tblW w:w="5089" w:type="pct"/>
        <w:tblBorders/>
        <w:tblpPr w:horzAnchor="margin" w:tblpXSpec="left" w:vertAnchor="text" w:tblpY="55" w:leftFromText="180" w:topFromText="0" w:rightFromText="180" w:bottomFromText="0"/>
        <w:tblLook w:val="01E0" w:firstRow="1" w:lastRow="1" w:firstColumn="1" w:lastColumn="1" w:noHBand="0" w:noVBand="0"/>
      </w:tblPr>
      <w:tblGrid>
        <w:gridCol w:w="5212"/>
        <w:gridCol w:w="5394"/>
      </w:tblGrid>
      <w:tr>
        <w:trPr>
          <w:trHeight w:val="1612"/>
        </w:trPr>
        <w:tc>
          <w:tcPr>
            <w:tcBorders/>
            <w:tcW w:w="2457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Заказчик: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-993"/>
              </w:tabs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______________/ __________________/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Подпись, печать  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2543" w:type="pct"/>
            <w:textDirection w:val="lrTb"/>
            <w:noWrap w:val="false"/>
          </w:tcPr>
          <w:p>
            <w:pPr>
              <w:pBdr/>
              <w:spacing/>
              <w:ind w:hanging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 w:hanging="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Поставщик: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 w:hanging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-993"/>
              </w:tabs>
              <w:spacing/>
              <w:ind/>
              <w:contextualSpacing w:val="tr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______________/ __________________/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 w:hanging="108"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Подпись, печать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</w:tbl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  <w:r>
        <w:rPr>
          <w:sz w:val="21"/>
          <w:szCs w:val="21"/>
          <w:lang w:val="en-US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Приложение № 3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к Контракту от "      "            2025г. №__________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ОТГРУЗОЧНАЯ РАЗНАРЯДКА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(ПЛАН РАСПРЕДЕЛЕНИЯ)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jc w:val="center"/>
        <w:tblInd w:w="-432" w:type="dxa"/>
        <w:tblW w:w="0" w:type="auto"/>
        <w:tblCellMar>
          <w:left w:w="67" w:type="dxa"/>
          <w:top w:w="102" w:type="dxa"/>
          <w:right w:w="62" w:type="dxa"/>
          <w:bottom w:w="102" w:type="dxa"/>
        </w:tblCellMar>
        <w:tblBorders/>
        <w:tblLook w:val="04A0" w:firstRow="1" w:lastRow="0" w:firstColumn="1" w:lastColumn="0" w:noHBand="0" w:noVBand="1"/>
      </w:tblPr>
      <w:tblGrid>
        <w:gridCol w:w="635"/>
        <w:gridCol w:w="4146"/>
        <w:gridCol w:w="1071"/>
        <w:gridCol w:w="833"/>
        <w:gridCol w:w="1180"/>
        <w:gridCol w:w="2628"/>
      </w:tblGrid>
      <w:tr>
        <w:trPr>
          <w:jc w:val="center"/>
          <w:trHeight w:val="227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35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№ </w:t>
            </w:r>
            <w:r>
              <w:rPr>
                <w:sz w:val="21"/>
                <w:szCs w:val="21"/>
              </w:rPr>
              <w:t xml:space="preserve">п</w:t>
            </w:r>
            <w:r>
              <w:rPr>
                <w:sz w:val="21"/>
                <w:szCs w:val="21"/>
              </w:rPr>
              <w:t xml:space="preserve">/</w:t>
            </w:r>
            <w:r>
              <w:rPr>
                <w:sz w:val="21"/>
                <w:szCs w:val="21"/>
              </w:rPr>
              <w:t xml:space="preserve">п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4146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Наименование Товара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068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Единица измерения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33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Кол-во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72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Получатель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628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Место  доставки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center"/>
          <w:trHeight w:val="2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35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шт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72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ДВГМУ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628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Склад ДВГМУ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г. Хабаровск, ул. Муравьева-Амурского, 35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center"/>
          <w:trHeight w:val="2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35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шт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72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ДВГМУ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628" w:type="dxa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Склад ДВГМУ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г. Хабаровск, ул. Муравьева-Амурского, 35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center"/>
          <w:trHeight w:val="2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35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4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шт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72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ДВГМУ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628" w:type="dxa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Склад ДВГМУ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1"/>
                <w:szCs w:val="21"/>
              </w:rPr>
              <w:t xml:space="preserve">г. Хабаровск, ул. Муравьева-Амурского, 35</w:t>
            </w:r>
            <w:r/>
          </w:p>
        </w:tc>
      </w:tr>
      <w:tr>
        <w:trPr>
          <w:jc w:val="center"/>
          <w:trHeight w:val="2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35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4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шт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72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ДВГМУ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628" w:type="dxa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Склад ДВГМУ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г. Хабаровск, ул. Муравьева-Амурского, 35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>
          <w:jc w:val="center"/>
          <w:trHeight w:val="20"/>
        </w:trPr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35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шт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72" w:type="dxa"/>
            <w:vAlign w:val="center"/>
            <w:textDirection w:val="lrTb"/>
            <w:noWrap w:val="false"/>
          </w:tcPr>
          <w:p>
            <w:pPr>
              <w:pStyle w:val="1023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ДВГМУ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628" w:type="dxa"/>
            <w:textDirection w:val="lrTb"/>
            <w:noWrap w:val="false"/>
          </w:tcPr>
          <w:p>
            <w:pPr>
              <w:pStyle w:val="1023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Склад ДВГМУ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rPr/>
            </w:pPr>
            <w:r>
              <w:rPr>
                <w:sz w:val="21"/>
                <w:szCs w:val="21"/>
              </w:rPr>
              <w:t xml:space="preserve">г. Хабаровск, ул. Муравьева-Амурского, 35</w:t>
            </w:r>
            <w:r/>
          </w:p>
        </w:tc>
      </w:tr>
    </w:tbl>
    <w:p>
      <w:pPr>
        <w:pBdr/>
        <w:spacing/>
        <w:ind/>
        <w:rPr>
          <w:vanish/>
        </w:rPr>
      </w:pPr>
      <w:r>
        <w:rPr>
          <w:vanish/>
        </w:rPr>
      </w:r>
      <w:r>
        <w:rPr>
          <w:vanish/>
        </w:rPr>
      </w:r>
      <w:r>
        <w:rPr>
          <w:vanish/>
        </w:rPr>
      </w:r>
    </w:p>
    <w:tbl>
      <w:tblPr>
        <w:tblW w:w="5158" w:type="pct"/>
        <w:tblBorders/>
        <w:tblpPr w:horzAnchor="margin" w:tblpXSpec="left" w:vertAnchor="text" w:tblpY="55" w:leftFromText="180" w:topFromText="0" w:rightFromText="180" w:bottomFromText="0"/>
        <w:tblLook w:val="01E0" w:firstRow="1" w:lastRow="1" w:firstColumn="1" w:lastColumn="1" w:noHBand="0" w:noVBand="0"/>
      </w:tblPr>
      <w:tblGrid>
        <w:gridCol w:w="5356"/>
        <w:gridCol w:w="5394"/>
      </w:tblGrid>
      <w:tr>
        <w:trPr>
          <w:trHeight w:val="1612"/>
        </w:trPr>
        <w:tc>
          <w:tcPr>
            <w:tcBorders/>
            <w:tcW w:w="249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Заказчик:  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-993"/>
              </w:tabs>
              <w:spacing/>
              <w:ind/>
              <w:contextualSpacing w:val="true"/>
              <w:rPr/>
            </w:pPr>
            <w:r>
              <w:t xml:space="preserve">______________/ __________________/</w:t>
            </w:r>
            <w:r/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Подпись, печать  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2509" w:type="pct"/>
            <w:textDirection w:val="lrTb"/>
            <w:noWrap w:val="false"/>
          </w:tcPr>
          <w:p>
            <w:pPr>
              <w:pBdr/>
              <w:spacing/>
              <w:ind w:hanging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 w:hanging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 w:hanging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 w:hanging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 w:hanging="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Поставщик: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 w:hanging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-993"/>
              </w:tabs>
              <w:spacing/>
              <w:ind/>
              <w:contextualSpacing w:val="true"/>
              <w:rPr/>
            </w:pPr>
            <w:r>
              <w:t xml:space="preserve">______________/ __________________/</w:t>
            </w:r>
            <w:r/>
          </w:p>
          <w:p>
            <w:pPr>
              <w:pBdr/>
              <w:spacing/>
              <w:ind w:hanging="108"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Подпись, печать</w:t>
            </w:r>
            <w:r>
              <w:rPr>
                <w:rFonts w:eastAsia="Calibri"/>
                <w:sz w:val="21"/>
                <w:szCs w:val="21"/>
              </w:rPr>
            </w:r>
            <w:r>
              <w:rPr>
                <w:rFonts w:eastAsia="Calibri"/>
                <w:sz w:val="21"/>
                <w:szCs w:val="21"/>
              </w:rPr>
            </w:r>
          </w:p>
        </w:tc>
      </w:tr>
    </w:tbl>
    <w:p>
      <w:pPr>
        <w:pBdr/>
        <w:spacing/>
        <w:ind/>
        <w:rPr>
          <w:sz w:val="21"/>
          <w:szCs w:val="21"/>
        </w:rPr>
        <w:sectPr>
          <w:footnotePr/>
          <w:endnotePr/>
          <w:type w:val="nextPage"/>
          <w:pgSz w:h="16838" w:orient="portrait" w:w="11906"/>
          <w:pgMar w:top="567" w:right="567" w:bottom="510" w:left="1134" w:header="567" w:footer="567" w:gutter="0"/>
          <w:cols w:num="1" w:sep="0" w:space="720" w:equalWidth="1"/>
        </w:sect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Приложение № 4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 к Контракту от "      "            2025г. № _____________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СВОДНЫЙ РЕЕСТР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ТОВАРНЫХ НАКЛАДНЫХ НА ПОСТАВКУ ТОВАР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от "__" ________ 20__ г. № 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(предоставляется при необходимости)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 Контракту от "__" ______ 20__ г. № 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Поставщик ИНН/КПП ______________________________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Сводный счет от "__" __________ 20__ г. № 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Ind w:w="54" w:type="dxa"/>
        <w:tblW w:w="0" w:type="auto"/>
        <w:tblCellMar>
          <w:left w:w="67" w:type="dxa"/>
          <w:top w:w="102" w:type="dxa"/>
          <w:right w:w="62" w:type="dxa"/>
          <w:bottom w:w="102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737"/>
        <w:gridCol w:w="1191"/>
        <w:gridCol w:w="1701"/>
        <w:gridCol w:w="624"/>
        <w:gridCol w:w="855"/>
        <w:gridCol w:w="1134"/>
        <w:gridCol w:w="1134"/>
        <w:gridCol w:w="1701"/>
      </w:tblGrid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№ </w:t>
            </w:r>
            <w:r>
              <w:rPr>
                <w:sz w:val="21"/>
                <w:szCs w:val="21"/>
              </w:rPr>
              <w:t xml:space="preserve">п</w:t>
            </w:r>
            <w:r>
              <w:rPr>
                <w:sz w:val="21"/>
                <w:szCs w:val="21"/>
              </w:rPr>
              <w:t xml:space="preserve">/</w:t>
            </w:r>
            <w:r>
              <w:rPr>
                <w:sz w:val="21"/>
                <w:szCs w:val="21"/>
              </w:rPr>
              <w:t xml:space="preserve">п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3629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Получатель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479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Накладная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Количество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Цена за ед., руб.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Стоимость, руб.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3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ИНН/ КПП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9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/>
            <w:hyperlink r:id="rId14" w:tooltip="consultantplus://offline/ref=E905B4E6CBBADE0EE52117383EC529A589BC0A56EF66F201042ABE1112J6z3D" w:history="1">
              <w:r>
                <w:rPr>
                  <w:sz w:val="21"/>
                  <w:szCs w:val="21"/>
                </w:rPr>
                <w:t xml:space="preserve">ОКАТО</w:t>
              </w:r>
            </w:hyperlink>
            <w:r>
              <w:rPr>
                <w:sz w:val="21"/>
                <w:szCs w:val="21"/>
              </w:rPr>
              <w:t xml:space="preserve"> </w:t>
            </w:r>
            <w:hyperlink r:id="rId15" w:tooltip="consultantplus://offline/ref=E905B4E6CBBADE0EE52117383EC529A58ABA015CEB6EF201042ABE1112J6z3D" w:history="1">
              <w:r>
                <w:rPr>
                  <w:sz w:val="21"/>
                  <w:szCs w:val="21"/>
                </w:rPr>
                <w:t xml:space="preserve">(ОКТМО)</w:t>
              </w:r>
            </w:hyperlink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Наименование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2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Дата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Номер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3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9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2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7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8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3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9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2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73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9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62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85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67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ИТОГО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13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От Поставщика               _______________________________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Подпись, расшифровка подписи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М.П. (при наличии)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W w:w="5000" w:type="pct"/>
        <w:tblBorders/>
        <w:tblpPr w:horzAnchor="margin" w:tblpXSpec="right" w:vertAnchor="text" w:tblpY="310" w:leftFromText="180" w:topFromText="0" w:rightFromText="180" w:bottomFromText="0"/>
        <w:tblLook w:val="01E0" w:firstRow="1" w:lastRow="1" w:firstColumn="1" w:lastColumn="1" w:noHBand="0" w:noVBand="0"/>
      </w:tblPr>
      <w:tblGrid>
        <w:gridCol w:w="5096"/>
        <w:gridCol w:w="5468"/>
      </w:tblGrid>
      <w:tr>
        <w:trPr>
          <w:trHeight w:val="1612"/>
        </w:trPr>
        <w:tc>
          <w:tcPr>
            <w:tcBorders/>
            <w:tcW w:w="2412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Заказчик: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-993"/>
              </w:tabs>
              <w:spacing/>
              <w:ind/>
              <w:contextualSpacing w:val="true"/>
              <w:rPr/>
            </w:pPr>
            <w:r>
              <w:t xml:space="preserve">______________/ __________________/</w:t>
            </w:r>
            <w:r/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Подпись, печать 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2588" w:type="pct"/>
            <w:textDirection w:val="lrTb"/>
            <w:noWrap w:val="false"/>
          </w:tcPr>
          <w:p>
            <w:pPr>
              <w:pBdr/>
              <w:spacing/>
              <w:ind w:hanging="108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Поставщик: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 w:hanging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-993"/>
              </w:tabs>
              <w:spacing/>
              <w:ind/>
              <w:contextualSpacing w:val="true"/>
              <w:rPr/>
            </w:pPr>
            <w:r>
              <w:t xml:space="preserve">______________/ __________________/</w:t>
            </w:r>
            <w:r/>
          </w:p>
          <w:p>
            <w:pPr>
              <w:pBdr/>
              <w:spacing/>
              <w:ind w:hanging="10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Подпись, печать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 w:left="284"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Приложение № 5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к Контракту от "      "            2025г. № ____________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АКТ СВЕРКИ РАСЧЕТОВ         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rPr>
          <w:sz w:val="21"/>
          <w:szCs w:val="21"/>
        </w:rPr>
      </w:pPr>
      <w:r>
        <w:rPr>
          <w:sz w:val="21"/>
          <w:szCs w:val="21"/>
        </w:rPr>
        <w:t xml:space="preserve"> ____________________________________________________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и __________________________________________________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(Контракт от "__" ____________ 20__ г. № ____)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Сальдо на ___________ ____________                 Раздел _____________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(дата)         (сумма)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Ind w:w="62" w:type="dxa"/>
        <w:tblW w:w="0" w:type="auto"/>
        <w:tblCellMar>
          <w:left w:w="67" w:type="dxa"/>
          <w:top w:w="102" w:type="dxa"/>
          <w:right w:w="62" w:type="dxa"/>
          <w:bottom w:w="102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860"/>
        <w:gridCol w:w="2532"/>
        <w:gridCol w:w="2410"/>
        <w:gridCol w:w="1842"/>
      </w:tblGrid>
      <w:tr>
        <w:trPr/>
        <w:tc>
          <w:tcPr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539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Наименование Заказчика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425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Наименование Поставщика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6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№ платежных поручений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53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Сумма, руб.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41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№ акта, дата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4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Сумма, руб.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6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53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41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4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86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Итого: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53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241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84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Сальдо </w:t>
      </w:r>
      <w:r>
        <w:rPr>
          <w:sz w:val="21"/>
          <w:szCs w:val="21"/>
        </w:rPr>
        <w:t xml:space="preserve">на</w:t>
      </w:r>
      <w:r>
        <w:rPr>
          <w:sz w:val="21"/>
          <w:szCs w:val="21"/>
        </w:rPr>
        <w:t xml:space="preserve"> ___________ ____________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(дата)           (сумма)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В пользу ________________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tabs>
          <w:tab w:val="left" w:leader="none" w:pos="4111"/>
        </w:tabs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Заказчик                                                                            Поставщик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___________ ________________________                ____________ _______________________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(подпись)      (расшифровка подписи)                          (подпись)      (расшифровка подписи)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Главный бухгалтер                                                         Главный бухгалтер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___________ ________________________                ____________ _______________________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(подпись)      (расшифровка подписи)                        (подпись)      (расшифровка подписи)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W w:w="5000" w:type="pct"/>
        <w:tblBorders/>
        <w:tblpPr w:horzAnchor="margin" w:tblpXSpec="right" w:vertAnchor="text" w:tblpY="310" w:leftFromText="180" w:topFromText="0" w:rightFromText="180" w:bottomFromText="0"/>
        <w:tblLook w:val="01E0" w:firstRow="1" w:lastRow="1" w:firstColumn="1" w:lastColumn="1" w:noHBand="0" w:noVBand="0"/>
      </w:tblPr>
      <w:tblGrid>
        <w:gridCol w:w="5096"/>
        <w:gridCol w:w="5468"/>
      </w:tblGrid>
      <w:tr>
        <w:trPr>
          <w:trHeight w:val="1612"/>
        </w:trPr>
        <w:tc>
          <w:tcPr>
            <w:tcBorders/>
            <w:tcW w:w="2412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Заказчик: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-993"/>
              </w:tabs>
              <w:spacing/>
              <w:ind/>
              <w:contextualSpacing w:val="true"/>
              <w:rPr/>
            </w:pPr>
            <w:r>
              <w:t xml:space="preserve">______________/ __________________/</w:t>
            </w:r>
            <w:r/>
          </w:p>
          <w:p>
            <w:pPr>
              <w:pBdr/>
              <w:spacing/>
              <w:ind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Подпись, печать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tcBorders/>
            <w:tcW w:w="2588" w:type="pct"/>
            <w:textDirection w:val="lrTb"/>
            <w:noWrap w:val="false"/>
          </w:tcPr>
          <w:p>
            <w:pPr>
              <w:pBdr/>
              <w:spacing/>
              <w:ind w:hanging="10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Поставщик:</w:t>
            </w:r>
            <w:r>
              <w:rPr>
                <w:b/>
                <w:sz w:val="21"/>
                <w:szCs w:val="21"/>
              </w:rPr>
            </w:r>
            <w:r>
              <w:rPr>
                <w:b/>
                <w:sz w:val="21"/>
                <w:szCs w:val="21"/>
              </w:rPr>
            </w:r>
          </w:p>
          <w:p>
            <w:pPr>
              <w:pBdr/>
              <w:spacing/>
              <w:ind w:hanging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spacing/>
              <w:ind/>
              <w:contextualSpacing w:val="true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Bdr/>
              <w:tabs>
                <w:tab w:val="left" w:leader="none" w:pos="-993"/>
              </w:tabs>
              <w:spacing/>
              <w:ind/>
              <w:contextualSpacing w:val="true"/>
              <w:rPr/>
            </w:pPr>
            <w:r>
              <w:t xml:space="preserve">______________/ __________________/</w:t>
            </w:r>
            <w:r/>
          </w:p>
          <w:p>
            <w:pPr>
              <w:pBdr/>
              <w:spacing/>
              <w:ind w:hanging="10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Подпись, печать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</w:tbl>
    <w:p>
      <w:pPr>
        <w:widowControl w:val="false"/>
        <w:pBdr/>
        <w:spacing/>
        <w:ind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</w:r>
      <w:r>
        <w:rPr>
          <w:b/>
          <w:sz w:val="21"/>
          <w:szCs w:val="21"/>
        </w:rPr>
      </w:r>
      <w:r>
        <w:rPr>
          <w:b/>
          <w:sz w:val="21"/>
          <w:szCs w:val="21"/>
        </w:rPr>
      </w:r>
    </w:p>
    <w:p>
      <w:pPr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Bdr/>
        <w:spacing/>
        <w:ind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widowControl w:val="false"/>
        <w:pBdr/>
        <w:spacing/>
        <w:ind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</w:r>
      <w:r>
        <w:rPr>
          <w:sz w:val="21"/>
          <w:szCs w:val="21"/>
        </w:rPr>
      </w:r>
    </w:p>
    <w:sectPr>
      <w:footnotePr/>
      <w:endnotePr/>
      <w:type w:val="nextPage"/>
      <w:pgSz w:h="16838" w:orient="portrait" w:w="11906"/>
      <w:pgMar w:top="567" w:right="424" w:bottom="510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ucida Sans Unicode">
    <w:panose1 w:val="020B0502040504020204"/>
  </w:font>
  <w:font w:name="Liberation Serif">
    <w:panose1 w:val="02020603050405020304"/>
  </w:font>
  <w:font w:name="Lohit Hindi">
    <w:panose1 w:val="02020603050405020304"/>
  </w:font>
  <w:font w:name="Mangal">
    <w:panose1 w:val="02040503050306020203"/>
  </w:font>
  <w:font w:name="Courier New">
    <w:panose1 w:val="02070409020205020404"/>
  </w:font>
  <w:font w:name="SimSun">
    <w:panose1 w:val="02000506000000020000"/>
  </w:font>
  <w:font w:name="FreeSans">
    <w:panose1 w:val="02020603050405020304"/>
  </w:font>
  <w:font w:name="Wingdings">
    <w:panose1 w:val="05010000000000000000"/>
  </w:font>
  <w:font w:name="Liberation Sans">
    <w:panose1 w:val="020B0604020202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  <w:font w:name="Noto Sans CJK SC Regular">
    <w:panose1 w:val="020B0502040504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lvl w:ilvl="0">
      <w:isLgl w:val="false"/>
      <w:lvlJc w:val="left"/>
      <w:lvlText w:val="%1."/>
      <w:numFmt w:val="decimal"/>
      <w:pPr>
        <w:pBdr/>
        <w:tabs>
          <w:tab w:val="num" w:leader="none" w:pos="1492"/>
        </w:tabs>
        <w:spacing/>
        <w:ind w:hanging="360" w:left="1492"/>
      </w:pPr>
      <w:rPr>
        <w:rFonts w:cs="Times New Roman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FFFFFF7D"/>
    <w:lvl w:ilvl="0">
      <w:isLgl w:val="false"/>
      <w:lvlJc w:val="left"/>
      <w:lvlText w:val="%1."/>
      <w:numFmt w:val="decimal"/>
      <w:pPr>
        <w:pBdr/>
        <w:tabs>
          <w:tab w:val="num" w:leader="none" w:pos="1209"/>
        </w:tabs>
        <w:spacing/>
        <w:ind w:hanging="360" w:left="1209"/>
      </w:pPr>
      <w:rPr>
        <w:rFonts w:cs="Times New Roman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FFFFFF7E"/>
    <w:lvl w:ilvl="0">
      <w:isLgl w:val="false"/>
      <w:lvlJc w:val="left"/>
      <w:lvlText w:val="%1."/>
      <w:numFmt w:val="decimal"/>
      <w:pPr>
        <w:pBdr/>
        <w:tabs>
          <w:tab w:val="num" w:leader="none" w:pos="926"/>
        </w:tabs>
        <w:spacing/>
        <w:ind w:hanging="360" w:left="926"/>
      </w:pPr>
      <w:rPr>
        <w:rFonts w:cs="Times New Roman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FFFFFF7F"/>
    <w:lvl w:ilvl="0">
      <w:isLgl w:val="false"/>
      <w:lvlJc w:val="left"/>
      <w:lvlText w:val="%1."/>
      <w:numFmt w:val="decimal"/>
      <w:pPr>
        <w:pBdr/>
        <w:tabs>
          <w:tab w:val="num" w:leader="none" w:pos="643"/>
        </w:tabs>
        <w:spacing/>
        <w:ind w:hanging="360" w:left="643"/>
      </w:pPr>
      <w:rPr>
        <w:rFonts w:cs="Times New Roman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FFFFFF80"/>
    <w:lvl w:ilvl="0">
      <w:isLgl w:val="false"/>
      <w:lvlJc w:val="left"/>
      <w:lvlText w:val=""/>
      <w:numFmt w:val="bullet"/>
      <w:pPr>
        <w:pBdr/>
        <w:tabs>
          <w:tab w:val="num" w:leader="none" w:pos="1492"/>
        </w:tabs>
        <w:spacing/>
        <w:ind w:hanging="360" w:left="1492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FFFFFF81"/>
    <w:lvl w:ilvl="0">
      <w:isLgl w:val="false"/>
      <w:lvlJc w:val="left"/>
      <w:lvlText w:val=""/>
      <w:numFmt w:val="bullet"/>
      <w:pPr>
        <w:pBdr/>
        <w:tabs>
          <w:tab w:val="num" w:leader="none" w:pos="1209"/>
        </w:tabs>
        <w:spacing/>
        <w:ind w:hanging="360" w:left="1209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">
    <w:nsid w:val="FFFFFF82"/>
    <w:lvl w:ilvl="0">
      <w:isLgl w:val="false"/>
      <w:lvlJc w:val="left"/>
      <w:lvlText w:val=""/>
      <w:numFmt w:val="bullet"/>
      <w:pPr>
        <w:pBdr/>
        <w:tabs>
          <w:tab w:val="num" w:leader="none" w:pos="926"/>
        </w:tabs>
        <w:spacing/>
        <w:ind w:hanging="360" w:left="926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7">
    <w:nsid w:val="FFFFFF83"/>
    <w:lvl w:ilvl="0">
      <w:isLgl w:val="false"/>
      <w:lvlJc w:val="left"/>
      <w:lvlText w:val=""/>
      <w:numFmt w:val="bullet"/>
      <w:pPr>
        <w:pBdr/>
        <w:tabs>
          <w:tab w:val="num" w:leader="none" w:pos="643"/>
        </w:tabs>
        <w:spacing/>
        <w:ind w:hanging="360" w:left="643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8">
    <w:nsid w:val="FFFFFF88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1047"/>
      <w:rPr>
        <w:rFonts w:cs="Times New Roman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9">
    <w:nsid w:val="FFFFFF89"/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1037"/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0">
    <w:nsid w:val="047660D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0B19695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12">
    <w:nsid w:val="0E1C000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113E287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119C4367"/>
    <w:lvl w:ilvl="0">
      <w:isLgl w:val="false"/>
      <w:lvlJc w:val="left"/>
      <w:lvlText w:val=""/>
      <w:numFmt w:val="bullet"/>
      <w:pPr>
        <w:pBdr/>
        <w:spacing/>
        <w:ind w:hanging="360" w:left="644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64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84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04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24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44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64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84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04"/>
      </w:pPr>
      <w:rPr>
        <w:rFonts w:ascii="Wingdings" w:hAnsi="Wingdings"/>
      </w:rPr>
      <w:start w:val="1"/>
      <w:suff w:val="tab"/>
    </w:lvl>
  </w:abstractNum>
  <w:abstractNum w:abstractNumId="15">
    <w:nsid w:val="11D677F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192F61B6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7">
    <w:nsid w:val="1B7B71D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nsid w:val="21685E0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nsid w:val="21FC08A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nsid w:val="22280315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1">
    <w:nsid w:val="226416AB"/>
    <w:lvl w:ilvl="0">
      <w:isLgl w:val="false"/>
      <w:lvlJc w:val="left"/>
      <w:lvlText w:val="%1."/>
      <w:numFmt w:val="decimal"/>
      <w:pPr>
        <w:pBdr/>
        <w:spacing/>
        <w:ind w:hanging="360" w:left="19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2">
    <w:nsid w:val="26467F97"/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27826371"/>
    <w:lvl w:ilvl="0">
      <w:isLgl w:val="false"/>
      <w:lvlJc w:val="left"/>
      <w:lvlText w:val=""/>
      <w:numFmt w:val="bullet"/>
      <w:pPr>
        <w:pBdr/>
        <w:spacing/>
        <w:ind w:hanging="360" w:left="862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82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02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22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42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462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82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02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22"/>
      </w:pPr>
      <w:rPr>
        <w:rFonts w:ascii="Wingdings" w:hAnsi="Wingdings"/>
      </w:rPr>
      <w:start w:val="1"/>
      <w:suff w:val="tab"/>
    </w:lvl>
  </w:abstractNum>
  <w:abstractNum w:abstractNumId="24">
    <w:nsid w:val="33A15B0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nsid w:val="33D404D6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6">
    <w:nsid w:val="3AA6229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nsid w:val="3C1A7F91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8">
    <w:nsid w:val="3D55375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eastAsia="Times New Roman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nsid w:val="3DD849C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0">
    <w:nsid w:val="40D31E37"/>
    <w:lvl w:ilvl="0">
      <w:isLgl w:val="false"/>
      <w:lvlJc w:val="left"/>
      <w:lvlText w:val=""/>
      <w:numFmt w:val="bullet"/>
      <w:pPr>
        <w:pBdr/>
        <w:spacing/>
        <w:ind w:hanging="360" w:left="644"/>
      </w:pPr>
      <w:rPr>
        <w:rFonts w:ascii="Symbol" w:hAnsi="Symbol"/>
        <w:color w:val="00000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1">
    <w:nsid w:val="4153466B"/>
    <w:lvl w:ilvl="0">
      <w:isLgl w:val="false"/>
      <w:lvlJc w:val="left"/>
      <w:lvlText w:val="%1."/>
      <w:numFmt w:val="decimal"/>
      <w:pPr>
        <w:pBdr/>
        <w:spacing/>
        <w:ind w:hanging="360" w:left="50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3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978"/>
      </w:pPr>
      <w:rPr/>
      <w:start w:val="1"/>
      <w:suff w:val="tab"/>
    </w:lvl>
  </w:abstractNum>
  <w:abstractNum w:abstractNumId="32">
    <w:nsid w:val="48134301"/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33">
    <w:nsid w:val="4B2B7D5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pStyle w:val="1046"/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34">
    <w:nsid w:val="4F041C30"/>
    <w:lvl w:ilvl="0">
      <w:isLgl w:val="false"/>
      <w:lvlJc w:val="left"/>
      <w:lvlText w:val=""/>
      <w:numFmt w:val="bullet"/>
      <w:pPr>
        <w:pBdr/>
        <w:spacing/>
        <w:ind w:hanging="360" w:left="840"/>
      </w:pPr>
      <w:rPr>
        <w:rFonts w:ascii="Symbol" w:hAnsi="Symbol" w:eastAsia="Times New Roman" w:cs="Times New Roman"/>
      </w:rPr>
      <w:start w:val="3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4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00"/>
      </w:pPr>
      <w:rPr>
        <w:rFonts w:ascii="Wingdings" w:hAnsi="Wingdings"/>
      </w:rPr>
      <w:start w:val="1"/>
      <w:suff w:val="tab"/>
    </w:lvl>
  </w:abstractNum>
  <w:abstractNum w:abstractNumId="35">
    <w:nsid w:val="4F05277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6">
    <w:nsid w:val="564F51DC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37">
    <w:nsid w:val="5742424E"/>
    <w:lvl w:ilvl="0">
      <w:isLgl w:val="false"/>
      <w:lvlJc w:val="left"/>
      <w:lvlText w:val=""/>
      <w:numFmt w:val="bullet"/>
      <w:pPr>
        <w:pBdr/>
        <w:spacing/>
        <w:ind w:hanging="360" w:left="928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8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8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8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8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8"/>
      </w:pPr>
      <w:rPr>
        <w:rFonts w:ascii="Wingdings" w:hAnsi="Wingdings"/>
      </w:rPr>
      <w:start w:val="1"/>
      <w:suff w:val="tab"/>
    </w:lvl>
  </w:abstractNum>
  <w:abstractNum w:abstractNumId="38">
    <w:nsid w:val="64C77F29"/>
    <w:lvl w:ilvl="0">
      <w:isLgl w:val="false"/>
      <w:lvlJc w:val="left"/>
      <w:lvlText w:val="%1-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9">
    <w:nsid w:val="6652170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0">
    <w:nsid w:val="67B13444"/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ascii="Wingdings" w:hAnsi="Wingdings"/>
      </w:rPr>
      <w:start w:val="1"/>
      <w:suff w:val="tab"/>
    </w:lvl>
  </w:abstractNum>
  <w:abstractNum w:abstractNumId="41">
    <w:nsid w:val="6A31211A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42">
    <w:nsid w:val="6BE3366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3">
    <w:nsid w:val="6E382F6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4">
    <w:nsid w:val="792F40E5"/>
    <w:lvl w:ilvl="0">
      <w:isLgl w:val="false"/>
      <w:lvlJc w:val="left"/>
      <w:lvlText w:val="%1-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5">
    <w:nsid w:val="7C9410B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3"/>
  </w:num>
  <w:num w:numId="2">
    <w:abstractNumId w:val="11"/>
  </w:num>
  <w:num w:numId="3">
    <w:abstractNumId w:val="9"/>
  </w:num>
  <w:num w:numId="4">
    <w:abstractNumId w:val="8"/>
  </w:num>
  <w:num w:numId="5">
    <w:abstractNumId w:val="43"/>
  </w:num>
  <w:num w:numId="6">
    <w:abstractNumId w:val="24"/>
  </w:num>
  <w:num w:numId="7">
    <w:abstractNumId w:val="10"/>
  </w:num>
  <w:num w:numId="8">
    <w:abstractNumId w:val="19"/>
  </w:num>
  <w:num w:numId="9">
    <w:abstractNumId w:val="39"/>
  </w:num>
  <w:num w:numId="10">
    <w:abstractNumId w:val="34"/>
  </w:num>
  <w:num w:numId="11">
    <w:abstractNumId w:val="38"/>
  </w:num>
  <w:num w:numId="12">
    <w:abstractNumId w:val="44"/>
  </w:num>
  <w:num w:numId="13">
    <w:abstractNumId w:val="36"/>
  </w:num>
  <w:num w:numId="14">
    <w:abstractNumId w:val="35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32"/>
  </w:num>
  <w:num w:numId="24">
    <w:abstractNumId w:val="15"/>
  </w:num>
  <w:num w:numId="25">
    <w:abstractNumId w:val="13"/>
  </w:num>
  <w:num w:numId="26">
    <w:abstractNumId w:val="12"/>
  </w:num>
  <w:num w:numId="27">
    <w:abstractNumId w:val="40"/>
  </w:num>
  <w:num w:numId="28">
    <w:abstractNumId w:val="42"/>
  </w:num>
  <w:num w:numId="29">
    <w:abstractNumId w:val="31"/>
  </w:num>
  <w:num w:numId="30">
    <w:abstractNumId w:val="23"/>
  </w:num>
  <w:num w:numId="31">
    <w:abstractNumId w:val="18"/>
  </w:num>
  <w:num w:numId="32">
    <w:abstractNumId w:val="45"/>
  </w:num>
  <w:num w:numId="33">
    <w:abstractNumId w:val="20"/>
  </w:num>
  <w:num w:numId="34">
    <w:abstractNumId w:val="27"/>
  </w:num>
  <w:num w:numId="35">
    <w:abstractNumId w:val="16"/>
  </w:num>
  <w:num w:numId="36">
    <w:abstractNumId w:val="25"/>
  </w:num>
  <w:num w:numId="37">
    <w:abstractNumId w:val="41"/>
  </w:num>
  <w:num w:numId="38">
    <w:abstractNumId w:val="14"/>
  </w:num>
  <w:num w:numId="39">
    <w:abstractNumId w:val="37"/>
  </w:num>
  <w:num w:numId="40">
    <w:abstractNumId w:val="30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17"/>
  </w:num>
  <w:num w:numId="45">
    <w:abstractNumId w:val="26"/>
  </w:num>
  <w:num w:numId="46">
    <w:abstractNumId w:val="29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4">
    <w:name w:val="Quote Char"/>
    <w:basedOn w:val="804"/>
    <w:link w:val="95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95">
    <w:name w:val="Intense Quote Char"/>
    <w:basedOn w:val="804"/>
    <w:link w:val="9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96">
    <w:name w:val="Footnote Text Char"/>
    <w:basedOn w:val="804"/>
    <w:link w:val="970"/>
    <w:uiPriority w:val="99"/>
    <w:semiHidden/>
    <w:pPr>
      <w:pBdr/>
      <w:spacing/>
      <w:ind/>
    </w:pPr>
    <w:rPr>
      <w:sz w:val="20"/>
      <w:szCs w:val="20"/>
    </w:rPr>
  </w:style>
  <w:style w:type="character" w:styleId="797">
    <w:name w:val="Endnote Text Char"/>
    <w:basedOn w:val="804"/>
    <w:link w:val="973"/>
    <w:uiPriority w:val="99"/>
    <w:semiHidden/>
    <w:pPr>
      <w:pBdr/>
      <w:spacing/>
      <w:ind/>
    </w:pPr>
    <w:rPr>
      <w:sz w:val="20"/>
      <w:szCs w:val="20"/>
    </w:rPr>
  </w:style>
  <w:style w:type="paragraph" w:styleId="798" w:default="1">
    <w:name w:val="Normal"/>
    <w:qFormat/>
    <w:pPr>
      <w:pBdr/>
      <w:spacing/>
      <w:ind/>
    </w:pPr>
    <w:rPr>
      <w:sz w:val="24"/>
      <w:szCs w:val="24"/>
      <w:lang w:eastAsia="ru-RU"/>
    </w:rPr>
  </w:style>
  <w:style w:type="paragraph" w:styleId="799">
    <w:name w:val="Heading 1"/>
    <w:basedOn w:val="798"/>
    <w:next w:val="798"/>
    <w:link w:val="1031"/>
    <w:uiPriority w:val="9"/>
    <w:qFormat/>
    <w:pPr>
      <w:keepNext w:val="true"/>
      <w:pBdr/>
      <w:spacing w:after="60" w:before="240"/>
      <w:ind/>
      <w:outlineLvl w:val="0"/>
    </w:pPr>
    <w:rPr>
      <w:rFonts w:ascii="Arial" w:hAnsi="Arial"/>
      <w:b/>
      <w:bCs/>
      <w:sz w:val="32"/>
      <w:szCs w:val="32"/>
      <w:lang w:val="en-US" w:eastAsia="en-US"/>
    </w:rPr>
  </w:style>
  <w:style w:type="paragraph" w:styleId="800">
    <w:name w:val="Heading 2"/>
    <w:basedOn w:val="798"/>
    <w:next w:val="798"/>
    <w:link w:val="1045"/>
    <w:uiPriority w:val="9"/>
    <w:unhideWhenUsed/>
    <w:qFormat/>
    <w:pPr>
      <w:keepNext w:val="true"/>
      <w:pBdr/>
      <w:spacing w:after="60" w:before="240"/>
      <w:ind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801">
    <w:name w:val="Heading 3"/>
    <w:basedOn w:val="798"/>
    <w:next w:val="798"/>
    <w:link w:val="1032"/>
    <w:uiPriority w:val="9"/>
    <w:qFormat/>
    <w:pPr>
      <w:keepNext w:val="true"/>
      <w:pBdr/>
      <w:spacing w:after="60" w:before="240"/>
      <w:ind/>
      <w:outlineLvl w:val="2"/>
    </w:pPr>
    <w:rPr>
      <w:rFonts w:ascii="Arial" w:hAnsi="Arial" w:eastAsia="Calibri"/>
      <w:b/>
      <w:bCs/>
      <w:sz w:val="26"/>
      <w:szCs w:val="26"/>
      <w:lang w:val="en-US" w:eastAsia="en-US"/>
    </w:rPr>
  </w:style>
  <w:style w:type="paragraph" w:styleId="802">
    <w:name w:val="Heading 4"/>
    <w:basedOn w:val="798"/>
    <w:next w:val="798"/>
    <w:link w:val="1033"/>
    <w:qFormat/>
    <w:pPr>
      <w:keepNext w:val="true"/>
      <w:pBdr/>
      <w:spacing w:after="60" w:before="240"/>
      <w:ind/>
      <w:outlineLvl w:val="3"/>
    </w:pPr>
    <w:rPr>
      <w:b/>
      <w:bCs/>
      <w:sz w:val="28"/>
      <w:szCs w:val="28"/>
      <w:lang w:val="en-US" w:eastAsia="en-US"/>
    </w:rPr>
  </w:style>
  <w:style w:type="paragraph" w:styleId="803">
    <w:name w:val="Heading 6"/>
    <w:basedOn w:val="798"/>
    <w:next w:val="798"/>
    <w:link w:val="1049"/>
    <w:semiHidden/>
    <w:unhideWhenUsed/>
    <w:qFormat/>
    <w:pPr>
      <w:pBdr/>
      <w:spacing w:after="60" w:before="240"/>
      <w:ind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character" w:styleId="804" w:default="1">
    <w:name w:val="Default Paragraph Font"/>
    <w:uiPriority w:val="1"/>
    <w:semiHidden/>
    <w:unhideWhenUsed/>
    <w:pPr>
      <w:pBdr/>
      <w:spacing/>
      <w:ind/>
    </w:pPr>
  </w:style>
  <w:style w:type="table" w:styleId="80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6" w:default="1">
    <w:name w:val="No List"/>
    <w:uiPriority w:val="99"/>
    <w:semiHidden/>
    <w:unhideWhenUsed/>
    <w:pPr>
      <w:pBdr/>
      <w:spacing/>
      <w:ind/>
    </w:pPr>
  </w:style>
  <w:style w:type="table" w:styleId="807">
    <w:name w:val="Table Grid"/>
    <w:basedOn w:val="805"/>
    <w:uiPriority w:val="39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Table Grid Light"/>
    <w:basedOn w:val="80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Plain Table 1"/>
    <w:basedOn w:val="80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Plain Table 2"/>
    <w:basedOn w:val="805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Plain Table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Plain Table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Plain Table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1 Light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 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1 Light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1 Light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1 Light 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1 Light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1 Light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 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2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2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2 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2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2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 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3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3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3 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3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3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4"/>
    <w:basedOn w:val="80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 - Accent 1"/>
    <w:basedOn w:val="80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4 - Accent 2"/>
    <w:basedOn w:val="80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4 - Accent 3"/>
    <w:basedOn w:val="80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4 - Accent 4"/>
    <w:basedOn w:val="80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4 - Accent 5"/>
    <w:basedOn w:val="80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4 - Accent 6"/>
    <w:basedOn w:val="80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5 Dark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5 Dark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5 Dark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5 Dark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5 Dark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5 Dark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6 Colorful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 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6 Colorful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6 Colorful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6 Colorful 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6 Colorful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6 Colorful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7 Colorful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 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7 Colorful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7 Colorful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7 Colorful 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7 Colorful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7 Colorful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1 Light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 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1 Light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1 Light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1 Light 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1 Light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1 Light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 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2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2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2 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2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2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 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3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3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3 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3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3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 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4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4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4 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4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4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5 Dark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 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5 Dark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5 Dark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5 Dark 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5 Dark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5 Dark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6 Colorful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 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6 Colorful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6 Colorful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6 Colorful 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6 Colorful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6 Colorful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7 Colorful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 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7 Colorful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7 Colorful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7 Colorful 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7 Colorful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7 Colorful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1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ned - Accent 2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ned - Accent 3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ned - Accent 4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ned - Accent 5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ned - Accent 6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1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&amp; Lined - Accent 2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&amp; Lined - Accent 3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&amp; Lined - Accent 4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&amp; Lined - Accent 5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&amp; Lined - Accent 6"/>
    <w:basedOn w:val="80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- Accent 1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- Accent 2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- Accent 3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- Accent 4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- Accent 5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- Accent 6"/>
    <w:basedOn w:val="80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3" w:customStyle="1">
    <w:name w:val="Heading 1"/>
    <w:basedOn w:val="798"/>
    <w:next w:val="798"/>
    <w:link w:val="94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934" w:customStyle="1">
    <w:name w:val="Heading 2"/>
    <w:basedOn w:val="798"/>
    <w:next w:val="798"/>
    <w:link w:val="94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935" w:customStyle="1">
    <w:name w:val="Heading 3"/>
    <w:basedOn w:val="798"/>
    <w:next w:val="798"/>
    <w:link w:val="99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936" w:customStyle="1">
    <w:name w:val="Heading 4"/>
    <w:basedOn w:val="798"/>
    <w:next w:val="798"/>
    <w:link w:val="94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937" w:customStyle="1">
    <w:name w:val="Heading 5"/>
    <w:basedOn w:val="798"/>
    <w:next w:val="798"/>
    <w:link w:val="94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938" w:customStyle="1">
    <w:name w:val="Heading 6"/>
    <w:basedOn w:val="798"/>
    <w:next w:val="798"/>
    <w:link w:val="946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39" w:customStyle="1">
    <w:name w:val="Heading 7"/>
    <w:basedOn w:val="798"/>
    <w:next w:val="798"/>
    <w:link w:val="947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40" w:customStyle="1">
    <w:name w:val="Heading 8"/>
    <w:basedOn w:val="798"/>
    <w:next w:val="798"/>
    <w:link w:val="948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41" w:customStyle="1">
    <w:name w:val="Heading 9"/>
    <w:basedOn w:val="798"/>
    <w:next w:val="798"/>
    <w:link w:val="94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42" w:customStyle="1">
    <w:name w:val="Heading 1 Char"/>
    <w:basedOn w:val="804"/>
    <w:link w:val="9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43" w:customStyle="1">
    <w:name w:val="Heading 2 Char"/>
    <w:basedOn w:val="804"/>
    <w:link w:val="93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44" w:customStyle="1">
    <w:name w:val="Heading 4 Char"/>
    <w:basedOn w:val="804"/>
    <w:link w:val="936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45" w:customStyle="1">
    <w:name w:val="Heading 5 Char"/>
    <w:basedOn w:val="804"/>
    <w:link w:val="93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46" w:customStyle="1">
    <w:name w:val="Heading 6 Char"/>
    <w:basedOn w:val="804"/>
    <w:link w:val="93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7" w:customStyle="1">
    <w:name w:val="Heading 7 Char"/>
    <w:basedOn w:val="804"/>
    <w:link w:val="93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8" w:customStyle="1">
    <w:name w:val="Heading 8 Char"/>
    <w:basedOn w:val="804"/>
    <w:link w:val="94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9" w:customStyle="1">
    <w:name w:val="Heading 9 Char"/>
    <w:basedOn w:val="804"/>
    <w:link w:val="9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50">
    <w:name w:val="Title"/>
    <w:basedOn w:val="798"/>
    <w:link w:val="1042"/>
    <w:qFormat/>
    <w:pPr>
      <w:pBdr/>
      <w:spacing/>
      <w:ind w:left="-900"/>
      <w:jc w:val="center"/>
    </w:pPr>
    <w:rPr>
      <w:b/>
      <w:sz w:val="28"/>
      <w:szCs w:val="20"/>
      <w:lang w:val="en-US" w:eastAsia="en-US"/>
    </w:rPr>
  </w:style>
  <w:style w:type="character" w:styleId="951" w:customStyle="1">
    <w:name w:val="Title Char"/>
    <w:basedOn w:val="804"/>
    <w:link w:val="95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52">
    <w:name w:val="Subtitle"/>
    <w:basedOn w:val="798"/>
    <w:link w:val="1043"/>
    <w:qFormat/>
    <w:pPr>
      <w:pBdr/>
      <w:tabs>
        <w:tab w:val="left" w:leader="none" w:pos="6804"/>
      </w:tabs>
      <w:spacing/>
      <w:ind/>
    </w:pPr>
    <w:rPr>
      <w:b/>
      <w:color w:val="000000"/>
      <w:sz w:val="16"/>
      <w:szCs w:val="20"/>
      <w:lang w:val="en-US" w:eastAsia="en-US"/>
    </w:rPr>
  </w:style>
  <w:style w:type="character" w:styleId="953" w:customStyle="1">
    <w:name w:val="Subtitle Char"/>
    <w:basedOn w:val="804"/>
    <w:link w:val="95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54">
    <w:name w:val="Quote"/>
    <w:basedOn w:val="798"/>
    <w:next w:val="798"/>
    <w:link w:val="95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55" w:customStyle="1">
    <w:name w:val="Цитата 2 Знак"/>
    <w:basedOn w:val="804"/>
    <w:link w:val="95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56">
    <w:name w:val="Intense Emphasis"/>
    <w:basedOn w:val="80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57">
    <w:name w:val="Intense Quote"/>
    <w:basedOn w:val="798"/>
    <w:next w:val="798"/>
    <w:link w:val="958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58" w:customStyle="1">
    <w:name w:val="Выделенная цитата Знак"/>
    <w:basedOn w:val="804"/>
    <w:link w:val="957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59">
    <w:name w:val="Intense Reference"/>
    <w:basedOn w:val="80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960">
    <w:name w:val="Subtle Emphasis"/>
    <w:basedOn w:val="8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61">
    <w:name w:val="Emphasis"/>
    <w:basedOn w:val="804"/>
    <w:uiPriority w:val="20"/>
    <w:qFormat/>
    <w:pPr>
      <w:pBdr/>
      <w:spacing/>
      <w:ind/>
    </w:pPr>
    <w:rPr>
      <w:i/>
      <w:iCs/>
    </w:rPr>
  </w:style>
  <w:style w:type="character" w:styleId="962">
    <w:name w:val="Strong"/>
    <w:basedOn w:val="804"/>
    <w:uiPriority w:val="22"/>
    <w:qFormat/>
    <w:pPr>
      <w:pBdr/>
      <w:spacing/>
      <w:ind/>
    </w:pPr>
    <w:rPr>
      <w:b/>
      <w:bCs/>
    </w:rPr>
  </w:style>
  <w:style w:type="character" w:styleId="963">
    <w:name w:val="Subtle Reference"/>
    <w:basedOn w:val="8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4">
    <w:name w:val="Book Title"/>
    <w:basedOn w:val="80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5" w:customStyle="1">
    <w:name w:val="Header"/>
    <w:basedOn w:val="798"/>
    <w:link w:val="966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66" w:customStyle="1">
    <w:name w:val="Header Char"/>
    <w:basedOn w:val="804"/>
    <w:link w:val="965"/>
    <w:uiPriority w:val="99"/>
    <w:pPr>
      <w:pBdr/>
      <w:spacing/>
      <w:ind/>
    </w:pPr>
  </w:style>
  <w:style w:type="paragraph" w:styleId="967" w:customStyle="1">
    <w:name w:val="Footer"/>
    <w:basedOn w:val="798"/>
    <w:link w:val="968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68" w:customStyle="1">
    <w:name w:val="Footer Char"/>
    <w:basedOn w:val="804"/>
    <w:link w:val="967"/>
    <w:uiPriority w:val="99"/>
    <w:pPr>
      <w:pBdr/>
      <w:spacing/>
      <w:ind/>
    </w:pPr>
  </w:style>
  <w:style w:type="paragraph" w:styleId="969" w:customStyle="1">
    <w:name w:val="Caption"/>
    <w:basedOn w:val="798"/>
    <w:next w:val="798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970">
    <w:name w:val="footnote text"/>
    <w:basedOn w:val="798"/>
    <w:link w:val="97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71" w:customStyle="1">
    <w:name w:val="Текст сноски Знак"/>
    <w:basedOn w:val="804"/>
    <w:link w:val="970"/>
    <w:uiPriority w:val="99"/>
    <w:semiHidden/>
    <w:pPr>
      <w:pBdr/>
      <w:spacing/>
      <w:ind/>
    </w:pPr>
    <w:rPr>
      <w:sz w:val="20"/>
      <w:szCs w:val="20"/>
    </w:rPr>
  </w:style>
  <w:style w:type="character" w:styleId="972">
    <w:name w:val="footnote reference"/>
    <w:basedOn w:val="804"/>
    <w:uiPriority w:val="99"/>
    <w:semiHidden/>
    <w:unhideWhenUsed/>
    <w:pPr>
      <w:pBdr/>
      <w:spacing/>
      <w:ind/>
    </w:pPr>
    <w:rPr>
      <w:vertAlign w:val="superscript"/>
    </w:rPr>
  </w:style>
  <w:style w:type="paragraph" w:styleId="973">
    <w:name w:val="endnote text"/>
    <w:basedOn w:val="798"/>
    <w:link w:val="974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74" w:customStyle="1">
    <w:name w:val="Текст концевой сноски Знак"/>
    <w:basedOn w:val="804"/>
    <w:link w:val="973"/>
    <w:uiPriority w:val="99"/>
    <w:semiHidden/>
    <w:pPr>
      <w:pBdr/>
      <w:spacing/>
      <w:ind/>
    </w:pPr>
    <w:rPr>
      <w:sz w:val="20"/>
      <w:szCs w:val="20"/>
    </w:rPr>
  </w:style>
  <w:style w:type="character" w:styleId="975">
    <w:name w:val="endnote reference"/>
    <w:basedOn w:val="804"/>
    <w:uiPriority w:val="99"/>
    <w:semiHidden/>
    <w:unhideWhenUsed/>
    <w:pPr>
      <w:pBdr/>
      <w:spacing/>
      <w:ind/>
    </w:pPr>
    <w:rPr>
      <w:vertAlign w:val="superscript"/>
    </w:rPr>
  </w:style>
  <w:style w:type="character" w:styleId="976">
    <w:name w:val="Hyperlink"/>
    <w:basedOn w:val="804"/>
    <w:pPr>
      <w:pBdr/>
      <w:spacing/>
      <w:ind/>
    </w:pPr>
    <w:rPr>
      <w:rFonts w:cs="Times New Roman"/>
      <w:color w:val="0000ff"/>
      <w:u w:val="single"/>
    </w:rPr>
  </w:style>
  <w:style w:type="character" w:styleId="977">
    <w:name w:val="FollowedHyperlink"/>
    <w:basedOn w:val="80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78">
    <w:name w:val="toc 1"/>
    <w:basedOn w:val="798"/>
    <w:next w:val="798"/>
    <w:uiPriority w:val="39"/>
    <w:unhideWhenUsed/>
    <w:pPr>
      <w:pBdr/>
      <w:spacing w:after="100"/>
      <w:ind/>
    </w:pPr>
  </w:style>
  <w:style w:type="paragraph" w:styleId="979">
    <w:name w:val="toc 2"/>
    <w:basedOn w:val="798"/>
    <w:next w:val="798"/>
    <w:uiPriority w:val="39"/>
    <w:unhideWhenUsed/>
    <w:pPr>
      <w:pBdr/>
      <w:spacing w:after="100"/>
      <w:ind w:left="220"/>
    </w:pPr>
  </w:style>
  <w:style w:type="paragraph" w:styleId="980">
    <w:name w:val="toc 3"/>
    <w:basedOn w:val="798"/>
    <w:next w:val="798"/>
    <w:uiPriority w:val="39"/>
    <w:unhideWhenUsed/>
    <w:pPr>
      <w:pBdr/>
      <w:spacing w:after="100"/>
      <w:ind w:left="440"/>
    </w:pPr>
  </w:style>
  <w:style w:type="paragraph" w:styleId="981">
    <w:name w:val="toc 4"/>
    <w:basedOn w:val="798"/>
    <w:next w:val="798"/>
    <w:uiPriority w:val="39"/>
    <w:unhideWhenUsed/>
    <w:pPr>
      <w:pBdr/>
      <w:spacing w:after="100"/>
      <w:ind w:left="660"/>
    </w:pPr>
  </w:style>
  <w:style w:type="paragraph" w:styleId="982">
    <w:name w:val="toc 5"/>
    <w:basedOn w:val="798"/>
    <w:next w:val="798"/>
    <w:uiPriority w:val="39"/>
    <w:unhideWhenUsed/>
    <w:pPr>
      <w:pBdr/>
      <w:spacing w:after="100"/>
      <w:ind w:left="880"/>
    </w:pPr>
  </w:style>
  <w:style w:type="paragraph" w:styleId="983">
    <w:name w:val="toc 6"/>
    <w:basedOn w:val="798"/>
    <w:next w:val="798"/>
    <w:uiPriority w:val="39"/>
    <w:unhideWhenUsed/>
    <w:pPr>
      <w:pBdr/>
      <w:spacing w:after="100"/>
      <w:ind w:left="1100"/>
    </w:pPr>
  </w:style>
  <w:style w:type="paragraph" w:styleId="984">
    <w:name w:val="toc 7"/>
    <w:basedOn w:val="798"/>
    <w:next w:val="798"/>
    <w:uiPriority w:val="39"/>
    <w:unhideWhenUsed/>
    <w:pPr>
      <w:pBdr/>
      <w:spacing w:after="100"/>
      <w:ind w:left="1320"/>
    </w:pPr>
  </w:style>
  <w:style w:type="paragraph" w:styleId="985">
    <w:name w:val="toc 8"/>
    <w:basedOn w:val="798"/>
    <w:next w:val="798"/>
    <w:uiPriority w:val="39"/>
    <w:unhideWhenUsed/>
    <w:pPr>
      <w:pBdr/>
      <w:spacing w:after="100"/>
      <w:ind w:left="1540"/>
    </w:pPr>
  </w:style>
  <w:style w:type="paragraph" w:styleId="986">
    <w:name w:val="toc 9"/>
    <w:basedOn w:val="798"/>
    <w:next w:val="798"/>
    <w:uiPriority w:val="39"/>
    <w:unhideWhenUsed/>
    <w:pPr>
      <w:pBdr/>
      <w:spacing w:after="100"/>
      <w:ind w:left="1760"/>
    </w:pPr>
  </w:style>
  <w:style w:type="character" w:styleId="987">
    <w:name w:val="Placeholder Text"/>
    <w:basedOn w:val="804"/>
    <w:uiPriority w:val="99"/>
    <w:semiHidden/>
    <w:pPr>
      <w:pBdr/>
      <w:spacing/>
      <w:ind/>
    </w:pPr>
    <w:rPr>
      <w:color w:val="666666"/>
    </w:rPr>
  </w:style>
  <w:style w:type="paragraph" w:styleId="988">
    <w:name w:val="TOC Heading"/>
    <w:uiPriority w:val="39"/>
    <w:unhideWhenUsed/>
    <w:pPr>
      <w:pBdr/>
      <w:spacing/>
      <w:ind/>
    </w:pPr>
  </w:style>
  <w:style w:type="paragraph" w:styleId="989">
    <w:name w:val="table of figures"/>
    <w:basedOn w:val="798"/>
    <w:next w:val="798"/>
    <w:uiPriority w:val="99"/>
    <w:unhideWhenUsed/>
    <w:pPr>
      <w:pBdr/>
      <w:spacing/>
      <w:ind/>
    </w:pPr>
  </w:style>
  <w:style w:type="character" w:styleId="990" w:customStyle="1">
    <w:name w:val="Heading 3 Char"/>
    <w:link w:val="935"/>
    <w:pPr>
      <w:pBdr/>
      <w:spacing/>
      <w:ind/>
    </w:pPr>
    <w:rPr>
      <w:rFonts w:ascii="Cambria" w:hAnsi="Cambria" w:cs="Times New Roman"/>
      <w:b/>
      <w:bCs/>
      <w:sz w:val="26"/>
      <w:szCs w:val="26"/>
    </w:rPr>
  </w:style>
  <w:style w:type="character" w:styleId="991" w:customStyle="1">
    <w:name w:val="Balloon Text Char"/>
    <w:pPr>
      <w:pBdr/>
      <w:spacing/>
      <w:ind/>
    </w:pPr>
    <w:rPr>
      <w:rFonts w:ascii="Tahoma" w:hAnsi="Tahoma" w:cs="Tahoma"/>
      <w:sz w:val="16"/>
      <w:szCs w:val="16"/>
      <w:lang w:eastAsia="ru-RU"/>
    </w:rPr>
  </w:style>
  <w:style w:type="character" w:styleId="992" w:customStyle="1">
    <w:name w:val="ListLabel 1"/>
    <w:pPr>
      <w:pBdr/>
      <w:spacing/>
      <w:ind/>
    </w:pPr>
    <w:rPr>
      <w:rFonts w:cs="Times New Roman"/>
    </w:rPr>
  </w:style>
  <w:style w:type="character" w:styleId="993" w:customStyle="1">
    <w:name w:val="ListLabel 2"/>
    <w:pPr>
      <w:pBdr/>
      <w:spacing/>
      <w:ind/>
    </w:pPr>
    <w:rPr>
      <w:rFonts w:cs="Times New Roman"/>
    </w:rPr>
  </w:style>
  <w:style w:type="character" w:styleId="994" w:customStyle="1">
    <w:name w:val="ListLabel 3"/>
    <w:pPr>
      <w:pBdr/>
      <w:spacing/>
      <w:ind/>
    </w:pPr>
    <w:rPr>
      <w:rFonts w:cs="Times New Roman"/>
    </w:rPr>
  </w:style>
  <w:style w:type="character" w:styleId="995" w:customStyle="1">
    <w:name w:val="ListLabel 4"/>
    <w:pPr>
      <w:pBdr/>
      <w:spacing/>
      <w:ind/>
    </w:pPr>
    <w:rPr>
      <w:rFonts w:cs="Times New Roman"/>
    </w:rPr>
  </w:style>
  <w:style w:type="character" w:styleId="996" w:customStyle="1">
    <w:name w:val="ListLabel 5"/>
    <w:pPr>
      <w:pBdr/>
      <w:spacing/>
      <w:ind/>
    </w:pPr>
    <w:rPr>
      <w:rFonts w:cs="Times New Roman"/>
    </w:rPr>
  </w:style>
  <w:style w:type="paragraph" w:styleId="997" w:customStyle="1">
    <w:name w:val="Заголовок"/>
    <w:basedOn w:val="798"/>
    <w:next w:val="998"/>
    <w:pPr>
      <w:keepNext w:val="true"/>
      <w:pBdr/>
      <w:spacing w:after="120" w:before="240"/>
      <w:ind/>
    </w:pPr>
    <w:rPr>
      <w:rFonts w:ascii="Liberation Sans" w:hAnsi="Liberation Sans" w:eastAsia="Noto Sans CJK SC Regular" w:cs="FreeSans"/>
      <w:sz w:val="28"/>
      <w:szCs w:val="28"/>
    </w:rPr>
  </w:style>
  <w:style w:type="paragraph" w:styleId="998">
    <w:name w:val="Body Text"/>
    <w:basedOn w:val="798"/>
    <w:link w:val="1034"/>
    <w:pPr>
      <w:pBdr/>
      <w:spacing w:after="140" w:line="288" w:lineRule="auto"/>
      <w:ind/>
    </w:pPr>
    <w:rPr>
      <w:lang w:val="en-US" w:eastAsia="en-US"/>
    </w:rPr>
  </w:style>
  <w:style w:type="paragraph" w:styleId="999">
    <w:name w:val="List"/>
    <w:basedOn w:val="998"/>
    <w:pPr>
      <w:pBdr/>
      <w:spacing/>
      <w:ind/>
    </w:pPr>
    <w:rPr>
      <w:rFonts w:cs="FreeSans"/>
    </w:rPr>
  </w:style>
  <w:style w:type="paragraph" w:styleId="1000">
    <w:name w:val="Caption"/>
    <w:basedOn w:val="798"/>
    <w:qFormat/>
    <w:pPr>
      <w:suppressLineNumbers w:val="true"/>
      <w:pBdr/>
      <w:spacing w:after="120" w:before="120"/>
      <w:ind/>
    </w:pPr>
    <w:rPr>
      <w:rFonts w:cs="FreeSans"/>
      <w:i/>
      <w:iCs/>
    </w:rPr>
  </w:style>
  <w:style w:type="paragraph" w:styleId="1001" w:customStyle="1">
    <w:name w:val="Указатель1"/>
    <w:basedOn w:val="798"/>
    <w:pPr>
      <w:suppressLineNumbers w:val="true"/>
      <w:pBdr/>
      <w:spacing/>
      <w:ind/>
    </w:pPr>
    <w:rPr>
      <w:rFonts w:cs="FreeSans"/>
    </w:rPr>
  </w:style>
  <w:style w:type="paragraph" w:styleId="1002" w:customStyle="1">
    <w:name w:val="ConsPlusNormal"/>
    <w:link w:val="1028"/>
    <w:qFormat/>
    <w:pPr>
      <w:widowControl w:val="false"/>
      <w:pBdr/>
      <w:spacing/>
      <w:ind/>
    </w:pPr>
    <w:rPr>
      <w:rFonts w:ascii="Calibri" w:hAnsi="Calibri"/>
      <w:sz w:val="24"/>
      <w:lang w:eastAsia="ru-RU"/>
    </w:rPr>
  </w:style>
  <w:style w:type="paragraph" w:styleId="1003" w:customStyle="1">
    <w:name w:val="ConsPlusNonformat"/>
    <w:pPr>
      <w:widowControl w:val="false"/>
      <w:pBdr/>
      <w:spacing/>
      <w:ind/>
    </w:pPr>
    <w:rPr>
      <w:rFonts w:ascii="Courier New" w:hAnsi="Courier New" w:cs="Courier New"/>
      <w:lang w:eastAsia="ru-RU"/>
    </w:rPr>
  </w:style>
  <w:style w:type="paragraph" w:styleId="1004" w:customStyle="1">
    <w:name w:val="ConsPlusTitle"/>
    <w:pPr>
      <w:widowControl w:val="false"/>
      <w:pBdr/>
      <w:spacing/>
      <w:ind/>
    </w:pPr>
    <w:rPr>
      <w:rFonts w:ascii="Calibri" w:hAnsi="Calibri" w:cs="Calibri"/>
      <w:b/>
      <w:sz w:val="24"/>
      <w:lang w:eastAsia="ru-RU"/>
    </w:rPr>
  </w:style>
  <w:style w:type="paragraph" w:styleId="1005" w:customStyle="1">
    <w:name w:val="ConsPlusCell"/>
    <w:pPr>
      <w:widowControl w:val="false"/>
      <w:pBdr/>
      <w:spacing/>
      <w:ind/>
    </w:pPr>
    <w:rPr>
      <w:rFonts w:ascii="Courier New" w:hAnsi="Courier New" w:cs="Courier New"/>
      <w:lang w:eastAsia="ru-RU"/>
    </w:rPr>
  </w:style>
  <w:style w:type="paragraph" w:styleId="1006" w:customStyle="1">
    <w:name w:val="ConsPlusDocList"/>
    <w:pPr>
      <w:widowControl w:val="false"/>
      <w:pBdr/>
      <w:spacing/>
      <w:ind/>
    </w:pPr>
    <w:rPr>
      <w:rFonts w:ascii="Courier New" w:hAnsi="Courier New" w:cs="Courier New"/>
      <w:lang w:eastAsia="ru-RU"/>
    </w:rPr>
  </w:style>
  <w:style w:type="paragraph" w:styleId="1007" w:customStyle="1">
    <w:name w:val="ConsPlusTitlePage"/>
    <w:pPr>
      <w:widowControl w:val="false"/>
      <w:pBdr/>
      <w:spacing/>
      <w:ind/>
    </w:pPr>
    <w:rPr>
      <w:rFonts w:ascii="Tahoma" w:hAnsi="Tahoma" w:cs="Tahoma"/>
      <w:lang w:eastAsia="ru-RU"/>
    </w:rPr>
  </w:style>
  <w:style w:type="paragraph" w:styleId="1008" w:customStyle="1">
    <w:name w:val="ConsPlusJurTerm"/>
    <w:pPr>
      <w:widowControl w:val="false"/>
      <w:pBdr/>
      <w:spacing/>
      <w:ind/>
    </w:pPr>
    <w:rPr>
      <w:rFonts w:ascii="Tahoma" w:hAnsi="Tahoma" w:cs="Tahoma"/>
      <w:sz w:val="26"/>
      <w:lang w:eastAsia="ru-RU"/>
    </w:rPr>
  </w:style>
  <w:style w:type="paragraph" w:styleId="1009" w:customStyle="1">
    <w:name w:val="ConsPlusTextList"/>
    <w:pPr>
      <w:widowControl w:val="false"/>
      <w:pBdr/>
      <w:spacing/>
      <w:ind/>
    </w:pPr>
    <w:rPr>
      <w:rFonts w:ascii="Arial" w:hAnsi="Arial" w:cs="Arial"/>
      <w:lang w:eastAsia="ru-RU"/>
    </w:rPr>
  </w:style>
  <w:style w:type="paragraph" w:styleId="1010">
    <w:name w:val="Balloon Text"/>
    <w:basedOn w:val="798"/>
    <w:link w:val="1029"/>
    <w:uiPriority w:val="99"/>
    <w:pPr>
      <w:pBdr/>
      <w:spacing/>
      <w:ind/>
    </w:pPr>
    <w:rPr>
      <w:rFonts w:ascii="Tahoma" w:hAnsi="Tahoma"/>
      <w:sz w:val="16"/>
      <w:szCs w:val="16"/>
      <w:lang w:val="en-US" w:eastAsia="en-US"/>
    </w:rPr>
  </w:style>
  <w:style w:type="paragraph" w:styleId="1011">
    <w:name w:val="List Paragraph"/>
    <w:basedOn w:val="798"/>
    <w:link w:val="1050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/>
      <w:sz w:val="22"/>
      <w:szCs w:val="22"/>
      <w:lang w:val="en-US" w:eastAsia="en-US"/>
    </w:rPr>
  </w:style>
  <w:style w:type="character" w:styleId="1012" w:customStyle="1">
    <w:name w:val="extra_fields_value"/>
    <w:basedOn w:val="804"/>
    <w:pPr>
      <w:pBdr/>
      <w:spacing/>
      <w:ind/>
    </w:pPr>
  </w:style>
  <w:style w:type="character" w:styleId="1013" w:customStyle="1">
    <w:name w:val="extra_fields_name"/>
    <w:basedOn w:val="804"/>
    <w:pPr>
      <w:pBdr/>
      <w:spacing/>
      <w:ind/>
    </w:pPr>
  </w:style>
  <w:style w:type="character" w:styleId="1014" w:customStyle="1">
    <w:name w:val="val hastip locate"/>
    <w:basedOn w:val="804"/>
    <w:pPr>
      <w:pBdr/>
      <w:spacing/>
      <w:ind/>
    </w:pPr>
  </w:style>
  <w:style w:type="character" w:styleId="1015" w:customStyle="1">
    <w:name w:val="thname"/>
    <w:basedOn w:val="804"/>
    <w:pPr>
      <w:pBdr/>
      <w:spacing/>
      <w:ind/>
    </w:pPr>
  </w:style>
  <w:style w:type="character" w:styleId="1016" w:customStyle="1">
    <w:name w:val="thvalue"/>
    <w:basedOn w:val="804"/>
    <w:pPr>
      <w:pBdr/>
      <w:spacing/>
      <w:ind/>
    </w:pPr>
  </w:style>
  <w:style w:type="character" w:styleId="1017" w:customStyle="1">
    <w:name w:val="extended-text__short"/>
    <w:basedOn w:val="804"/>
    <w:pPr>
      <w:pBdr/>
      <w:spacing/>
      <w:ind/>
    </w:pPr>
  </w:style>
  <w:style w:type="paragraph" w:styleId="1018">
    <w:name w:val="Normal (Web)"/>
    <w:basedOn w:val="798"/>
    <w:uiPriority w:val="99"/>
    <w:pPr>
      <w:pBdr/>
      <w:spacing w:after="100" w:afterAutospacing="1" w:before="100" w:beforeAutospacing="1"/>
      <w:ind/>
    </w:pPr>
  </w:style>
  <w:style w:type="character" w:styleId="1019" w:customStyle="1">
    <w:name w:val="features-list-name"/>
    <w:basedOn w:val="804"/>
    <w:pPr>
      <w:pBdr/>
      <w:spacing/>
      <w:ind/>
    </w:pPr>
  </w:style>
  <w:style w:type="character" w:styleId="1020" w:customStyle="1">
    <w:name w:val="features-list-value"/>
    <w:basedOn w:val="804"/>
    <w:pPr>
      <w:pBdr/>
      <w:spacing/>
      <w:ind/>
    </w:pPr>
  </w:style>
  <w:style w:type="character" w:styleId="1021" w:customStyle="1">
    <w:name w:val="val"/>
    <w:basedOn w:val="804"/>
    <w:pPr>
      <w:pBdr/>
      <w:spacing/>
      <w:ind/>
    </w:pPr>
  </w:style>
  <w:style w:type="character" w:styleId="1022" w:customStyle="1">
    <w:name w:val="td25"/>
    <w:pPr>
      <w:pBdr/>
      <w:spacing/>
      <w:ind/>
    </w:pPr>
    <w:rPr>
      <w:rFonts w:cs="Times New Roman"/>
    </w:rPr>
  </w:style>
  <w:style w:type="paragraph" w:styleId="1023">
    <w:name w:val="No Spacing"/>
    <w:link w:val="1051"/>
    <w:uiPriority w:val="1"/>
    <w:qFormat/>
    <w:pPr>
      <w:pBdr/>
      <w:spacing/>
      <w:ind/>
    </w:pPr>
    <w:rPr>
      <w:sz w:val="24"/>
      <w:szCs w:val="24"/>
      <w:lang w:eastAsia="ru-RU"/>
    </w:rPr>
  </w:style>
  <w:style w:type="character" w:styleId="1024" w:customStyle="1">
    <w:name w:val="extended-text__full"/>
    <w:basedOn w:val="804"/>
    <w:pPr>
      <w:pBdr/>
      <w:spacing/>
      <w:ind/>
    </w:pPr>
  </w:style>
  <w:style w:type="paragraph" w:styleId="1025">
    <w:name w:val="HTML Top of Form"/>
    <w:basedOn w:val="798"/>
    <w:next w:val="798"/>
    <w:link w:val="1035"/>
    <w:hidden/>
    <w:pPr>
      <w:pBdr>
        <w:bottom w:val="single" w:color="000000" w:sz="6" w:space="1"/>
      </w:pBdr>
      <w:spacing/>
      <w:ind/>
      <w:jc w:val="center"/>
    </w:pPr>
    <w:rPr>
      <w:rFonts w:ascii="Arial" w:hAnsi="Arial"/>
      <w:vanish/>
      <w:sz w:val="16"/>
      <w:szCs w:val="16"/>
      <w:lang w:val="en-US" w:eastAsia="en-US"/>
    </w:rPr>
  </w:style>
  <w:style w:type="paragraph" w:styleId="1026">
    <w:name w:val="HTML Bottom of Form"/>
    <w:basedOn w:val="798"/>
    <w:next w:val="798"/>
    <w:link w:val="1036"/>
    <w:hidden/>
    <w:pPr>
      <w:pBdr>
        <w:top w:val="single" w:color="000000" w:sz="6" w:space="1"/>
      </w:pBdr>
      <w:spacing/>
      <w:ind/>
      <w:jc w:val="center"/>
    </w:pPr>
    <w:rPr>
      <w:rFonts w:ascii="Arial" w:hAnsi="Arial"/>
      <w:vanish/>
      <w:sz w:val="16"/>
      <w:szCs w:val="16"/>
      <w:lang w:val="en-US" w:eastAsia="en-US"/>
    </w:rPr>
  </w:style>
  <w:style w:type="paragraph" w:styleId="1027" w:customStyle="1">
    <w:name w:val="msonormalcxspmiddle"/>
    <w:basedOn w:val="798"/>
    <w:pPr>
      <w:pBdr/>
      <w:spacing w:after="100" w:afterAutospacing="1" w:before="100" w:beforeAutospacing="1"/>
      <w:ind/>
    </w:pPr>
  </w:style>
  <w:style w:type="character" w:styleId="1028" w:customStyle="1">
    <w:name w:val="ConsPlusNormal Знак"/>
    <w:link w:val="1002"/>
    <w:pPr>
      <w:pBdr/>
      <w:spacing/>
      <w:ind/>
    </w:pPr>
    <w:rPr>
      <w:rFonts w:ascii="Calibri" w:hAnsi="Calibri"/>
      <w:sz w:val="24"/>
      <w:lang w:bidi="ar-SA"/>
    </w:rPr>
  </w:style>
  <w:style w:type="character" w:styleId="1029" w:customStyle="1">
    <w:name w:val="Текст выноски Знак"/>
    <w:link w:val="1010"/>
    <w:uiPriority w:val="99"/>
    <w:pPr>
      <w:pBdr/>
      <w:spacing/>
      <w:ind/>
    </w:pPr>
    <w:rPr>
      <w:rFonts w:ascii="Tahoma" w:hAnsi="Tahoma" w:cs="Tahoma"/>
      <w:sz w:val="16"/>
      <w:szCs w:val="16"/>
    </w:rPr>
  </w:style>
  <w:style w:type="character" w:styleId="1030" w:customStyle="1">
    <w:name w:val="value"/>
    <w:uiPriority w:val="99"/>
    <w:pPr>
      <w:pBdr/>
      <w:spacing/>
      <w:ind/>
    </w:pPr>
    <w:rPr>
      <w:rFonts w:cs="Times New Roman"/>
    </w:rPr>
  </w:style>
  <w:style w:type="character" w:styleId="1031" w:customStyle="1">
    <w:name w:val="Заголовок 1 Знак"/>
    <w:link w:val="799"/>
    <w:uiPriority w:val="9"/>
    <w:pPr>
      <w:pBdr/>
      <w:spacing/>
      <w:ind/>
    </w:pPr>
    <w:rPr>
      <w:rFonts w:ascii="Arial" w:hAnsi="Arial" w:cs="Arial"/>
      <w:b/>
      <w:bCs/>
      <w:sz w:val="32"/>
      <w:szCs w:val="32"/>
    </w:rPr>
  </w:style>
  <w:style w:type="character" w:styleId="1032" w:customStyle="1">
    <w:name w:val="Заголовок 3 Знак"/>
    <w:link w:val="801"/>
    <w:uiPriority w:val="9"/>
    <w:pPr>
      <w:pBdr/>
      <w:spacing/>
      <w:ind/>
    </w:pPr>
    <w:rPr>
      <w:rFonts w:ascii="Arial" w:hAnsi="Arial" w:eastAsia="Calibri" w:cs="Arial"/>
      <w:b/>
      <w:bCs/>
      <w:sz w:val="26"/>
      <w:szCs w:val="26"/>
    </w:rPr>
  </w:style>
  <w:style w:type="character" w:styleId="1033" w:customStyle="1">
    <w:name w:val="Заголовок 4 Знак"/>
    <w:link w:val="802"/>
    <w:pPr>
      <w:pBdr/>
      <w:spacing/>
      <w:ind/>
    </w:pPr>
    <w:rPr>
      <w:b/>
      <w:bCs/>
      <w:sz w:val="28"/>
      <w:szCs w:val="28"/>
    </w:rPr>
  </w:style>
  <w:style w:type="character" w:styleId="1034" w:customStyle="1">
    <w:name w:val="Основной текст Знак"/>
    <w:link w:val="998"/>
    <w:pPr>
      <w:pBdr/>
      <w:spacing/>
      <w:ind/>
    </w:pPr>
    <w:rPr>
      <w:sz w:val="24"/>
      <w:szCs w:val="24"/>
    </w:rPr>
  </w:style>
  <w:style w:type="character" w:styleId="1035" w:customStyle="1">
    <w:name w:val="z-Начало формы Знак"/>
    <w:link w:val="1025"/>
    <w:pPr>
      <w:pBdr/>
      <w:spacing/>
      <w:ind/>
    </w:pPr>
    <w:rPr>
      <w:rFonts w:ascii="Arial" w:hAnsi="Arial" w:cs="Arial"/>
      <w:vanish/>
      <w:sz w:val="16"/>
      <w:szCs w:val="16"/>
    </w:rPr>
  </w:style>
  <w:style w:type="character" w:styleId="1036" w:customStyle="1">
    <w:name w:val="z-Конец формы Знак"/>
    <w:link w:val="1026"/>
    <w:pPr>
      <w:pBdr/>
      <w:spacing/>
      <w:ind/>
    </w:pPr>
    <w:rPr>
      <w:rFonts w:ascii="Arial" w:hAnsi="Arial" w:cs="Arial"/>
      <w:vanish/>
      <w:sz w:val="16"/>
      <w:szCs w:val="16"/>
    </w:rPr>
  </w:style>
  <w:style w:type="paragraph" w:styleId="1037">
    <w:name w:val="List Bullet"/>
    <w:basedOn w:val="798"/>
    <w:pPr>
      <w:numPr>
        <w:numId w:val="3"/>
      </w:numPr>
      <w:pBdr/>
      <w:spacing/>
      <w:ind/>
      <w:contextualSpacing w:val="true"/>
    </w:pPr>
  </w:style>
  <w:style w:type="paragraph" w:styleId="1038">
    <w:name w:val="Header"/>
    <w:basedOn w:val="798"/>
    <w:link w:val="1039"/>
    <w:uiPriority w:val="99"/>
    <w:pPr>
      <w:pBdr/>
      <w:tabs>
        <w:tab w:val="center" w:leader="none" w:pos="4677"/>
        <w:tab w:val="right" w:leader="none" w:pos="9355"/>
      </w:tabs>
      <w:spacing/>
      <w:ind/>
    </w:pPr>
    <w:rPr>
      <w:lang w:val="en-US" w:eastAsia="en-US"/>
    </w:rPr>
  </w:style>
  <w:style w:type="character" w:styleId="1039" w:customStyle="1">
    <w:name w:val="Верхний колонтитул Знак"/>
    <w:link w:val="1038"/>
    <w:uiPriority w:val="99"/>
    <w:pPr>
      <w:pBdr/>
      <w:spacing/>
      <w:ind/>
    </w:pPr>
    <w:rPr>
      <w:sz w:val="24"/>
      <w:szCs w:val="24"/>
    </w:rPr>
  </w:style>
  <w:style w:type="paragraph" w:styleId="1040">
    <w:name w:val="Footer"/>
    <w:basedOn w:val="798"/>
    <w:link w:val="1041"/>
    <w:pPr>
      <w:pBdr/>
      <w:tabs>
        <w:tab w:val="center" w:leader="none" w:pos="4677"/>
        <w:tab w:val="right" w:leader="none" w:pos="9355"/>
      </w:tabs>
      <w:spacing/>
      <w:ind/>
    </w:pPr>
    <w:rPr>
      <w:lang w:val="en-US" w:eastAsia="en-US"/>
    </w:rPr>
  </w:style>
  <w:style w:type="character" w:styleId="1041" w:customStyle="1">
    <w:name w:val="Нижний колонтитул Знак"/>
    <w:link w:val="1040"/>
    <w:pPr>
      <w:pBdr/>
      <w:spacing/>
      <w:ind/>
    </w:pPr>
    <w:rPr>
      <w:sz w:val="24"/>
      <w:szCs w:val="24"/>
    </w:rPr>
  </w:style>
  <w:style w:type="character" w:styleId="1042" w:customStyle="1">
    <w:name w:val="Название Знак"/>
    <w:link w:val="950"/>
    <w:pPr>
      <w:pBdr/>
      <w:spacing/>
      <w:ind/>
    </w:pPr>
    <w:rPr>
      <w:b/>
      <w:sz w:val="28"/>
    </w:rPr>
  </w:style>
  <w:style w:type="character" w:styleId="1043" w:customStyle="1">
    <w:name w:val="Подзаголовок Знак"/>
    <w:link w:val="952"/>
    <w:pPr>
      <w:pBdr/>
      <w:spacing/>
      <w:ind/>
    </w:pPr>
    <w:rPr>
      <w:b/>
      <w:color w:val="000000"/>
      <w:sz w:val="16"/>
    </w:rPr>
  </w:style>
  <w:style w:type="character" w:styleId="1044" w:customStyle="1">
    <w:name w:val="apple-style-span"/>
    <w:basedOn w:val="804"/>
    <w:pPr>
      <w:pBdr/>
      <w:spacing/>
      <w:ind/>
    </w:pPr>
  </w:style>
  <w:style w:type="character" w:styleId="1045" w:customStyle="1">
    <w:name w:val="Заголовок 2 Знак"/>
    <w:link w:val="800"/>
    <w:uiPriority w:val="9"/>
    <w:pPr>
      <w:pBdr/>
      <w:spacing/>
      <w:ind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1046" w:customStyle="1">
    <w:name w:val="Контракт-пункт"/>
    <w:basedOn w:val="798"/>
    <w:link w:val="1048"/>
    <w:uiPriority w:val="99"/>
    <w:pPr>
      <w:numPr>
        <w:ilvl w:val="1"/>
        <w:numId w:val="1"/>
      </w:numPr>
      <w:pBdr/>
      <w:tabs>
        <w:tab w:val="num" w:leader="none" w:pos="851"/>
      </w:tabs>
      <w:spacing/>
      <w:ind w:hanging="851" w:left="851"/>
      <w:jc w:val="both"/>
    </w:pPr>
    <w:rPr>
      <w:rFonts w:ascii="Calibri" w:hAnsi="Calibri" w:eastAsia="Calibri"/>
      <w:szCs w:val="20"/>
      <w:lang w:val="en-US" w:eastAsia="en-US"/>
    </w:rPr>
  </w:style>
  <w:style w:type="paragraph" w:styleId="1047" w:customStyle="1">
    <w:name w:val="Контракт-подподпункт"/>
    <w:basedOn w:val="798"/>
    <w:uiPriority w:val="99"/>
    <w:pPr>
      <w:numPr>
        <w:numId w:val="4"/>
      </w:numPr>
      <w:pBdr/>
      <w:tabs>
        <w:tab w:val="clear" w:leader="none" w:pos="360"/>
        <w:tab w:val="num" w:leader="none" w:pos="1418"/>
      </w:tabs>
      <w:spacing/>
      <w:ind w:hanging="567" w:left="1418"/>
      <w:jc w:val="both"/>
    </w:pPr>
  </w:style>
  <w:style w:type="character" w:styleId="1048" w:customStyle="1">
    <w:name w:val="Контракт-пункт Знак"/>
    <w:link w:val="1046"/>
    <w:uiPriority w:val="99"/>
    <w:pPr>
      <w:pBdr/>
      <w:spacing/>
      <w:ind/>
    </w:pPr>
    <w:rPr>
      <w:rFonts w:ascii="Calibri" w:hAnsi="Calibri" w:eastAsia="Calibri"/>
      <w:sz w:val="24"/>
      <w:lang w:eastAsia="en-US"/>
    </w:rPr>
  </w:style>
  <w:style w:type="character" w:styleId="1049" w:customStyle="1">
    <w:name w:val="Заголовок 6 Знак"/>
    <w:link w:val="803"/>
    <w:pPr>
      <w:pBdr/>
      <w:spacing/>
      <w:ind/>
    </w:pPr>
    <w:rPr>
      <w:rFonts w:ascii="Calibri" w:hAnsi="Calibri" w:eastAsia="Times New Roman" w:cs="Times New Roman"/>
      <w:b/>
      <w:bCs/>
      <w:sz w:val="22"/>
      <w:szCs w:val="22"/>
    </w:rPr>
  </w:style>
  <w:style w:type="character" w:styleId="1050" w:customStyle="1">
    <w:name w:val="Абзац списка Знак"/>
    <w:link w:val="1011"/>
    <w:uiPriority w:val="34"/>
    <w:qFormat/>
    <w:pPr>
      <w:pBdr/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1051" w:customStyle="1">
    <w:name w:val="Без интервала Знак"/>
    <w:link w:val="1023"/>
    <w:uiPriority w:val="1"/>
    <w:pPr>
      <w:pBdr/>
      <w:spacing/>
      <w:ind/>
    </w:pPr>
    <w:rPr>
      <w:sz w:val="24"/>
      <w:szCs w:val="24"/>
      <w:lang w:bidi="ar-SA"/>
    </w:rPr>
  </w:style>
  <w:style w:type="paragraph" w:styleId="1052" w:customStyle="1">
    <w:name w:val="Обычный1"/>
    <w:qFormat/>
    <w:pPr>
      <w:widowControl w:val="false"/>
      <w:pBdr/>
      <w:tabs>
        <w:tab w:val="left" w:leader="none" w:pos="709"/>
      </w:tabs>
      <w:spacing/>
      <w:ind/>
    </w:pPr>
    <w:rPr>
      <w:rFonts w:cs="Lohit Hindi"/>
      <w:color w:val="00000a"/>
      <w:sz w:val="24"/>
      <w:szCs w:val="24"/>
      <w:lang w:bidi="hi-IN"/>
    </w:rPr>
  </w:style>
  <w:style w:type="paragraph" w:styleId="1053" w:customStyle="1">
    <w:name w:val="Без интервала1"/>
    <w:next w:val="1023"/>
    <w:uiPriority w:val="1"/>
    <w:qFormat/>
    <w:pPr>
      <w:pBdr/>
      <w:spacing/>
      <w:ind/>
    </w:pPr>
    <w:rPr>
      <w:rFonts w:ascii="Calibri" w:hAnsi="Calibri"/>
      <w:sz w:val="22"/>
      <w:szCs w:val="22"/>
      <w:lang w:eastAsia="ru-RU"/>
    </w:rPr>
  </w:style>
  <w:style w:type="paragraph" w:styleId="1054" w:customStyle="1">
    <w:name w:val="111"/>
    <w:basedOn w:val="798"/>
    <w:link w:val="1055"/>
    <w:qFormat/>
    <w:pPr>
      <w:pBdr/>
      <w:spacing/>
      <w:ind/>
    </w:pPr>
    <w:rPr>
      <w:sz w:val="20"/>
      <w:szCs w:val="20"/>
    </w:rPr>
  </w:style>
  <w:style w:type="character" w:styleId="1055" w:customStyle="1">
    <w:name w:val="111 Знак"/>
    <w:basedOn w:val="804"/>
    <w:link w:val="1054"/>
    <w:pPr>
      <w:pBdr/>
      <w:spacing/>
      <w:ind/>
    </w:pPr>
  </w:style>
  <w:style w:type="paragraph" w:styleId="1056" w:customStyle="1">
    <w:name w:val="Standard"/>
    <w:qFormat/>
    <w:pPr>
      <w:pBdr/>
      <w:spacing/>
      <w:ind/>
    </w:pPr>
    <w:rPr>
      <w:rFonts w:ascii="Liberation Serif" w:hAnsi="Liberation Serif" w:eastAsia="SimSun" w:cs="Mangal"/>
      <w:sz w:val="24"/>
      <w:szCs w:val="24"/>
      <w:lang w:bidi="hi-IN"/>
    </w:rPr>
  </w:style>
  <w:style w:type="character" w:styleId="1057" w:customStyle="1">
    <w:name w:val="cardmaininfo__title"/>
    <w:basedOn w:val="804"/>
    <w:pPr>
      <w:pBdr/>
      <w:spacing/>
      <w:ind/>
    </w:pPr>
  </w:style>
  <w:style w:type="character" w:styleId="1058" w:customStyle="1">
    <w:name w:val="cardmaininfo__content"/>
    <w:basedOn w:val="804"/>
    <w:pPr>
      <w:pBdr/>
      <w:spacing/>
      <w:ind/>
    </w:pPr>
  </w:style>
  <w:style w:type="character" w:styleId="1059" w:customStyle="1">
    <w:name w:val="Основной шрифт абзаца1"/>
    <w:pPr>
      <w:pBdr/>
      <w:spacing/>
      <w:ind/>
    </w:pPr>
  </w:style>
  <w:style w:type="paragraph" w:styleId="1060" w:customStyle="1">
    <w:name w:val="Текст выноски1"/>
    <w:basedOn w:val="798"/>
    <w:pPr>
      <w:pBdr/>
      <w:spacing/>
      <w:ind/>
    </w:pPr>
    <w:rPr>
      <w:rFonts w:ascii="Tahoma" w:hAnsi="Tahoma" w:cs="Tahoma"/>
      <w:sz w:val="16"/>
      <w:szCs w:val="16"/>
    </w:rPr>
  </w:style>
  <w:style w:type="paragraph" w:styleId="1061" w:customStyle="1">
    <w:name w:val="Абзац списка1"/>
    <w:basedOn w:val="798"/>
    <w:pPr>
      <w:pBdr/>
      <w:spacing/>
      <w:ind w:left="720"/>
      <w:contextualSpacing w:val="true"/>
    </w:pPr>
  </w:style>
  <w:style w:type="character" w:styleId="1062" w:customStyle="1">
    <w:name w:val="copy_title"/>
    <w:basedOn w:val="804"/>
    <w:pPr>
      <w:pBdr/>
      <w:spacing/>
      <w:ind/>
    </w:pPr>
  </w:style>
  <w:style w:type="character" w:styleId="1063">
    <w:name w:val="annotation reference"/>
    <w:uiPriority w:val="99"/>
    <w:pPr>
      <w:pBdr/>
      <w:spacing/>
      <w:ind/>
    </w:pPr>
    <w:rPr>
      <w:rFonts w:cs="Times New Roman"/>
      <w:sz w:val="16"/>
      <w:szCs w:val="16"/>
    </w:rPr>
  </w:style>
  <w:style w:type="paragraph" w:styleId="1064">
    <w:name w:val="annotation text"/>
    <w:basedOn w:val="798"/>
    <w:link w:val="1065"/>
    <w:uiPriority w:val="99"/>
    <w:pPr>
      <w:pBdr/>
      <w:spacing/>
      <w:ind/>
    </w:pPr>
    <w:rPr>
      <w:sz w:val="20"/>
      <w:szCs w:val="20"/>
    </w:rPr>
  </w:style>
  <w:style w:type="character" w:styleId="1065" w:customStyle="1">
    <w:name w:val="Текст примечания Знак"/>
    <w:basedOn w:val="804"/>
    <w:link w:val="1064"/>
    <w:uiPriority w:val="99"/>
    <w:pPr>
      <w:pBdr/>
      <w:spacing/>
      <w:ind/>
    </w:pPr>
  </w:style>
  <w:style w:type="paragraph" w:styleId="1066">
    <w:name w:val="annotation subject"/>
    <w:basedOn w:val="1064"/>
    <w:next w:val="1064"/>
    <w:link w:val="1067"/>
    <w:uiPriority w:val="99"/>
    <w:pPr>
      <w:pBdr/>
      <w:spacing/>
      <w:ind/>
    </w:pPr>
    <w:rPr>
      <w:b/>
      <w:bCs/>
      <w:lang w:val="en-US" w:eastAsia="en-US"/>
    </w:rPr>
  </w:style>
  <w:style w:type="character" w:styleId="1067" w:customStyle="1">
    <w:name w:val="Тема примечания Знак"/>
    <w:link w:val="1066"/>
    <w:uiPriority w:val="99"/>
    <w:pPr>
      <w:pBdr/>
      <w:spacing/>
      <w:ind/>
    </w:pPr>
    <w:rPr>
      <w:b/>
      <w:bCs/>
    </w:rPr>
  </w:style>
  <w:style w:type="character" w:styleId="1068" w:customStyle="1">
    <w:name w:val="st"/>
    <w:uiPriority w:val="99"/>
    <w:pPr>
      <w:pBdr/>
      <w:spacing/>
      <w:ind/>
    </w:pPr>
    <w:rPr>
      <w:rFonts w:cs="Times New Roman"/>
    </w:rPr>
  </w:style>
  <w:style w:type="character" w:styleId="1069" w:customStyle="1">
    <w:name w:val="c-gruppedprops__prop-value"/>
    <w:basedOn w:val="804"/>
    <w:pPr>
      <w:pBdr/>
      <w:spacing/>
      <w:ind/>
    </w:pPr>
  </w:style>
  <w:style w:type="character" w:styleId="1070" w:customStyle="1">
    <w:name w:val="fn"/>
    <w:basedOn w:val="804"/>
    <w:pPr>
      <w:pBdr/>
      <w:spacing/>
      <w:ind/>
    </w:pPr>
  </w:style>
  <w:style w:type="character" w:styleId="1071" w:customStyle="1">
    <w:name w:val="b-col"/>
    <w:basedOn w:val="804"/>
    <w:pPr>
      <w:pBdr/>
      <w:spacing/>
      <w:ind/>
    </w:pPr>
  </w:style>
  <w:style w:type="character" w:styleId="1072" w:customStyle="1">
    <w:name w:val="Заголовок 1 Знак1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73" w:customStyle="1">
    <w:name w:val="prod_char_name"/>
    <w:basedOn w:val="804"/>
    <w:pPr>
      <w:pBdr/>
      <w:spacing/>
      <w:ind/>
    </w:pPr>
  </w:style>
  <w:style w:type="character" w:styleId="1074" w:customStyle="1">
    <w:name w:val="left"/>
    <w:basedOn w:val="804"/>
    <w:pPr>
      <w:pBdr/>
      <w:spacing/>
      <w:ind/>
    </w:pPr>
  </w:style>
  <w:style w:type="character" w:styleId="1075" w:customStyle="1">
    <w:name w:val="right"/>
    <w:basedOn w:val="804"/>
    <w:pPr>
      <w:pBdr/>
      <w:spacing/>
      <w:ind/>
    </w:pPr>
  </w:style>
  <w:style w:type="character" w:styleId="1076" w:customStyle="1">
    <w:name w:val="itempage__params-item-value"/>
    <w:basedOn w:val="804"/>
    <w:pPr>
      <w:pBdr/>
      <w:spacing/>
      <w:ind/>
    </w:pPr>
  </w:style>
  <w:style w:type="character" w:styleId="1077" w:customStyle="1">
    <w:name w:val="section__info"/>
    <w:basedOn w:val="804"/>
    <w:pPr>
      <w:pBdr/>
      <w:spacing/>
      <w:ind/>
    </w:pPr>
  </w:style>
  <w:style w:type="character" w:styleId="1078" w:customStyle="1">
    <w:name w:val="lots-wrap-content__body__val"/>
    <w:basedOn w:val="804"/>
    <w:pPr>
      <w:pBdr/>
      <w:spacing/>
      <w:ind/>
    </w:pPr>
  </w:style>
  <w:style w:type="character" w:styleId="1079" w:customStyle="1">
    <w:name w:val="cardmaininfo__purchaselink"/>
    <w:basedOn w:val="804"/>
    <w:pPr>
      <w:pBdr/>
      <w:spacing/>
      <w:ind/>
    </w:pPr>
  </w:style>
  <w:style w:type="character" w:styleId="1080" w:customStyle="1">
    <w:name w:val="textaccordion"/>
    <w:basedOn w:val="804"/>
    <w:pPr>
      <w:pBdr/>
      <w:spacing/>
      <w:ind/>
    </w:pPr>
  </w:style>
  <w:style w:type="character" w:styleId="1081" w:customStyle="1">
    <w:name w:val="copy_target"/>
    <w:basedOn w:val="804"/>
    <w:pPr>
      <w:pBdr/>
      <w:spacing/>
      <w:ind/>
    </w:pPr>
  </w:style>
  <w:style w:type="paragraph" w:styleId="1082" w:customStyle="1">
    <w:name w:val="222"/>
    <w:basedOn w:val="798"/>
    <w:qFormat/>
    <w:pPr>
      <w:pBdr/>
      <w:spacing/>
      <w:ind w:left="851"/>
    </w:pPr>
    <w:rPr>
      <w:sz w:val="20"/>
      <w:szCs w:val="20"/>
    </w:rPr>
  </w:style>
  <w:style w:type="paragraph" w:styleId="1083" w:customStyle="1">
    <w:name w:val="122"/>
    <w:basedOn w:val="798"/>
    <w:pPr>
      <w:pBdr/>
      <w:spacing/>
      <w:ind w:hanging="851" w:left="851"/>
    </w:pPr>
    <w:rPr>
      <w:sz w:val="20"/>
      <w:szCs w:val="20"/>
    </w:rPr>
  </w:style>
  <w:style w:type="paragraph" w:styleId="1084" w:customStyle="1">
    <w:name w:val="Содержимое таблицы"/>
    <w:basedOn w:val="798"/>
    <w:pPr>
      <w:widowControl w:val="false"/>
      <w:suppressLineNumbers w:val="true"/>
      <w:pBdr/>
      <w:spacing/>
      <w:ind/>
    </w:pPr>
    <w:rPr>
      <w:rFonts w:eastAsia="Lucida Sans Unicode" w:cs="Tahoma"/>
      <w:lang w:eastAsia="hi-IN" w:bidi="hi-IN"/>
    </w:rPr>
  </w:style>
  <w:style w:type="paragraph" w:styleId="1085" w:customStyle="1">
    <w:name w:val="Заголовок таблицы"/>
    <w:basedOn w:val="1084"/>
    <w:pPr>
      <w:pBdr/>
      <w:spacing/>
      <w:ind/>
      <w:jc w:val="center"/>
    </w:pPr>
    <w:rPr>
      <w:b/>
      <w:bCs/>
    </w:rPr>
  </w:style>
  <w:style w:type="character" w:styleId="1086" w:customStyle="1">
    <w:name w:val="pinkbg1"/>
    <w:pPr>
      <w:pBdr/>
      <w:spacing/>
      <w:ind/>
    </w:pPr>
    <w:rPr>
      <w:shd w:val="clear" w:color="auto" w:fill="fdd7c9"/>
    </w:rPr>
  </w:style>
  <w:style w:type="paragraph" w:styleId="1087" w:customStyle="1">
    <w:name w:val="Знак Знак Знак Знак"/>
    <w:basedOn w:val="798"/>
    <w:pPr>
      <w:pBdr/>
      <w:spacing w:after="100" w:afterAutospacing="1" w:before="100" w:beforeAutospacing="1"/>
      <w:ind/>
    </w:pPr>
    <w:rPr>
      <w:rFonts w:ascii="Tahoma" w:hAnsi="Tahoma"/>
      <w:sz w:val="20"/>
      <w:szCs w:val="20"/>
      <w:lang w:val="en-US" w:eastAsia="en-US"/>
    </w:rPr>
  </w:style>
  <w:style w:type="character" w:styleId="1088" w:customStyle="1">
    <w:name w:val="apple-converted-space"/>
    <w:basedOn w:val="804"/>
    <w:pPr>
      <w:pBdr/>
      <w:spacing/>
      <w:ind/>
    </w:pPr>
  </w:style>
  <w:style w:type="paragraph" w:styleId="1089" w:customStyle="1">
    <w:name w:val="Default"/>
    <w:pPr>
      <w:pBdr/>
      <w:spacing/>
      <w:ind/>
    </w:pPr>
    <w:rPr>
      <w:rFonts w:ascii="Arial" w:hAnsi="Arial" w:eastAsia="Calibri" w:cs="Arial"/>
      <w:color w:val="000000"/>
      <w:sz w:val="24"/>
      <w:szCs w:val="24"/>
      <w:lang w:eastAsia="ru-RU"/>
    </w:rPr>
  </w:style>
  <w:style w:type="paragraph" w:styleId="1090">
    <w:name w:val="Document Map"/>
    <w:basedOn w:val="798"/>
    <w:link w:val="1091"/>
    <w:uiPriority w:val="99"/>
    <w:pPr>
      <w:pBdr/>
      <w:spacing/>
      <w:ind/>
    </w:pPr>
    <w:rPr>
      <w:rFonts w:ascii="Tahoma" w:hAnsi="Tahoma"/>
      <w:sz w:val="16"/>
      <w:szCs w:val="16"/>
      <w:lang w:val="en-US" w:eastAsia="en-US"/>
    </w:rPr>
  </w:style>
  <w:style w:type="character" w:styleId="1091" w:customStyle="1">
    <w:name w:val="Схема документа Знак"/>
    <w:link w:val="1090"/>
    <w:uiPriority w:val="99"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zakupki.gov.ru/epz/orderplan/pg2020/specialPurchase/special-purchase-info.html?plan-number=202603221000038001&amp;position-number=202603221000038001000006&amp;version=0" TargetMode="External"/><Relationship Id="rId10" Type="http://schemas.openxmlformats.org/officeDocument/2006/relationships/hyperlink" Target="https://login.consultant.ru/link/?req=doc&amp;base=RZB&amp;n=465243&amp;dst=1668" TargetMode="External"/><Relationship Id="rId11" Type="http://schemas.openxmlformats.org/officeDocument/2006/relationships/hyperlink" Target="https://login.consultant.ru/link/?req=doc&amp;base=RZB&amp;n=465243&amp;dst=1668" TargetMode="External"/><Relationship Id="rId12" Type="http://schemas.openxmlformats.org/officeDocument/2006/relationships/hyperlink" Target="https://login.consultant.ru/link/?req=doc&amp;base=RZB&amp;n=465243&amp;dst=1668" TargetMode="External"/><Relationship Id="rId13" Type="http://schemas.openxmlformats.org/officeDocument/2006/relationships/hyperlink" Target="https://login.consultant.ru/link/?req=doc&amp;base=RZB&amp;n=465243&amp;dst=1668" TargetMode="External"/><Relationship Id="rId14" Type="http://schemas.openxmlformats.org/officeDocument/2006/relationships/hyperlink" Target="consultantplus://offline/ref=E905B4E6CBBADE0EE52117383EC529A589BC0A56EF66F201042ABE1112J6z3D" TargetMode="External"/><Relationship Id="rId15" Type="http://schemas.openxmlformats.org/officeDocument/2006/relationships/hyperlink" Target="consultantplus://offline/ref=E905B4E6CBBADE0EE52117383EC529A58ABA015CEB6EF201042ABE1112J6z3D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16</dc:title>
  <dc:creator>snab</dc:creator>
  <cp:revision>41</cp:revision>
  <dcterms:created xsi:type="dcterms:W3CDTF">2025-12-07T23:34:00Z</dcterms:created>
  <dcterms:modified xsi:type="dcterms:W3CDTF">2026-03-19T23:56:38Z</dcterms:modified>
  <cp:version>983040</cp:version>
</cp:coreProperties>
</file>