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1"/>
        <w:jc w:val="center"/>
        <w:rPr>
          <w:rFonts w:ascii="Times New Roman" w:hAnsi="Times New Roman" w:cs="Times New Roman"/>
          <w:b/>
          <w:highlight w:val="none"/>
        </w:rPr>
      </w:pPr>
      <w:r>
        <w:rPr>
          <w:rFonts w:ascii="Times New Roman" w:hAnsi="Times New Roman" w:cs="Times New Roman"/>
          <w:b/>
          <w:highlight w:val="none"/>
        </w:rPr>
        <w:t xml:space="preserve">КОНТРАКТ № ________________</w:t>
      </w: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</w:r>
    </w:p>
    <w:p>
      <w:pPr>
        <w:contextualSpacing/>
        <w:ind w:firstLine="709"/>
        <w:jc w:val="both"/>
        <w:keepLines/>
        <w:keepNext/>
        <w:spacing w:line="240" w:lineRule="auto"/>
        <w:rPr>
          <w:sz w:val="21"/>
          <w:szCs w:val="21"/>
          <w:highlight w:val="none"/>
        </w:rPr>
        <w:suppressLineNumbers/>
      </w:pPr>
      <w:r>
        <w:rPr>
          <w:sz w:val="21"/>
          <w:szCs w:val="21"/>
          <w:highlight w:val="none"/>
        </w:rPr>
        <w:t xml:space="preserve">Услуги по организации проезда и проживания участников научно-исследовательской международной этнографической экспедиции «Большой Алтай: тюркское наследие – 2026»  ФГБОУ </w:t>
      </w:r>
      <w:r>
        <w:rPr>
          <w:sz w:val="21"/>
          <w:szCs w:val="21"/>
          <w:highlight w:val="none"/>
        </w:rPr>
        <w:t xml:space="preserve">ВО</w:t>
      </w:r>
      <w:r>
        <w:rPr>
          <w:sz w:val="21"/>
          <w:szCs w:val="21"/>
          <w:highlight w:val="none"/>
        </w:rPr>
        <w:t xml:space="preserve"> «Алтайский государственный университет»  в рамках реализации Года единства народов России и развития научных исследований и международного сотрудничества в области </w:t>
      </w:r>
      <w:r>
        <w:rPr>
          <w:sz w:val="21"/>
          <w:szCs w:val="21"/>
          <w:highlight w:val="none"/>
        </w:rPr>
        <w:t xml:space="preserve">алтаистики</w:t>
      </w:r>
      <w:r>
        <w:rPr>
          <w:sz w:val="21"/>
          <w:szCs w:val="21"/>
          <w:highlight w:val="none"/>
        </w:rPr>
        <w:t xml:space="preserve"> и тюркологии и реализации пункта №1 «Проектирование и проведение международных конференций, круглых столов для обобщения, систематизации и популяризации историко-культурного населения тюркской цивилизации </w:t>
      </w:r>
      <w:r>
        <w:rPr>
          <w:sz w:val="21"/>
          <w:szCs w:val="21"/>
          <w:highlight w:val="none"/>
        </w:rPr>
        <w:t xml:space="preserve">с участием университетов и академических структур стран Большого Алтая и </w:t>
      </w:r>
      <w:r>
        <w:rPr>
          <w:sz w:val="21"/>
          <w:szCs w:val="21"/>
          <w:highlight w:val="none"/>
        </w:rPr>
        <w:t xml:space="preserve">Центральной Азии» (Паспорт проекта (реестровый номер - 850000Ф.99.1.БН66АА04000) «Научно-экспертная и организационно-методическая работа по обеспечению мероприятия проекта "Тюркский мир "Большого Алтая": единство и многообразие в истории и современности"».</w:t>
      </w:r>
      <w:r>
        <w:rPr>
          <w:sz w:val="21"/>
          <w:szCs w:val="21"/>
          <w:highlight w:val="none"/>
        </w:rPr>
      </w:r>
      <w:r>
        <w:rPr>
          <w:sz w:val="21"/>
          <w:szCs w:val="21"/>
          <w:highlight w:val="none"/>
        </w:rPr>
      </w:r>
    </w:p>
    <w:p>
      <w:pPr>
        <w:pStyle w:val="921"/>
        <w:jc w:val="both"/>
        <w:tabs>
          <w:tab w:val="left" w:pos="701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line="240" w:lineRule="auto"/>
        <w:rPr>
          <w:sz w:val="22"/>
          <w:szCs w:val="22"/>
          <w:highlight w:val="none"/>
        </w:rPr>
      </w:pPr>
      <w:r>
        <w:rPr>
          <w:highlight w:val="none"/>
        </w:rPr>
        <w:t xml:space="preserve">ИКЗ</w:t>
      </w:r>
      <w:r>
        <w:rPr>
          <w:highlight w:val="none"/>
        </w:rPr>
        <w:t xml:space="preserve"> № </w:t>
      </w:r>
      <w:r>
        <w:rPr>
          <w:highlight w:val="none"/>
        </w:rPr>
        <w:t xml:space="preserve">26 1 2225004738 222501001 0042 0</w:t>
      </w:r>
      <w:r>
        <w:rPr>
          <w:highlight w:val="none"/>
        </w:rPr>
        <w:t xml:space="preserve">60</w:t>
      </w:r>
      <w:r>
        <w:rPr>
          <w:highlight w:val="none"/>
        </w:rPr>
        <w:t xml:space="preserve"> 0000 000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2"/>
        <w:ind w:firstLine="0"/>
        <w:spacing w:line="24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12"/>
        <w:ind w:firstLine="0"/>
        <w:spacing w:line="240" w:lineRule="auto"/>
        <w:rPr>
          <w:rFonts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г. Барнаул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highlight w:val="none"/>
        </w:rPr>
        <w:tab/>
        <w:t xml:space="preserve">                          «___»  ______________202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6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 года</w:t>
      </w:r>
      <w:r>
        <w:rPr>
          <w:rFonts w:cs="Times New Roman"/>
          <w:sz w:val="22"/>
          <w:szCs w:val="22"/>
          <w:highlight w:val="none"/>
        </w:rPr>
      </w:r>
      <w:r>
        <w:rPr>
          <w:rFonts w:cs="Times New Roman"/>
          <w:sz w:val="22"/>
          <w:szCs w:val="22"/>
          <w:highlight w:val="none"/>
        </w:rPr>
      </w:r>
    </w:p>
    <w:p>
      <w:pPr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Федеральное государственное бюджетное образовательное учреждение высшего образования «Алтайский государственный университет», именуемое в дальнейшем «Заказчик», в лице </w:t>
      </w:r>
      <w:r>
        <w:rPr>
          <w:rFonts w:ascii="Times New Roman" w:hAnsi="Times New Roman" w:cs="Times New Roman"/>
          <w:highlight w:val="none"/>
          <w:lang w:eastAsia="ru-RU"/>
        </w:rPr>
        <w:t xml:space="preserve">ректора </w:t>
      </w:r>
      <w:r>
        <w:rPr>
          <w:rFonts w:ascii="Times New Roman" w:hAnsi="Times New Roman" w:cs="Times New Roman"/>
          <w:highlight w:val="none"/>
          <w:lang w:eastAsia="ru-RU"/>
        </w:rPr>
        <w:t xml:space="preserve">Бочарова</w:t>
      </w:r>
      <w:r>
        <w:rPr>
          <w:rFonts w:ascii="Times New Roman" w:hAnsi="Times New Roman" w:cs="Times New Roman"/>
          <w:highlight w:val="none"/>
          <w:lang w:eastAsia="ru-RU"/>
        </w:rPr>
        <w:t xml:space="preserve"> Сергея Николаевича, действующего на основании Устава</w:t>
      </w:r>
      <w:r>
        <w:rPr>
          <w:rFonts w:ascii="Times New Roman" w:hAnsi="Times New Roman" w:cs="Times New Roman"/>
          <w:highlight w:val="none"/>
        </w:rPr>
        <w:t xml:space="preserve">, с одной стороны, и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________________________, именуемый в </w:t>
      </w:r>
      <w:r>
        <w:rPr>
          <w:rFonts w:ascii="Times New Roman" w:hAnsi="Times New Roman" w:cs="Times New Roman"/>
          <w:highlight w:val="none"/>
        </w:rPr>
        <w:t xml:space="preserve">дальнейшем</w:t>
      </w:r>
      <w:r>
        <w:rPr>
          <w:rFonts w:ascii="Times New Roman" w:hAnsi="Times New Roman" w:cs="Times New Roman"/>
          <w:highlight w:val="none"/>
        </w:rPr>
        <w:t xml:space="preserve"> «Исполнитель», в лице ______________________, действующей на основании __________________, с другой стороны, в дальнейшем вместе именуемые «Стороны»,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на основании пункта 5 части 1 статьи 93 Федерального закона № 44-ФЗ от 05 апреля 2013 г. «О контрактной системе в сфере закупок товаров, работ, услуг для обеспечения государственных и муниципальных нужд» (заявка Z-2</w:t>
      </w:r>
      <w:r>
        <w:rPr>
          <w:rFonts w:ascii="Times New Roman" w:hAnsi="Times New Roman" w:cs="Times New Roman"/>
          <w:highlight w:val="none"/>
        </w:rPr>
        <w:t xml:space="preserve">6</w:t>
      </w:r>
      <w:r>
        <w:rPr>
          <w:rFonts w:ascii="Times New Roman" w:hAnsi="Times New Roman" w:cs="Times New Roman"/>
          <w:highlight w:val="none"/>
        </w:rPr>
        <w:t xml:space="preserve">-</w:t>
      </w:r>
      <w:r>
        <w:rPr>
          <w:rFonts w:ascii="Times New Roman" w:hAnsi="Times New Roman" w:cs="Times New Roman"/>
          <w:highlight w:val="none"/>
        </w:rPr>
        <w:t xml:space="preserve">0</w:t>
      </w:r>
      <w:r>
        <w:rPr>
          <w:rFonts w:ascii="Times New Roman" w:hAnsi="Times New Roman" w:cs="Times New Roman"/>
          <w:highlight w:val="none"/>
        </w:rPr>
        <w:t xml:space="preserve">1</w:t>
      </w:r>
      <w:r>
        <w:rPr>
          <w:rFonts w:ascii="Times New Roman" w:hAnsi="Times New Roman" w:cs="Times New Roman"/>
          <w:highlight w:val="none"/>
        </w:rPr>
        <w:t xml:space="preserve">361</w:t>
      </w:r>
      <w:r>
        <w:rPr>
          <w:rFonts w:ascii="Times New Roman" w:hAnsi="Times New Roman" w:cs="Times New Roman"/>
          <w:highlight w:val="none"/>
        </w:rPr>
        <w:t xml:space="preserve">), заключили настоящий Контракт</w:t>
      </w:r>
      <w:r>
        <w:rPr>
          <w:rFonts w:ascii="Times New Roman" w:hAnsi="Times New Roman" w:cs="Times New Roman"/>
          <w:highlight w:val="none"/>
        </w:rPr>
        <w:t xml:space="preserve">,</w:t>
      </w:r>
      <w:r>
        <w:rPr>
          <w:rFonts w:ascii="Times New Roman" w:hAnsi="Times New Roman" w:cs="Times New Roman"/>
          <w:highlight w:val="none"/>
        </w:rPr>
        <w:t xml:space="preserve"> (далее – Контракт) о нижеследующем: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8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856"/>
        <w:numPr>
          <w:ilvl w:val="0"/>
          <w:numId w:val="0"/>
        </w:numPr>
        <w:ind w:firstLine="567"/>
        <w:jc w:val="center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1. Предмет Контракта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1.1. Исполнитель обязуется по заданию Заказчика оказать </w:t>
      </w:r>
      <w:r>
        <w:rPr>
          <w:sz w:val="22"/>
          <w:szCs w:val="22"/>
          <w:highlight w:val="none"/>
        </w:rPr>
        <w:t xml:space="preserve">услуг</w:t>
      </w:r>
      <w:r>
        <w:rPr>
          <w:sz w:val="22"/>
          <w:szCs w:val="22"/>
          <w:highlight w:val="none"/>
        </w:rPr>
        <w:t xml:space="preserve">и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  <w:t xml:space="preserve">по организации проезда и проживания участников научно-исследовательской международной этнографической экспедиции «Большой Алтай: тюркское наследие – 2026»  ФГБОУ </w:t>
      </w:r>
      <w:r>
        <w:rPr>
          <w:sz w:val="22"/>
          <w:szCs w:val="22"/>
          <w:highlight w:val="none"/>
        </w:rPr>
        <w:t xml:space="preserve">ВО</w:t>
      </w:r>
      <w:r>
        <w:rPr>
          <w:sz w:val="22"/>
          <w:szCs w:val="22"/>
          <w:highlight w:val="none"/>
        </w:rPr>
        <w:t xml:space="preserve"> «Алтайский государственный университет»  в рамках реализации Года единства народов России и развития научных исследований и международного сотрудничества в области </w:t>
      </w:r>
      <w:r>
        <w:rPr>
          <w:sz w:val="22"/>
          <w:szCs w:val="22"/>
          <w:highlight w:val="none"/>
        </w:rPr>
        <w:t xml:space="preserve">алтаистики</w:t>
      </w:r>
      <w:r>
        <w:rPr>
          <w:sz w:val="22"/>
          <w:szCs w:val="22"/>
          <w:highlight w:val="none"/>
        </w:rPr>
        <w:t xml:space="preserve"> и тюркологии и реализации пункта №1 «Проектирование и проведение международных конференций, круглых столов для обобщения, систематизации </w:t>
      </w:r>
      <w:r>
        <w:rPr>
          <w:sz w:val="22"/>
          <w:szCs w:val="22"/>
          <w:highlight w:val="none"/>
        </w:rPr>
        <w:t xml:space="preserve">и популяризации историко-культурного населения тюркской цивилизации с участием университетов и академических структур стран Большого Алтая и</w:t>
      </w:r>
      <w:r>
        <w:rPr>
          <w:sz w:val="22"/>
          <w:szCs w:val="22"/>
          <w:highlight w:val="none"/>
        </w:rPr>
        <w:t xml:space="preserve"> Центральной Азии» (Паспорт проекта (реестровый номер - 850000Ф.99.1.БН66АА04000) «Научно-экспертная и организационно-методическая работа по обеспечению мероприятия проекта "Тюркский мир "Большого Алтая": единство и многообразие в истории и современности"»</w:t>
      </w:r>
      <w:r>
        <w:rPr>
          <w:sz w:val="22"/>
          <w:szCs w:val="22"/>
          <w:highlight w:val="none"/>
        </w:rPr>
        <w:t xml:space="preserve">, </w:t>
      </w:r>
      <w:r>
        <w:rPr>
          <w:sz w:val="22"/>
          <w:szCs w:val="22"/>
          <w:highlight w:val="none"/>
        </w:rPr>
        <w:t xml:space="preserve">(</w:t>
      </w:r>
      <w:r>
        <w:rPr>
          <w:sz w:val="22"/>
          <w:szCs w:val="22"/>
          <w:highlight w:val="none"/>
        </w:rPr>
        <w:t xml:space="preserve">далее - Услуга), а Заказчик принять и оплатить оказанные </w:t>
      </w:r>
      <w:r>
        <w:rPr>
          <w:sz w:val="22"/>
          <w:szCs w:val="22"/>
          <w:highlight w:val="none"/>
        </w:rPr>
        <w:t xml:space="preserve">У</w:t>
      </w:r>
      <w:r>
        <w:rPr>
          <w:sz w:val="22"/>
          <w:szCs w:val="22"/>
          <w:highlight w:val="none"/>
        </w:rPr>
        <w:t xml:space="preserve">слуги в соответствии с условиями Контракта.  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56"/>
        <w:ind w:firstLine="567"/>
        <w:jc w:val="center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56"/>
        <w:ind w:firstLine="567"/>
        <w:jc w:val="center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2. Цена </w:t>
      </w:r>
      <w:r>
        <w:rPr>
          <w:bCs/>
          <w:sz w:val="22"/>
          <w:szCs w:val="22"/>
          <w:highlight w:val="none"/>
        </w:rPr>
        <w:t xml:space="preserve">Контракта</w:t>
      </w:r>
      <w:r>
        <w:rPr>
          <w:sz w:val="22"/>
          <w:szCs w:val="22"/>
          <w:highlight w:val="none"/>
        </w:rPr>
        <w:t xml:space="preserve"> и порядок расчетов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2.1. Цена настоящего Контракта составляет</w:t>
      </w:r>
      <w:r>
        <w:rPr>
          <w:sz w:val="22"/>
          <w:szCs w:val="22"/>
          <w:highlight w:val="none"/>
        </w:rPr>
        <w:t xml:space="preserve">: ____________ (____________) </w:t>
      </w:r>
      <w:r>
        <w:rPr>
          <w:sz w:val="22"/>
          <w:szCs w:val="22"/>
          <w:highlight w:val="none"/>
        </w:rPr>
        <w:t xml:space="preserve">рублей __ копеек, в том числе НДС/без НДС.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2"/>
        <w:ind w:firstLine="567"/>
        <w:spacing w:line="24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Цена за оказанные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У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слуги включает стоимость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У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слуг, стоимость материалов, расходы на уплату налогов, сборов, других обязательных платежей, страхование, таможенных пошлин, транспортных расходов и других возможных расходов Исполнителя, связанных с исполнением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К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онтракта.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12"/>
        <w:ind w:firstLine="567"/>
        <w:spacing w:line="240" w:lineRule="auto"/>
        <w:rPr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2.2. Цена Контракта является твердой и опреде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2.3. 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  <w:t xml:space="preserve">Оплата </w:t>
      </w:r>
      <w:r>
        <w:rPr>
          <w:sz w:val="22"/>
          <w:szCs w:val="22"/>
          <w:highlight w:val="none"/>
        </w:rPr>
        <w:t xml:space="preserve">У</w:t>
      </w:r>
      <w:r>
        <w:rPr>
          <w:sz w:val="22"/>
          <w:szCs w:val="22"/>
          <w:highlight w:val="none"/>
        </w:rPr>
        <w:t xml:space="preserve">слуг осуществляется безналичным платежом, на расчетный счет Исполнителя, по факту оказания </w:t>
      </w:r>
      <w:r>
        <w:rPr>
          <w:sz w:val="22"/>
          <w:szCs w:val="22"/>
          <w:highlight w:val="none"/>
        </w:rPr>
        <w:t xml:space="preserve">У</w:t>
      </w:r>
      <w:r>
        <w:rPr>
          <w:sz w:val="22"/>
          <w:szCs w:val="22"/>
          <w:highlight w:val="none"/>
        </w:rPr>
        <w:t xml:space="preserve">слуги в срок не более десяти рабочих дней с даты подписания документа о приемке оказанной </w:t>
      </w:r>
      <w:r>
        <w:rPr>
          <w:sz w:val="22"/>
          <w:szCs w:val="22"/>
          <w:highlight w:val="none"/>
        </w:rPr>
        <w:t xml:space="preserve">У</w:t>
      </w:r>
      <w:r>
        <w:rPr>
          <w:sz w:val="22"/>
          <w:szCs w:val="22"/>
          <w:highlight w:val="none"/>
        </w:rPr>
        <w:t xml:space="preserve">слуги (Акта приемки товаров, работ, услуг (ф. 0510452)) на основании счета, акта оказанных услуг или УПД, списка участников, с указанием ФИО, 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  <w:t xml:space="preserve">места проживания, № комнат (при наличии), да</w:t>
      </w:r>
      <w:r>
        <w:rPr>
          <w:sz w:val="22"/>
          <w:szCs w:val="22"/>
          <w:highlight w:val="none"/>
        </w:rPr>
        <w:t xml:space="preserve">ты проживания, количества суток, </w:t>
      </w:r>
      <w:r>
        <w:rPr>
          <w:sz w:val="22"/>
          <w:szCs w:val="22"/>
          <w:highlight w:val="none"/>
        </w:rPr>
        <w:t xml:space="preserve">копий билетов </w:t>
      </w:r>
      <w:r>
        <w:rPr>
          <w:sz w:val="22"/>
          <w:szCs w:val="22"/>
          <w:highlight w:val="none"/>
        </w:rPr>
        <w:t xml:space="preserve">и</w:t>
      </w:r>
      <w:r>
        <w:rPr>
          <w:sz w:val="22"/>
          <w:szCs w:val="22"/>
          <w:highlight w:val="none"/>
        </w:rPr>
        <w:t xml:space="preserve">/или маршрутных квитанций электронных билетов, справки Исполнителя со ссылкой на систему бронирования авиакомпании.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2"/>
        <w:ind w:firstLine="567"/>
        <w:spacing w:line="24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2.4. Источник финансирования - средства бюджетных учреждений: за счет средств субсидии на финансовое обеспечение выполнения государственного задания на оказание государственных услуг (выполнение работ). 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12"/>
        <w:ind w:firstLine="567"/>
        <w:spacing w:line="240" w:lineRule="auto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2.5. Заказчик имеет право произвести полный отказ от оплаты расходов, не предусмотренных Контрактом.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912"/>
        <w:ind w:firstLine="567"/>
        <w:spacing w:line="240" w:lineRule="auto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912"/>
        <w:ind w:firstLine="567"/>
        <w:jc w:val="center"/>
        <w:spacing w:line="240" w:lineRule="auto"/>
        <w:rPr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</w:rPr>
        <w:t xml:space="preserve">3. Обязательства Сторон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3.1</w:t>
      </w:r>
      <w:r>
        <w:rPr>
          <w:sz w:val="22"/>
          <w:szCs w:val="22"/>
          <w:highlight w:val="none"/>
        </w:rPr>
        <w:t xml:space="preserve">. Исполнитель обязуется: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3.1.1. Оказать</w:t>
      </w:r>
      <w:r>
        <w:rPr>
          <w:sz w:val="22"/>
          <w:szCs w:val="22"/>
          <w:highlight w:val="none"/>
        </w:rPr>
        <w:t xml:space="preserve"> У</w:t>
      </w:r>
      <w:r>
        <w:rPr>
          <w:sz w:val="22"/>
          <w:szCs w:val="22"/>
          <w:highlight w:val="none"/>
        </w:rPr>
        <w:t xml:space="preserve">слуги в сроки и в </w:t>
      </w:r>
      <w:r>
        <w:rPr>
          <w:sz w:val="22"/>
          <w:szCs w:val="22"/>
          <w:highlight w:val="none"/>
        </w:rPr>
        <w:t xml:space="preserve">объеме</w:t>
      </w:r>
      <w:r>
        <w:rPr>
          <w:sz w:val="22"/>
          <w:szCs w:val="22"/>
          <w:highlight w:val="none"/>
        </w:rPr>
        <w:t xml:space="preserve"> предусмотренные Контрактом, а также в соответствии со Спецификацией (Приложение № 1 к Контракту)</w:t>
      </w:r>
      <w:r>
        <w:rPr>
          <w:sz w:val="22"/>
          <w:szCs w:val="22"/>
          <w:highlight w:val="none"/>
        </w:rPr>
        <w:t xml:space="preserve">;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3.1.2. Гарантировать качество оказываемых Услуг по настоящему Контракту</w:t>
      </w:r>
      <w:r>
        <w:rPr>
          <w:sz w:val="22"/>
          <w:szCs w:val="22"/>
          <w:highlight w:val="none"/>
        </w:rPr>
        <w:t xml:space="preserve">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3.1.3. Обеспечить соответствие оказываемых </w:t>
      </w:r>
      <w:r>
        <w:rPr>
          <w:sz w:val="22"/>
          <w:szCs w:val="22"/>
          <w:highlight w:val="none"/>
        </w:rPr>
        <w:t xml:space="preserve">У</w:t>
      </w:r>
      <w:r>
        <w:rPr>
          <w:sz w:val="22"/>
          <w:szCs w:val="22"/>
          <w:highlight w:val="none"/>
        </w:rPr>
        <w:t xml:space="preserve">слуг требованиям качества, безопасности жизни и здоровья окружающих, а также требованиям сертификации, безопасности (санитарным нормам и правилам, государственным стандартам и т.п.)</w:t>
      </w:r>
      <w:r>
        <w:rPr>
          <w:sz w:val="22"/>
          <w:szCs w:val="22"/>
          <w:highlight w:val="none"/>
        </w:rPr>
        <w:t xml:space="preserve">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3.1.4. Немедленно информировать Заказчика обо всех изменениях, которые могут повлиять на оказание </w:t>
      </w:r>
      <w:r>
        <w:rPr>
          <w:sz w:val="22"/>
          <w:szCs w:val="22"/>
          <w:highlight w:val="none"/>
        </w:rPr>
        <w:t xml:space="preserve">У</w:t>
      </w:r>
      <w:r>
        <w:rPr>
          <w:sz w:val="22"/>
          <w:szCs w:val="22"/>
          <w:highlight w:val="none"/>
        </w:rPr>
        <w:t xml:space="preserve">слуг по настоящему Контракту.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.2. </w:t>
      </w:r>
      <w:r>
        <w:rPr>
          <w:sz w:val="22"/>
          <w:szCs w:val="22"/>
          <w:highlight w:val="none"/>
        </w:rPr>
        <w:t xml:space="preserve">Исполнитель </w:t>
      </w:r>
      <w:r>
        <w:rPr>
          <w:sz w:val="22"/>
          <w:szCs w:val="22"/>
          <w:highlight w:val="none"/>
        </w:rPr>
        <w:t xml:space="preserve">вправе: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.2.1. требовать от Заказчика произвести приемку </w:t>
      </w:r>
      <w:r>
        <w:rPr>
          <w:sz w:val="22"/>
          <w:szCs w:val="22"/>
          <w:highlight w:val="none"/>
        </w:rPr>
        <w:t xml:space="preserve">Услуги </w:t>
      </w:r>
      <w:r>
        <w:rPr>
          <w:sz w:val="22"/>
          <w:szCs w:val="22"/>
          <w:highlight w:val="none"/>
        </w:rPr>
        <w:t xml:space="preserve"> в </w:t>
      </w:r>
      <w:r>
        <w:rPr>
          <w:sz w:val="22"/>
          <w:szCs w:val="22"/>
          <w:highlight w:val="none"/>
        </w:rPr>
        <w:t xml:space="preserve">порядке</w:t>
      </w:r>
      <w:r>
        <w:rPr>
          <w:sz w:val="22"/>
          <w:szCs w:val="22"/>
          <w:highlight w:val="none"/>
        </w:rPr>
        <w:t xml:space="preserve"> и в сроки, предусмотренные Контрактом;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.2.2. требовать своевременной оплаты на усл</w:t>
      </w:r>
      <w:r>
        <w:rPr>
          <w:sz w:val="22"/>
          <w:szCs w:val="22"/>
          <w:highlight w:val="none"/>
        </w:rPr>
        <w:t xml:space="preserve">овиях, установленных Контрактом</w:t>
      </w:r>
      <w:r>
        <w:rPr>
          <w:sz w:val="22"/>
          <w:szCs w:val="22"/>
          <w:highlight w:val="none"/>
        </w:rPr>
        <w:t xml:space="preserve">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.2.3. принять решение об одностороннем отказе от исполнения Контракта в соответствии с гражданским законодательством;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</w:t>
      </w: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 </w:t>
      </w:r>
      <w:r>
        <w:rPr>
          <w:sz w:val="22"/>
          <w:szCs w:val="22"/>
          <w:highlight w:val="none"/>
        </w:rPr>
        <w:t xml:space="preserve">Заказчик обязуется: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</w:t>
      </w: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.1. Оплатить Услуги в </w:t>
      </w:r>
      <w:r>
        <w:rPr>
          <w:sz w:val="22"/>
          <w:szCs w:val="22"/>
          <w:highlight w:val="none"/>
        </w:rPr>
        <w:t xml:space="preserve">соответствии</w:t>
      </w:r>
      <w:r>
        <w:rPr>
          <w:sz w:val="22"/>
          <w:szCs w:val="22"/>
          <w:highlight w:val="none"/>
        </w:rPr>
        <w:t xml:space="preserve"> с настоящим Контрактом</w:t>
      </w:r>
      <w:r>
        <w:rPr>
          <w:sz w:val="22"/>
          <w:szCs w:val="22"/>
          <w:highlight w:val="none"/>
        </w:rPr>
        <w:t xml:space="preserve">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3.</w:t>
      </w: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.2.  Принять Услуги и в </w:t>
      </w:r>
      <w:r>
        <w:rPr>
          <w:sz w:val="22"/>
          <w:szCs w:val="22"/>
          <w:highlight w:val="none"/>
        </w:rPr>
        <w:t xml:space="preserve">случае</w:t>
      </w:r>
      <w:r>
        <w:rPr>
          <w:sz w:val="22"/>
          <w:szCs w:val="22"/>
          <w:highlight w:val="none"/>
        </w:rPr>
        <w:t xml:space="preserve"> отсутствия претензий относительно их объема, качества </w:t>
      </w:r>
      <w:r>
        <w:rPr>
          <w:sz w:val="22"/>
          <w:szCs w:val="22"/>
          <w:highlight w:val="none"/>
        </w:rPr>
        <w:t xml:space="preserve">и соблюдения сроков их оказания;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.4. Заказчик вправе: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.4.1. требовать от </w:t>
      </w:r>
      <w:r>
        <w:rPr>
          <w:sz w:val="22"/>
          <w:szCs w:val="22"/>
          <w:highlight w:val="none"/>
        </w:rPr>
        <w:t xml:space="preserve">Исполнителя</w:t>
      </w:r>
      <w:r>
        <w:rPr>
          <w:sz w:val="22"/>
          <w:szCs w:val="22"/>
          <w:highlight w:val="none"/>
        </w:rPr>
        <w:t xml:space="preserve"> надлежащего исполнения обязательств по Контракту;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.4.</w:t>
      </w:r>
      <w:r>
        <w:rPr>
          <w:sz w:val="22"/>
          <w:szCs w:val="22"/>
          <w:highlight w:val="none"/>
        </w:rPr>
        <w:t xml:space="preserve">2</w:t>
      </w:r>
      <w:r>
        <w:rPr>
          <w:sz w:val="22"/>
          <w:szCs w:val="22"/>
          <w:highlight w:val="none"/>
        </w:rPr>
        <w:t xml:space="preserve">. отказаться от приемки и оплаты </w:t>
      </w:r>
      <w:r>
        <w:rPr>
          <w:sz w:val="22"/>
          <w:szCs w:val="22"/>
          <w:highlight w:val="none"/>
        </w:rPr>
        <w:t xml:space="preserve">Услуги</w:t>
      </w:r>
      <w:r>
        <w:rPr>
          <w:sz w:val="22"/>
          <w:szCs w:val="22"/>
          <w:highlight w:val="none"/>
        </w:rPr>
        <w:t xml:space="preserve">, не соответствующе</w:t>
      </w:r>
      <w:r>
        <w:rPr>
          <w:sz w:val="22"/>
          <w:szCs w:val="22"/>
          <w:highlight w:val="none"/>
        </w:rPr>
        <w:t xml:space="preserve">й</w:t>
      </w:r>
      <w:r>
        <w:rPr>
          <w:sz w:val="22"/>
          <w:szCs w:val="22"/>
          <w:highlight w:val="none"/>
        </w:rPr>
        <w:t xml:space="preserve"> условиям Контракта;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.4.</w:t>
      </w:r>
      <w:r>
        <w:rPr>
          <w:sz w:val="22"/>
          <w:szCs w:val="22"/>
          <w:highlight w:val="none"/>
        </w:rPr>
        <w:t xml:space="preserve">3</w:t>
      </w:r>
      <w:r>
        <w:rPr>
          <w:sz w:val="22"/>
          <w:szCs w:val="22"/>
          <w:highlight w:val="none"/>
        </w:rPr>
        <w:t xml:space="preserve">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</w:t>
      </w:r>
      <w:r>
        <w:rPr>
          <w:sz w:val="22"/>
          <w:szCs w:val="22"/>
          <w:highlight w:val="none"/>
        </w:rPr>
        <w:t xml:space="preserve">ия отдельных видов обязательст</w:t>
      </w:r>
      <w:bookmarkStart w:id="0" w:name="_GoBack"/>
      <w:r>
        <w:rPr>
          <w:highlight w:val="none"/>
        </w:rPr>
      </w:r>
      <w:bookmarkEnd w:id="0"/>
      <w:r>
        <w:rPr>
          <w:sz w:val="22"/>
          <w:szCs w:val="22"/>
          <w:highlight w:val="none"/>
        </w:rPr>
        <w:t xml:space="preserve">в.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4. Срок и место оказания услуг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4.1. График оказания </w:t>
      </w:r>
      <w:r>
        <w:rPr>
          <w:highlight w:val="none"/>
        </w:rPr>
        <w:t xml:space="preserve">У</w:t>
      </w:r>
      <w:r>
        <w:rPr>
          <w:highlight w:val="none"/>
        </w:rPr>
        <w:t xml:space="preserve">слуг: </w:t>
      </w:r>
      <w:r>
        <w:rPr>
          <w:highlight w:val="none"/>
        </w:rPr>
        <w:t xml:space="preserve">с</w:t>
      </w:r>
      <w:r>
        <w:rPr>
          <w:highlight w:val="none"/>
        </w:rPr>
        <w:t xml:space="preserve"> даты заключения</w:t>
      </w:r>
      <w:r>
        <w:rPr>
          <w:highlight w:val="none"/>
        </w:rPr>
        <w:t xml:space="preserve"> </w:t>
      </w:r>
      <w:r>
        <w:rPr>
          <w:highlight w:val="none"/>
        </w:rPr>
        <w:t xml:space="preserve">К</w:t>
      </w:r>
      <w:r>
        <w:rPr>
          <w:highlight w:val="none"/>
        </w:rPr>
        <w:t xml:space="preserve">онтракта по 19 августа 2026 года.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4.2. Место оказания </w:t>
      </w:r>
      <w:r>
        <w:rPr>
          <w:highlight w:val="none"/>
        </w:rPr>
        <w:t xml:space="preserve">У</w:t>
      </w:r>
      <w:r>
        <w:rPr>
          <w:highlight w:val="none"/>
        </w:rPr>
        <w:t xml:space="preserve">слуг: 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–</w:t>
      </w:r>
      <w:r>
        <w:rPr>
          <w:highlight w:val="none"/>
        </w:rPr>
        <w:tab/>
        <w:t xml:space="preserve">край Алтайский, </w:t>
      </w:r>
      <w:r>
        <w:rPr>
          <w:highlight w:val="none"/>
        </w:rPr>
        <w:t xml:space="preserve">г.о</w:t>
      </w:r>
      <w:r>
        <w:rPr>
          <w:highlight w:val="none"/>
        </w:rPr>
        <w:t xml:space="preserve">. город Барнаул, г. Барнаул, по месту нахождения Гостиницы;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–</w:t>
      </w:r>
      <w:r>
        <w:rPr>
          <w:highlight w:val="none"/>
        </w:rPr>
        <w:tab/>
      </w:r>
      <w:r>
        <w:rPr>
          <w:highlight w:val="none"/>
        </w:rPr>
        <w:t xml:space="preserve">респ</w:t>
      </w:r>
      <w:r>
        <w:rPr>
          <w:highlight w:val="none"/>
        </w:rPr>
        <w:t xml:space="preserve">. Алтай, </w:t>
      </w:r>
      <w:r>
        <w:rPr>
          <w:highlight w:val="none"/>
        </w:rPr>
        <w:t xml:space="preserve">г.о</w:t>
      </w:r>
      <w:r>
        <w:rPr>
          <w:highlight w:val="none"/>
        </w:rPr>
        <w:t xml:space="preserve">. город Горно-Алтайск, г. Горно-Алтайск, отель «Старт»;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–</w:t>
      </w:r>
      <w:r>
        <w:rPr>
          <w:highlight w:val="none"/>
        </w:rPr>
        <w:tab/>
      </w:r>
      <w:r>
        <w:rPr>
          <w:highlight w:val="none"/>
        </w:rPr>
        <w:t xml:space="preserve">респ</w:t>
      </w:r>
      <w:r>
        <w:rPr>
          <w:highlight w:val="none"/>
        </w:rPr>
        <w:t xml:space="preserve">. Алтай, </w:t>
      </w:r>
      <w:r>
        <w:rPr>
          <w:highlight w:val="none"/>
        </w:rPr>
        <w:t xml:space="preserve">м.о</w:t>
      </w:r>
      <w:r>
        <w:rPr>
          <w:highlight w:val="none"/>
        </w:rPr>
        <w:t xml:space="preserve">. </w:t>
      </w:r>
      <w:r>
        <w:rPr>
          <w:highlight w:val="none"/>
        </w:rPr>
        <w:t xml:space="preserve">Турочакский</w:t>
      </w:r>
      <w:r>
        <w:rPr>
          <w:highlight w:val="none"/>
        </w:rPr>
        <w:t xml:space="preserve"> район, с. Артыбаш, база отдыха «Алтын-</w:t>
      </w:r>
      <w:r>
        <w:rPr>
          <w:highlight w:val="none"/>
        </w:rPr>
        <w:t xml:space="preserve">Кель</w:t>
      </w:r>
      <w:r>
        <w:rPr>
          <w:highlight w:val="none"/>
        </w:rPr>
        <w:t xml:space="preserve">»;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–</w:t>
      </w:r>
      <w:r>
        <w:rPr>
          <w:highlight w:val="none"/>
        </w:rPr>
        <w:tab/>
      </w:r>
      <w:r>
        <w:rPr>
          <w:highlight w:val="none"/>
        </w:rPr>
        <w:t xml:space="preserve">респ</w:t>
      </w:r>
      <w:r>
        <w:rPr>
          <w:highlight w:val="none"/>
        </w:rPr>
        <w:t xml:space="preserve">. Алтай, </w:t>
      </w:r>
      <w:r>
        <w:rPr>
          <w:highlight w:val="none"/>
        </w:rPr>
        <w:t xml:space="preserve">м</w:t>
      </w:r>
      <w:r>
        <w:rPr>
          <w:highlight w:val="none"/>
        </w:rPr>
        <w:t xml:space="preserve">.р</w:t>
      </w:r>
      <w:r>
        <w:rPr>
          <w:highlight w:val="none"/>
        </w:rPr>
        <w:t xml:space="preserve">-н </w:t>
      </w:r>
      <w:r>
        <w:rPr>
          <w:highlight w:val="none"/>
        </w:rPr>
        <w:t xml:space="preserve">Усть-Канский</w:t>
      </w:r>
      <w:r>
        <w:rPr>
          <w:highlight w:val="none"/>
        </w:rPr>
        <w:t xml:space="preserve">, </w:t>
      </w:r>
      <w:r>
        <w:rPr>
          <w:highlight w:val="none"/>
        </w:rPr>
        <w:t xml:space="preserve">с.п</w:t>
      </w:r>
      <w:r>
        <w:rPr>
          <w:highlight w:val="none"/>
        </w:rPr>
        <w:t xml:space="preserve">. </w:t>
      </w:r>
      <w:r>
        <w:rPr>
          <w:highlight w:val="none"/>
        </w:rPr>
        <w:t xml:space="preserve">Усть-Канское</w:t>
      </w:r>
      <w:r>
        <w:rPr>
          <w:highlight w:val="none"/>
        </w:rPr>
        <w:t xml:space="preserve">, с. Усть-Кан, гостиница Надежда и/или  гостиница </w:t>
      </w:r>
      <w:r>
        <w:rPr>
          <w:highlight w:val="none"/>
        </w:rPr>
        <w:t xml:space="preserve">Айылчы</w:t>
      </w:r>
      <w:r>
        <w:rPr>
          <w:highlight w:val="none"/>
        </w:rPr>
        <w:t xml:space="preserve"> Тура;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–</w:t>
      </w:r>
      <w:r>
        <w:rPr>
          <w:highlight w:val="none"/>
        </w:rPr>
        <w:tab/>
      </w:r>
      <w:r>
        <w:rPr>
          <w:highlight w:val="none"/>
        </w:rPr>
        <w:t xml:space="preserve">респ</w:t>
      </w:r>
      <w:r>
        <w:rPr>
          <w:highlight w:val="none"/>
        </w:rPr>
        <w:t xml:space="preserve">. Алтай, </w:t>
      </w:r>
      <w:r>
        <w:rPr>
          <w:highlight w:val="none"/>
        </w:rPr>
        <w:t xml:space="preserve">м</w:t>
      </w:r>
      <w:r>
        <w:rPr>
          <w:highlight w:val="none"/>
        </w:rPr>
        <w:t xml:space="preserve">.р</w:t>
      </w:r>
      <w:r>
        <w:rPr>
          <w:highlight w:val="none"/>
        </w:rPr>
        <w:t xml:space="preserve">-н </w:t>
      </w:r>
      <w:r>
        <w:rPr>
          <w:highlight w:val="none"/>
        </w:rPr>
        <w:t xml:space="preserve">Усть-Канский</w:t>
      </w:r>
      <w:r>
        <w:rPr>
          <w:highlight w:val="none"/>
        </w:rPr>
        <w:t xml:space="preserve">, </w:t>
      </w:r>
      <w:r>
        <w:rPr>
          <w:highlight w:val="none"/>
        </w:rPr>
        <w:t xml:space="preserve">с.п</w:t>
      </w:r>
      <w:r>
        <w:rPr>
          <w:highlight w:val="none"/>
        </w:rPr>
        <w:t xml:space="preserve">. </w:t>
      </w:r>
      <w:r>
        <w:rPr>
          <w:highlight w:val="none"/>
        </w:rPr>
        <w:t xml:space="preserve">Усть-Канское</w:t>
      </w:r>
      <w:r>
        <w:rPr>
          <w:highlight w:val="none"/>
        </w:rPr>
        <w:t xml:space="preserve">, с. Усть-Кан, эко-отель «Альтаир».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highlight w:val="none"/>
        </w:rPr>
      </w:pPr>
      <w:r>
        <w:rPr>
          <w:highlight w:val="none"/>
        </w:rPr>
        <w:t xml:space="preserve">4</w:t>
      </w:r>
      <w:r>
        <w:rPr>
          <w:highlight w:val="none"/>
        </w:rPr>
        <w:t xml:space="preserve">.3.  Дата прилета/ вылета может быть скорректирована по согласованию с Заказчиком, но не более чем на 1 сутки. При отсутствии мест на прямых рейсах авиаперелета, по согласованию с Заказчиком возможна замена рейсов на транзитные в указанные даты и маршруты.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center"/>
        <w:spacing w:line="240" w:lineRule="auto"/>
        <w:rPr>
          <w:highlight w:val="none"/>
        </w:rPr>
      </w:pPr>
      <w:r>
        <w:rPr>
          <w:b/>
          <w:sz w:val="22"/>
          <w:szCs w:val="22"/>
          <w:highlight w:val="none"/>
        </w:rPr>
        <w:t xml:space="preserve">5. Требования, предъявляемые к услугам и порядок приемки</w:t>
      </w:r>
      <w:r>
        <w:rPr>
          <w:highlight w:val="none"/>
        </w:rPr>
      </w:r>
      <w:r>
        <w:rPr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5.1. Условия оказания </w:t>
      </w:r>
      <w:r>
        <w:rPr>
          <w:rFonts w:ascii="Times New Roman" w:hAnsi="Times New Roman" w:cs="Times New Roman"/>
          <w:highlight w:val="none"/>
        </w:rPr>
        <w:t xml:space="preserve">У</w:t>
      </w:r>
      <w:r>
        <w:rPr>
          <w:rFonts w:ascii="Times New Roman" w:hAnsi="Times New Roman" w:cs="Times New Roman"/>
          <w:highlight w:val="none"/>
        </w:rPr>
        <w:t xml:space="preserve">слуг</w:t>
      </w:r>
      <w:r>
        <w:rPr>
          <w:rFonts w:ascii="Times New Roman" w:hAnsi="Times New Roman" w:cs="Times New Roman"/>
          <w:highlight w:val="none"/>
          <w:lang w:eastAsia="ru-RU"/>
        </w:rPr>
        <w:t xml:space="preserve">:  </w:t>
      </w:r>
      <w:r>
        <w:rPr>
          <w:rFonts w:ascii="Times New Roman" w:hAnsi="Times New Roman" w:cs="Times New Roman"/>
          <w:highlight w:val="none"/>
          <w:lang w:eastAsia="ru-RU"/>
        </w:rPr>
        <w:t xml:space="preserve">Весь комплекс оказываемых услуг должен быть оказан в </w:t>
      </w:r>
      <w:r>
        <w:rPr>
          <w:rFonts w:ascii="Times New Roman" w:hAnsi="Times New Roman" w:cs="Times New Roman"/>
          <w:highlight w:val="none"/>
          <w:lang w:eastAsia="ru-RU"/>
        </w:rPr>
        <w:t xml:space="preserve">соответствии</w:t>
      </w:r>
      <w:r>
        <w:rPr>
          <w:rFonts w:ascii="Times New Roman" w:hAnsi="Times New Roman" w:cs="Times New Roman"/>
          <w:highlight w:val="none"/>
          <w:lang w:eastAsia="ru-RU"/>
        </w:rPr>
        <w:t xml:space="preserve"> с законодательными и нормативно-правовыми требованиями, действующими в настоящее время на территории Российской Федерации: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  <w:lang w:eastAsia="ru-RU"/>
        </w:rPr>
        <w:t xml:space="preserve">–</w:t>
      </w:r>
      <w:r>
        <w:rPr>
          <w:rFonts w:ascii="Times New Roman" w:hAnsi="Times New Roman" w:cs="Times New Roman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highlight w:val="none"/>
          <w:lang w:eastAsia="ru-RU"/>
        </w:rPr>
        <w:t xml:space="preserve">Федеральный закон от 27.07.2006 N 152-ФЗ «О персональных данных»;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  <w:lang w:eastAsia="ru-RU"/>
        </w:rPr>
        <w:t xml:space="preserve">–</w:t>
      </w:r>
      <w:r>
        <w:rPr>
          <w:rFonts w:ascii="Times New Roman" w:hAnsi="Times New Roman" w:cs="Times New Roman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highlight w:val="none"/>
          <w:lang w:eastAsia="ru-RU"/>
        </w:rPr>
        <w:t xml:space="preserve">Постановление Правительства Российской Федерации от 27 ноября 2025 г. № 1912 «Об утверждении Правил предоставления гостиничных услуг и услуг иных средств размещения в Российской Федерации»</w:t>
      </w:r>
      <w:r>
        <w:rPr>
          <w:rFonts w:ascii="Times New Roman" w:hAnsi="Times New Roman" w:cs="Times New Roman"/>
          <w:highlight w:val="none"/>
          <w:lang w:eastAsia="ru-RU"/>
        </w:rPr>
        <w:t xml:space="preserve">;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tabs>
          <w:tab w:val="left" w:pos="141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  <w:lang w:eastAsia="ru-RU"/>
        </w:rPr>
        <w:t xml:space="preserve">– Приказ Минтранса России от 08.11.2006 N 134 "Об установлении формы электронного пассажирского билета и багажной квитанции в гражданской авиации" (Зарегистрировано в Минюсте России 24.01.2007 N 8835);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tabs>
          <w:tab w:val="left" w:pos="141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  <w:lang w:eastAsia="ru-RU"/>
        </w:rPr>
        <w:t xml:space="preserve">Приказ Минтранса России от </w:t>
      </w:r>
      <w:r>
        <w:rPr>
          <w:rFonts w:ascii="Times New Roman" w:hAnsi="Times New Roman" w:cs="Times New Roman"/>
          <w:highlight w:val="none"/>
          <w:lang w:eastAsia="ru-RU"/>
        </w:rPr>
        <w:t xml:space="preserve">28.06.2007 N 82 "Об утверждении Федеральных авиационных правил "Общие правила воздушных перевозок пассажиров, багажа, грузов и требования к обслуживанию пассажиров, грузоотправителей, грузополучателей" (Зарегистрировано в Минюсте России 27.09.2007 N 10186)</w:t>
      </w:r>
      <w:r>
        <w:rPr>
          <w:rFonts w:ascii="Times New Roman" w:hAnsi="Times New Roman" w:cs="Times New Roman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  <w:lang w:eastAsia="ru-RU"/>
        </w:rPr>
        <w:t xml:space="preserve">Исполнитель должен обеспечить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  <w:lang w:eastAsia="ru-RU"/>
        </w:rPr>
        <w:t xml:space="preserve">5.2.  </w:t>
      </w:r>
      <w:r>
        <w:rPr>
          <w:rFonts w:ascii="Times New Roman" w:hAnsi="Times New Roman" w:cs="Times New Roman"/>
          <w:highlight w:val="none"/>
          <w:lang w:eastAsia="ru-RU"/>
        </w:rPr>
        <w:t xml:space="preserve">Требования к гарантии качества </w:t>
      </w:r>
      <w:r>
        <w:rPr>
          <w:rFonts w:ascii="Times New Roman" w:hAnsi="Times New Roman" w:cs="Times New Roman"/>
          <w:highlight w:val="none"/>
          <w:lang w:eastAsia="ru-RU"/>
        </w:rPr>
        <w:t xml:space="preserve">У</w:t>
      </w:r>
      <w:r>
        <w:rPr>
          <w:rFonts w:ascii="Times New Roman" w:hAnsi="Times New Roman" w:cs="Times New Roman"/>
          <w:highlight w:val="none"/>
          <w:lang w:eastAsia="ru-RU"/>
        </w:rPr>
        <w:t xml:space="preserve">слуг, а также требования к гарантийному сроку и (или) объему предоставления гарантий их качества:</w:t>
      </w:r>
      <w:r>
        <w:rPr>
          <w:rFonts w:ascii="Times New Roman" w:hAnsi="Times New Roman" w:cs="Times New Roman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highlight w:val="none"/>
          <w:lang w:eastAsia="ru-RU"/>
        </w:rPr>
        <w:t xml:space="preserve">Исполнитель должен обеспечить соответствие оказываемых услуг требованиям качества, безопасности жизни и здоровья окружающих, а также требованиям сертификации, безопасности (санитарным нормам и правилам, государственным стандартам и т.п.).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1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5.3. Порядок приемки </w:t>
      </w:r>
      <w:r>
        <w:rPr>
          <w:rFonts w:ascii="Times New Roman" w:hAnsi="Times New Roman" w:cs="Times New Roman"/>
          <w:highlight w:val="none"/>
        </w:rPr>
        <w:t xml:space="preserve">У</w:t>
      </w:r>
      <w:r>
        <w:rPr>
          <w:rFonts w:ascii="Times New Roman" w:hAnsi="Times New Roman" w:cs="Times New Roman"/>
          <w:highlight w:val="none"/>
        </w:rPr>
        <w:t xml:space="preserve">слуг: </w:t>
      </w:r>
      <w:r>
        <w:rPr>
          <w:rFonts w:ascii="Times New Roman" w:hAnsi="Times New Roman" w:cs="Times New Roman"/>
          <w:highlight w:val="none"/>
        </w:rPr>
        <w:t xml:space="preserve">Исполнитель в течение 5 ра</w:t>
      </w:r>
      <w:r>
        <w:rPr>
          <w:rFonts w:ascii="Times New Roman" w:hAnsi="Times New Roman" w:cs="Times New Roman"/>
          <w:highlight w:val="none"/>
        </w:rPr>
        <w:t xml:space="preserve">бочих дней с момента оказания услуг представляет Заказчику акт оказанных услуг или универсальный передаточный документ (УПД), составленный в двух оригинальных экземплярах и подписанный, со своей стороны. Вместе с актом оказанных услуг (или УПД) Исполнитель</w:t>
      </w:r>
      <w:r>
        <w:rPr>
          <w:rFonts w:ascii="Times New Roman" w:hAnsi="Times New Roman" w:cs="Times New Roman"/>
          <w:highlight w:val="none"/>
        </w:rPr>
        <w:t xml:space="preserve"> передает Заказчику оригиналы счета на оплату, счета-фактуры (при наличии). К акту оказанных услуг (или УПД) должен быть приложен список участников с указанием ФИО, места проживания, № комнат (при наличии), даты проживания, количества суток, копии билетов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и/или маршрутные квитанции электронных билетов, справка Исполнителя со ссылкой на систему бронирования авиакомпании.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Приемка оказанных услуг ведется приемочной комиссией Заказчика. Приемочная комиссия Заказчика в течение 20</w:t>
      </w:r>
      <w:r>
        <w:rPr>
          <w:sz w:val="22"/>
          <w:szCs w:val="22"/>
          <w:highlight w:val="none"/>
        </w:rPr>
        <w:t xml:space="preserve"> (Двадцати) рабочих дней со дня получения акта оказанных услуг или универсального передаточного документа (УПД) от Исполнителя, проверяет соответствие качества услуг, установленным требованиям, формирует и подписывает акт приемки товаров, работ, услуг (ф. </w:t>
      </w:r>
      <w:r>
        <w:rPr>
          <w:sz w:val="22"/>
          <w:szCs w:val="22"/>
          <w:highlight w:val="none"/>
        </w:rPr>
        <w:t xml:space="preserve">0510452</w:t>
      </w:r>
      <w:r>
        <w:rPr>
          <w:sz w:val="22"/>
          <w:szCs w:val="22"/>
          <w:highlight w:val="none"/>
        </w:rPr>
        <w:t xml:space="preserve">) (далее - акт приемки) с указанием (отсутствием) недостатков. После подписания приемочная комиссия Заказчика направляется акт приемки в адрес Исполнителя. Обнаруженные недостатки устраняются Исполнителем за свой счет в течение 3(трех) календарных дней.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709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5.</w:t>
      </w:r>
      <w:r>
        <w:rPr>
          <w:sz w:val="22"/>
          <w:szCs w:val="22"/>
          <w:highlight w:val="none"/>
        </w:rPr>
        <w:t xml:space="preserve">4</w:t>
      </w:r>
      <w:r>
        <w:rPr>
          <w:sz w:val="22"/>
          <w:szCs w:val="22"/>
          <w:highlight w:val="none"/>
        </w:rPr>
        <w:t xml:space="preserve">. </w:t>
      </w:r>
      <w:r>
        <w:rPr>
          <w:sz w:val="22"/>
          <w:szCs w:val="22"/>
          <w:highlight w:val="none"/>
        </w:rPr>
        <w:t xml:space="preserve">Услуги считается принятыми Заказчиком </w:t>
      </w:r>
      <w:r>
        <w:rPr>
          <w:sz w:val="22"/>
          <w:szCs w:val="22"/>
          <w:highlight w:val="none"/>
        </w:rPr>
        <w:t xml:space="preserve">с даты подписания</w:t>
      </w:r>
      <w:r>
        <w:rPr>
          <w:sz w:val="22"/>
          <w:szCs w:val="22"/>
          <w:highlight w:val="none"/>
        </w:rPr>
        <w:t xml:space="preserve"> акта приемки товаров, работ, услуг (ф. 0510452).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709"/>
        <w:jc w:val="both"/>
        <w:spacing w:line="216" w:lineRule="auto"/>
        <w:rPr>
          <w:b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spacing w:line="240" w:lineRule="auto"/>
        <w:tabs>
          <w:tab w:val="left" w:pos="3630" w:leader="none"/>
          <w:tab w:val="center" w:pos="5173" w:leader="none"/>
        </w:tabs>
        <w:rPr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  <w:tab/>
      </w:r>
      <w:r>
        <w:rPr>
          <w:b/>
          <w:sz w:val="22"/>
          <w:szCs w:val="22"/>
          <w:highlight w:val="none"/>
        </w:rPr>
        <w:tab/>
        <w:t xml:space="preserve">6. Ответственность Сторон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6.1. Сторона Контракта, имущественные интересы (деловая репутация) которой нарушены в р</w:t>
      </w:r>
      <w:r>
        <w:rPr>
          <w:sz w:val="22"/>
          <w:szCs w:val="22"/>
          <w:highlight w:val="none"/>
        </w:rPr>
        <w:t xml:space="preserve">е</w:t>
      </w:r>
      <w:r>
        <w:rPr>
          <w:sz w:val="22"/>
          <w:szCs w:val="22"/>
          <w:highlight w:val="none"/>
        </w:rPr>
        <w:t xml:space="preserve">зультате неисполнения или ненадлежащего исполнения обязательств по Контракту другой Стороной, вправе требовать полного возмещения причиненных ей этой Стороной убытков.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line="240" w:lineRule="auto"/>
        <w:tabs>
          <w:tab w:val="left" w:pos="28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6.2. Ответственность Исполнителя: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В случае просрочки исполнения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обязательств (в том числе гарантийного обязател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ь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ства), предусмотренных Контрактом, а также в иных случаях неисполнения или ненадлежащего испо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л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нения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обязательств, предусмотренных Контрактом, Заказчик направляет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Исполнителю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требование об уплате неустоек (штрафов, пеней).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Пеня начисляется за каждый день просрочки исполнения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обязательства, пред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у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ю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щей на дату уплаты пени ключевой ставки Центрального банка Российской Федерации от цены Ко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Ко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тракта) и фактически исполненных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За каждый факт неисполнения или ненадлежащего исполнения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10 процентов цены Контракта (этапа) в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случае</w:t>
      </w:r>
      <w:r>
        <w:rPr>
          <w:rFonts w:eastAsia="Calibri"/>
          <w:sz w:val="22"/>
          <w:szCs w:val="22"/>
          <w:highlight w:val="none"/>
          <w:lang w:eastAsia="en-US"/>
        </w:rPr>
        <w:t xml:space="preserve">, если цена Контракта (этапа) не превышает 3 млн. рублей – ____________ руб.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За каждый факт неисполнения или ненадлежащего исполнения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устанавл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вается (при наличии в Контракте таких обязательств) в следующем порядке: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1000 рублей, если цена Контракта не превышает 3 млн. рублей.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Общая сумма начисленных штрафов за неисполнение или ненадлежащее исполнение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е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лем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обязательств, предусмотренных Контрактом, не может превышать цену Контракта.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6.3. Ответственность Заказчика: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ных Контрактом,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Исполнитель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вправе потребовать уплаты неустоек (штрафов, пеней). Пеня начисляе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Такая пеня устанавливается Контрактом в размере одной трехсотой действующей на дату уплаты пеней </w:t>
      </w:r>
      <w:hyperlink r:id="rId11" w:tooltip="consultantplus://offline/ref=BEDDEDB8E80613988CD2DCD90BCF289085C3F5E9EA60F86EF622A6CBEF34AB6E27B56862AA2EB4C811F13B3175D857E9CDCA3CDB56AA1274q5C" w:history="1">
        <w:r>
          <w:rPr>
            <w:rFonts w:eastAsia="Calibri"/>
            <w:sz w:val="22"/>
            <w:szCs w:val="22"/>
            <w:highlight w:val="none"/>
            <w:lang w:eastAsia="en-US"/>
          </w:rPr>
          <w:t xml:space="preserve">кл</w:t>
        </w:r>
        <w:r>
          <w:rPr>
            <w:rFonts w:eastAsia="Calibri"/>
            <w:sz w:val="22"/>
            <w:szCs w:val="22"/>
            <w:highlight w:val="none"/>
            <w:lang w:eastAsia="en-US"/>
          </w:rPr>
          <w:t xml:space="preserve">ю</w:t>
        </w:r>
        <w:r>
          <w:rPr>
            <w:rFonts w:eastAsia="Calibri"/>
            <w:sz w:val="22"/>
            <w:szCs w:val="22"/>
            <w:highlight w:val="none"/>
            <w:lang w:eastAsia="en-US"/>
          </w:rPr>
          <w:t xml:space="preserve">чевой ставки</w:t>
        </w:r>
      </w:hyperlink>
      <w:r>
        <w:rPr>
          <w:rFonts w:eastAsia="Calibri"/>
          <w:sz w:val="22"/>
          <w:szCs w:val="22"/>
          <w:highlight w:val="none"/>
          <w:lang w:eastAsia="en-US"/>
        </w:rPr>
        <w:t xml:space="preserve"> Центрального банка Российской Федерации от не уплаченной в срок суммы.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За каждый факт неисполнения Заказчиком обязательств, предусмотренных Контрактом, за искл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ю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чением просрочки исполнения обязательств, предусмотренных Контрактом, размер штрафа устанавл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вается в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следующем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порядке: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1000 рублей, если цена контракта не превышает 3 млн. рублей (включительно).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Применение штрафных санкций не освобождает Стороны от исполнения обязательств по насто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я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щему Контракту.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spacing w:line="240" w:lineRule="auto"/>
        <w:tabs>
          <w:tab w:val="left" w:pos="0" w:leader="none"/>
        </w:tabs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tabs>
          <w:tab w:val="left" w:pos="0" w:leader="none"/>
        </w:tabs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7. Обстоятельства непреодолимой силы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7.1. </w:t>
      </w:r>
      <w:r>
        <w:rPr>
          <w:sz w:val="22"/>
          <w:szCs w:val="22"/>
          <w:highlight w:val="none"/>
        </w:rPr>
        <w:t xml:space="preserve"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7.2</w:t>
      </w:r>
      <w:r>
        <w:rPr>
          <w:sz w:val="22"/>
          <w:szCs w:val="22"/>
          <w:highlight w:val="none"/>
        </w:rPr>
        <w:t xml:space="preserve">. </w:t>
      </w:r>
      <w:r>
        <w:rPr>
          <w:sz w:val="22"/>
          <w:szCs w:val="22"/>
          <w:highlight w:val="none"/>
        </w:rPr>
        <w:t xml:space="preserve">В случае если надлежащее исполнение Стороной предусмотренных Контрактом обязательств </w:t>
      </w:r>
      <w:r>
        <w:rPr>
          <w:sz w:val="22"/>
          <w:szCs w:val="22"/>
          <w:highlight w:val="none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7.3. </w:t>
      </w:r>
      <w:r>
        <w:rPr>
          <w:sz w:val="22"/>
          <w:szCs w:val="22"/>
          <w:highlight w:val="none"/>
        </w:rPr>
        <w:t xml:space="preserve"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b/>
          <w:bCs/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7.4. </w:t>
      </w:r>
      <w:r>
        <w:rPr>
          <w:sz w:val="22"/>
          <w:szCs w:val="22"/>
          <w:highlight w:val="none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8. </w:t>
      </w:r>
      <w:r>
        <w:rPr>
          <w:b/>
          <w:bCs/>
          <w:sz w:val="22"/>
          <w:szCs w:val="22"/>
          <w:highlight w:val="none"/>
        </w:rPr>
        <w:t xml:space="preserve">Рассмотрение и разрешение споров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3"/>
          <w:szCs w:val="23"/>
          <w:highlight w:val="none"/>
        </w:rPr>
      </w:pPr>
      <w:r>
        <w:rPr>
          <w:rFonts w:eastAsia="Calibri"/>
          <w:sz w:val="23"/>
          <w:szCs w:val="23"/>
          <w:highlight w:val="none"/>
          <w:lang w:eastAsia="en-US"/>
        </w:rPr>
        <w:t xml:space="preserve">8</w:t>
      </w:r>
      <w:r>
        <w:rPr>
          <w:rFonts w:eastAsia="Calibri"/>
          <w:sz w:val="23"/>
          <w:szCs w:val="23"/>
          <w:highlight w:val="none"/>
          <w:lang w:eastAsia="en-US"/>
        </w:rPr>
        <w:t xml:space="preserve">.1.    Стороны принимают необходимые меры к тому, чтобы любые спорные вопросы и разн</w:t>
      </w:r>
      <w:r>
        <w:rPr>
          <w:rFonts w:eastAsia="Calibri"/>
          <w:sz w:val="23"/>
          <w:szCs w:val="23"/>
          <w:highlight w:val="none"/>
          <w:lang w:eastAsia="en-US"/>
        </w:rPr>
        <w:t xml:space="preserve">о</w:t>
      </w:r>
      <w:r>
        <w:rPr>
          <w:rFonts w:eastAsia="Calibri"/>
          <w:sz w:val="23"/>
          <w:szCs w:val="23"/>
          <w:highlight w:val="none"/>
          <w:lang w:eastAsia="en-US"/>
        </w:rPr>
        <w:t xml:space="preserve">гласия, которые могут возникнуть из настоящего Контракта или в связи с ним, были урегулированы путем переговоров. Спорные вопросы, по которым Стороны не достигнут согласия, подлежат ра</w:t>
      </w:r>
      <w:r>
        <w:rPr>
          <w:rFonts w:eastAsia="Calibri"/>
          <w:sz w:val="23"/>
          <w:szCs w:val="23"/>
          <w:highlight w:val="none"/>
          <w:lang w:eastAsia="en-US"/>
        </w:rPr>
        <w:t xml:space="preserve">с</w:t>
      </w:r>
      <w:r>
        <w:rPr>
          <w:rFonts w:eastAsia="Calibri"/>
          <w:sz w:val="23"/>
          <w:szCs w:val="23"/>
          <w:highlight w:val="none"/>
          <w:lang w:eastAsia="en-US"/>
        </w:rPr>
        <w:t xml:space="preserve">смотрению в Арбитражном </w:t>
      </w:r>
      <w:r>
        <w:rPr>
          <w:rFonts w:eastAsia="Calibri"/>
          <w:sz w:val="23"/>
          <w:szCs w:val="23"/>
          <w:highlight w:val="none"/>
          <w:lang w:eastAsia="en-US"/>
        </w:rPr>
        <w:t xml:space="preserve">суде</w:t>
      </w:r>
      <w:r>
        <w:rPr>
          <w:rFonts w:eastAsia="Calibri"/>
          <w:sz w:val="23"/>
          <w:szCs w:val="23"/>
          <w:highlight w:val="none"/>
          <w:lang w:eastAsia="en-US"/>
        </w:rPr>
        <w:t xml:space="preserve"> Алтайского края.</w:t>
      </w:r>
      <w:r>
        <w:rPr>
          <w:rFonts w:eastAsia="Calibri"/>
          <w:sz w:val="23"/>
          <w:szCs w:val="23"/>
          <w:highlight w:val="none"/>
        </w:rPr>
      </w:r>
      <w:r>
        <w:rPr>
          <w:rFonts w:eastAsia="Calibri"/>
          <w:sz w:val="23"/>
          <w:szCs w:val="23"/>
          <w:highlight w:val="none"/>
        </w:rPr>
      </w:r>
    </w:p>
    <w:p>
      <w:pPr>
        <w:contextualSpacing/>
        <w:ind w:firstLine="425"/>
        <w:jc w:val="both"/>
        <w:spacing w:line="240" w:lineRule="auto"/>
        <w:tabs>
          <w:tab w:val="left" w:pos="851" w:leader="none"/>
        </w:tabs>
        <w:rPr>
          <w:rFonts w:eastAsia="Calibri"/>
          <w:sz w:val="23"/>
          <w:szCs w:val="23"/>
          <w:highlight w:val="none"/>
        </w:rPr>
      </w:pPr>
      <w:r>
        <w:rPr>
          <w:rFonts w:eastAsia="Calibri"/>
          <w:sz w:val="23"/>
          <w:szCs w:val="23"/>
          <w:highlight w:val="none"/>
          <w:lang w:eastAsia="en-US"/>
        </w:rPr>
        <w:t xml:space="preserve">8</w:t>
      </w:r>
      <w:r>
        <w:rPr>
          <w:rFonts w:eastAsia="Calibri"/>
          <w:sz w:val="23"/>
          <w:szCs w:val="23"/>
          <w:highlight w:val="none"/>
          <w:lang w:eastAsia="en-US"/>
        </w:rPr>
        <w:t xml:space="preserve">.2. Претензи</w:t>
      </w:r>
      <w:r>
        <w:rPr>
          <w:rFonts w:eastAsia="Calibri"/>
          <w:sz w:val="23"/>
          <w:szCs w:val="23"/>
          <w:highlight w:val="none"/>
          <w:lang w:eastAsia="en-US"/>
        </w:rPr>
        <w:t xml:space="preserve">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</w:t>
      </w:r>
      <w:r>
        <w:rPr>
          <w:rFonts w:eastAsia="Calibri"/>
          <w:sz w:val="23"/>
          <w:szCs w:val="23"/>
          <w:highlight w:val="none"/>
          <w:lang w:eastAsia="en-US"/>
        </w:rPr>
        <w:t xml:space="preserve">о</w:t>
      </w:r>
      <w:r>
        <w:rPr>
          <w:rFonts w:eastAsia="Calibri"/>
          <w:sz w:val="23"/>
          <w:szCs w:val="23"/>
          <w:highlight w:val="none"/>
          <w:lang w:eastAsia="en-US"/>
        </w:rPr>
        <w:t xml:space="preserve">рые должны быть произведены Стороной для устранения нарушений.</w:t>
      </w:r>
      <w:r>
        <w:rPr>
          <w:rFonts w:eastAsia="Calibri"/>
          <w:sz w:val="23"/>
          <w:szCs w:val="23"/>
          <w:highlight w:val="none"/>
        </w:rPr>
      </w:r>
      <w:r>
        <w:rPr>
          <w:rFonts w:eastAsia="Calibri"/>
          <w:sz w:val="23"/>
          <w:szCs w:val="23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3"/>
          <w:szCs w:val="23"/>
          <w:highlight w:val="none"/>
        </w:rPr>
      </w:pPr>
      <w:r>
        <w:rPr>
          <w:rFonts w:eastAsia="Calibri"/>
          <w:sz w:val="23"/>
          <w:szCs w:val="23"/>
          <w:highlight w:val="none"/>
          <w:lang w:eastAsia="en-US"/>
        </w:rPr>
        <w:t xml:space="preserve">8</w:t>
      </w:r>
      <w:r>
        <w:rPr>
          <w:rFonts w:eastAsia="Calibri"/>
          <w:sz w:val="23"/>
          <w:szCs w:val="23"/>
          <w:highlight w:val="none"/>
          <w:lang w:eastAsia="en-US"/>
        </w:rPr>
        <w:t xml:space="preserve">.3. Срок рассмотрения претензии не может превышать 10 (десяти) календарных дней. Пер</w:t>
      </w:r>
      <w:r>
        <w:rPr>
          <w:rFonts w:eastAsia="Calibri"/>
          <w:sz w:val="23"/>
          <w:szCs w:val="23"/>
          <w:highlight w:val="none"/>
          <w:lang w:eastAsia="en-US"/>
        </w:rPr>
        <w:t xml:space="preserve">е</w:t>
      </w:r>
      <w:r>
        <w:rPr>
          <w:rFonts w:eastAsia="Calibri"/>
          <w:sz w:val="23"/>
          <w:szCs w:val="23"/>
          <w:highlight w:val="none"/>
          <w:lang w:eastAsia="en-US"/>
        </w:rPr>
        <w:t xml:space="preserve">писка Сторон может осуществляться в </w:t>
      </w:r>
      <w:r>
        <w:rPr>
          <w:rFonts w:eastAsia="Calibri"/>
          <w:sz w:val="23"/>
          <w:szCs w:val="23"/>
          <w:highlight w:val="none"/>
          <w:lang w:eastAsia="en-US"/>
        </w:rPr>
        <w:t xml:space="preserve">виде</w:t>
      </w:r>
      <w:r>
        <w:rPr>
          <w:rFonts w:eastAsia="Calibri"/>
          <w:sz w:val="23"/>
          <w:szCs w:val="23"/>
          <w:highlight w:val="none"/>
          <w:lang w:eastAsia="en-US"/>
        </w:rPr>
        <w:t xml:space="preserve"> писем или телеграмм, иного электронного сообщения - с последующим предоставлением оригинала документа.</w:t>
      </w:r>
      <w:r>
        <w:rPr>
          <w:rFonts w:eastAsia="Calibri"/>
          <w:sz w:val="23"/>
          <w:szCs w:val="23"/>
          <w:highlight w:val="none"/>
        </w:rPr>
      </w:r>
      <w:r>
        <w:rPr>
          <w:rFonts w:eastAsia="Calibri"/>
          <w:sz w:val="23"/>
          <w:szCs w:val="23"/>
          <w:highlight w:val="none"/>
        </w:rPr>
      </w:r>
    </w:p>
    <w:p>
      <w:pPr>
        <w:ind w:firstLine="567"/>
        <w:jc w:val="both"/>
        <w:spacing w:line="240" w:lineRule="auto"/>
        <w:tabs>
          <w:tab w:val="left" w:pos="360" w:leader="none"/>
        </w:tabs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tabs>
          <w:tab w:val="left" w:pos="360" w:leader="none"/>
        </w:tabs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9. </w:t>
      </w:r>
      <w:r>
        <w:rPr>
          <w:b/>
          <w:bCs/>
          <w:sz w:val="22"/>
          <w:szCs w:val="22"/>
          <w:highlight w:val="none"/>
        </w:rPr>
        <w:t xml:space="preserve">Срок действия и порядок расторжения Контракта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9</w:t>
      </w:r>
      <w:r>
        <w:rPr>
          <w:sz w:val="22"/>
          <w:szCs w:val="22"/>
          <w:highlight w:val="none"/>
        </w:rPr>
        <w:t xml:space="preserve">.1. </w:t>
      </w:r>
      <w:r>
        <w:rPr>
          <w:sz w:val="22"/>
          <w:szCs w:val="22"/>
          <w:highlight w:val="none"/>
        </w:rPr>
        <w:t xml:space="preserve">Контра</w:t>
      </w:r>
      <w:r>
        <w:rPr>
          <w:sz w:val="22"/>
          <w:szCs w:val="22"/>
          <w:highlight w:val="none"/>
        </w:rPr>
        <w:t xml:space="preserve">кт вст</w:t>
      </w:r>
      <w:r>
        <w:rPr>
          <w:sz w:val="22"/>
          <w:szCs w:val="22"/>
          <w:highlight w:val="none"/>
        </w:rPr>
        <w:t xml:space="preserve">упает в силу с момента его подписания обеими Сторонами и действует до полного исполнения Сторонами всех обязательств по Контракту. Окончание срока действия Контракта не влечет прекращения неисполненных обязатель</w:t>
      </w:r>
      <w:r>
        <w:rPr>
          <w:sz w:val="22"/>
          <w:szCs w:val="22"/>
          <w:highlight w:val="none"/>
        </w:rPr>
        <w:t xml:space="preserve">ств Ст</w:t>
      </w:r>
      <w:r>
        <w:rPr>
          <w:sz w:val="22"/>
          <w:szCs w:val="22"/>
          <w:highlight w:val="none"/>
        </w:rPr>
        <w:t xml:space="preserve">орон по Контракту, в том числе гарантийных обязательств </w:t>
      </w:r>
      <w:r>
        <w:rPr>
          <w:sz w:val="22"/>
          <w:szCs w:val="22"/>
          <w:highlight w:val="none"/>
        </w:rPr>
        <w:t xml:space="preserve">Исполнителя</w:t>
      </w:r>
      <w:r>
        <w:rPr>
          <w:sz w:val="22"/>
          <w:szCs w:val="22"/>
          <w:highlight w:val="none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9</w:t>
      </w:r>
      <w:r>
        <w:rPr>
          <w:sz w:val="22"/>
          <w:szCs w:val="22"/>
          <w:highlight w:val="none"/>
        </w:rPr>
        <w:t xml:space="preserve">.2. 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</w:t>
      </w:r>
      <w:r>
        <w:rPr>
          <w:sz w:val="22"/>
          <w:szCs w:val="22"/>
          <w:highlight w:val="none"/>
        </w:rPr>
        <w:t xml:space="preserve">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rPr>
          <w:b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rPr>
          <w:b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ind w:firstLine="567"/>
        <w:jc w:val="center"/>
        <w:spacing w:line="240" w:lineRule="auto"/>
        <w:rPr>
          <w:b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  <w:t xml:space="preserve">10. </w:t>
      </w:r>
      <w:r>
        <w:rPr>
          <w:b/>
          <w:sz w:val="22"/>
          <w:szCs w:val="22"/>
          <w:highlight w:val="none"/>
        </w:rPr>
        <w:t xml:space="preserve">Прочие положения</w:t>
      </w: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</w:t>
      </w:r>
      <w:r>
        <w:rPr>
          <w:rFonts w:eastAsia="Calibri"/>
          <w:sz w:val="22"/>
          <w:szCs w:val="22"/>
          <w:highlight w:val="none"/>
          <w:lang w:eastAsia="en-US"/>
        </w:rPr>
        <w:t xml:space="preserve">0</w:t>
      </w:r>
      <w:r>
        <w:rPr>
          <w:rFonts w:eastAsia="Calibri"/>
          <w:sz w:val="22"/>
          <w:szCs w:val="22"/>
          <w:highlight w:val="none"/>
          <w:lang w:eastAsia="en-US"/>
        </w:rPr>
        <w:t xml:space="preserve">.1. Во всем, что не предусмотрено Контрактом, Стороны руководствуются законодательством Российской Федерации.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</w:t>
      </w:r>
      <w:r>
        <w:rPr>
          <w:rFonts w:eastAsia="Calibri"/>
          <w:sz w:val="22"/>
          <w:szCs w:val="22"/>
          <w:highlight w:val="none"/>
          <w:lang w:eastAsia="en-US"/>
        </w:rPr>
        <w:t xml:space="preserve">0</w:t>
      </w:r>
      <w:r>
        <w:rPr>
          <w:rFonts w:eastAsia="Calibri"/>
          <w:sz w:val="22"/>
          <w:szCs w:val="22"/>
          <w:highlight w:val="none"/>
          <w:lang w:eastAsia="en-US"/>
        </w:rPr>
        <w:t xml:space="preserve">.2. В случае изменения у какой-либо из Сторон местонахождения, названия, а также в случае р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е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организации она обязана в течение десяти дней письменно известить об этом другую Сторону.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</w:t>
      </w:r>
      <w:r>
        <w:rPr>
          <w:rFonts w:eastAsia="Calibri"/>
          <w:sz w:val="22"/>
          <w:szCs w:val="22"/>
          <w:highlight w:val="none"/>
          <w:lang w:eastAsia="en-US"/>
        </w:rPr>
        <w:t xml:space="preserve">0</w:t>
      </w:r>
      <w:r>
        <w:rPr>
          <w:rFonts w:eastAsia="Calibri"/>
          <w:sz w:val="22"/>
          <w:szCs w:val="22"/>
          <w:highlight w:val="none"/>
          <w:lang w:eastAsia="en-US"/>
        </w:rPr>
        <w:t xml:space="preserve">.3. Изменение условий Кон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</w:t>
      </w:r>
      <w:r>
        <w:rPr>
          <w:rFonts w:eastAsia="Calibri"/>
          <w:sz w:val="22"/>
          <w:szCs w:val="22"/>
          <w:highlight w:val="none"/>
          <w:lang w:eastAsia="en-US"/>
        </w:rPr>
        <w:t xml:space="preserve">0</w:t>
      </w:r>
      <w:r>
        <w:rPr>
          <w:rFonts w:eastAsia="Calibri"/>
          <w:sz w:val="22"/>
          <w:szCs w:val="22"/>
          <w:highlight w:val="none"/>
          <w:lang w:eastAsia="en-US"/>
        </w:rPr>
        <w:t xml:space="preserve">.4. При исполнении Контракта не допускается перемена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исполнителя</w:t>
      </w:r>
      <w:r>
        <w:rPr>
          <w:rFonts w:eastAsia="Calibri"/>
          <w:sz w:val="22"/>
          <w:szCs w:val="22"/>
          <w:highlight w:val="none"/>
          <w:lang w:eastAsia="en-US"/>
        </w:rPr>
        <w:t xml:space="preserve">, за исключением случая, е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с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ли новый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Исполнитель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является правопреемником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Исполнителя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вследствие реорганизации юридическ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о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го лица в форме преобразования, слияния или присоединения.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Передача прав и обязанностей по Контракту правопреемнику 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Исполнителя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осуществляется путем заключения соответствующего дополнительного соглашения к Контракту.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  <w:t xml:space="preserve">1</w:t>
      </w:r>
      <w:r>
        <w:rPr>
          <w:rFonts w:eastAsia="Calibri"/>
          <w:sz w:val="22"/>
          <w:szCs w:val="22"/>
          <w:highlight w:val="none"/>
          <w:lang w:eastAsia="en-US"/>
        </w:rPr>
        <w:t xml:space="preserve">0</w:t>
      </w:r>
      <w:r>
        <w:rPr>
          <w:rFonts w:eastAsia="Calibri"/>
          <w:sz w:val="22"/>
          <w:szCs w:val="22"/>
          <w:highlight w:val="none"/>
          <w:lang w:eastAsia="en-US"/>
        </w:rPr>
        <w:t xml:space="preserve">.5. Стороны обязуются обеспечить конфиденциальность сведений, относящихся к предмету Ко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н</w:t>
      </w:r>
      <w:r>
        <w:rPr>
          <w:rFonts w:eastAsia="Calibri"/>
          <w:sz w:val="22"/>
          <w:szCs w:val="22"/>
          <w:highlight w:val="none"/>
          <w:lang w:eastAsia="en-US"/>
        </w:rPr>
        <w:t xml:space="preserve">тракта, и ставших им известными в ходе исполнения Контракта.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425"/>
        <w:jc w:val="both"/>
        <w:spacing w:line="240" w:lineRule="auto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highlight w:val="none"/>
          <w:lang w:eastAsia="en-US"/>
        </w:rPr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ind w:firstLine="567"/>
        <w:spacing w:line="240" w:lineRule="auto"/>
        <w:tabs>
          <w:tab w:val="left" w:pos="3807" w:leader="none"/>
        </w:tabs>
        <w:rPr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  <w:tab/>
        <w:t xml:space="preserve">1</w:t>
      </w:r>
      <w:r>
        <w:rPr>
          <w:b/>
          <w:sz w:val="22"/>
          <w:szCs w:val="22"/>
          <w:highlight w:val="none"/>
        </w:rPr>
        <w:t xml:space="preserve">1</w:t>
      </w:r>
      <w:r>
        <w:rPr>
          <w:b/>
          <w:sz w:val="22"/>
          <w:szCs w:val="22"/>
          <w:highlight w:val="none"/>
        </w:rPr>
        <w:t xml:space="preserve">. </w:t>
      </w:r>
      <w:r>
        <w:rPr>
          <w:b/>
          <w:sz w:val="22"/>
          <w:szCs w:val="22"/>
          <w:highlight w:val="none"/>
        </w:rPr>
        <w:t xml:space="preserve">Антикоррупционная оговорка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1</w:t>
      </w:r>
      <w:r>
        <w:rPr>
          <w:sz w:val="22"/>
          <w:szCs w:val="22"/>
          <w:highlight w:val="none"/>
        </w:rPr>
        <w:t xml:space="preserve">1</w:t>
      </w:r>
      <w:r>
        <w:rPr>
          <w:sz w:val="22"/>
          <w:szCs w:val="22"/>
          <w:highlight w:val="none"/>
        </w:rPr>
        <w:t xml:space="preserve">.1. Стороны обязуются соблюдать законодательство Российской Федерации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1</w:t>
      </w:r>
      <w:r>
        <w:rPr>
          <w:sz w:val="22"/>
          <w:szCs w:val="22"/>
          <w:highlight w:val="none"/>
        </w:rPr>
        <w:t xml:space="preserve">1</w:t>
      </w:r>
      <w:r>
        <w:rPr>
          <w:sz w:val="22"/>
          <w:szCs w:val="22"/>
          <w:highlight w:val="none"/>
        </w:rPr>
        <w:t xml:space="preserve">.2. </w:t>
      </w:r>
      <w:r>
        <w:rPr>
          <w:sz w:val="22"/>
          <w:szCs w:val="22"/>
          <w:highlight w:val="none"/>
        </w:rPr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</w:t>
      </w:r>
      <w:r>
        <w:rPr>
          <w:sz w:val="22"/>
          <w:szCs w:val="22"/>
          <w:highlight w:val="none"/>
        </w:rPr>
        <w:t xml:space="preserve">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40" w:lineRule="auto"/>
        <w:rPr>
          <w:b/>
          <w:bCs/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1</w:t>
      </w:r>
      <w:r>
        <w:rPr>
          <w:sz w:val="22"/>
          <w:szCs w:val="22"/>
          <w:highlight w:val="none"/>
        </w:rPr>
        <w:t xml:space="preserve">1</w:t>
      </w:r>
      <w:r>
        <w:rPr>
          <w:sz w:val="22"/>
          <w:szCs w:val="22"/>
          <w:highlight w:val="none"/>
        </w:rPr>
        <w:t xml:space="preserve">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</w:t>
      </w:r>
      <w:r>
        <w:rPr>
          <w:sz w:val="22"/>
          <w:szCs w:val="22"/>
          <w:highlight w:val="none"/>
        </w:rPr>
        <w:t xml:space="preserve">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912"/>
        <w:spacing w:line="240" w:lineRule="auto"/>
        <w:rPr>
          <w:rFonts w:ascii="Times New Roman" w:hAnsi="Times New Roman" w:cs="Times New Roman"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Cs/>
          <w:sz w:val="22"/>
          <w:szCs w:val="22"/>
          <w:highlight w:val="none"/>
        </w:rPr>
        <w:t xml:space="preserve">Приложения:</w:t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</w:p>
    <w:p>
      <w:pPr>
        <w:pStyle w:val="912"/>
        <w:jc w:val="left"/>
        <w:spacing w:line="240" w:lineRule="auto"/>
        <w:rPr>
          <w:rFonts w:ascii="Times New Roman" w:hAnsi="Times New Roman" w:cs="Times New Roman"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Cs/>
          <w:sz w:val="22"/>
          <w:szCs w:val="22"/>
          <w:highlight w:val="none"/>
        </w:rPr>
        <w:t xml:space="preserve">- Спецификация (Приложение № 1 к Контракту).</w:t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</w:p>
    <w:p>
      <w:pPr>
        <w:pStyle w:val="912"/>
        <w:jc w:val="left"/>
        <w:spacing w:line="240" w:lineRule="auto"/>
        <w:rPr>
          <w:rFonts w:ascii="Times New Roman" w:hAnsi="Times New Roman" w:cs="Times New Roman"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</w:p>
    <w:p>
      <w:pPr>
        <w:pStyle w:val="912"/>
        <w:jc w:val="left"/>
        <w:spacing w:line="240" w:lineRule="auto"/>
        <w:rPr>
          <w:rFonts w:ascii="Times New Roman" w:hAnsi="Times New Roman" w:cs="Times New Roman"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sz w:val="22"/>
          <w:szCs w:val="22"/>
          <w:highlight w:val="none"/>
        </w:rPr>
      </w:r>
    </w:p>
    <w:p>
      <w:pPr>
        <w:pStyle w:val="912"/>
        <w:jc w:val="center"/>
        <w:spacing w:line="240" w:lineRule="auto"/>
        <w:rPr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  <w:t xml:space="preserve">11. Юридические адреса, реквизиты С</w:t>
      </w:r>
      <w:r>
        <w:rPr>
          <w:highlight w:val="none"/>
        </w:rPr>
        <w:t xml:space="preserve">торон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tbl>
      <w:tblPr>
        <w:tblW w:w="10138" w:type="dxa"/>
        <w:tblLayout w:type="fixed"/>
        <w:tblLook w:val="0000" w:firstRow="0" w:lastRow="0" w:firstColumn="0" w:lastColumn="0" w:noHBand="0" w:noVBand="0"/>
      </w:tblPr>
      <w:tblGrid>
        <w:gridCol w:w="5048"/>
        <w:gridCol w:w="5090"/>
      </w:tblGrid>
      <w:tr>
        <w:tblPrEx/>
        <w:trPr/>
        <w:tc>
          <w:tcPr>
            <w:tcW w:w="504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2310" w:leader="none"/>
              </w:tabs>
              <w:rPr>
                <w:b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Заказчик</w:t>
            </w:r>
            <w:r>
              <w:rPr>
                <w:sz w:val="22"/>
                <w:szCs w:val="22"/>
                <w:highlight w:val="none"/>
              </w:rPr>
              <w:t xml:space="preserve">:</w:t>
            </w: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shd w:val="clear" w:color="auto" w:fill="ffff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ФГБОУ </w:t>
            </w:r>
            <w:r>
              <w:rPr>
                <w:sz w:val="22"/>
                <w:szCs w:val="22"/>
                <w:highlight w:val="none"/>
              </w:rPr>
              <w:t xml:space="preserve">ВО</w:t>
            </w:r>
            <w:r>
              <w:rPr>
                <w:sz w:val="22"/>
                <w:szCs w:val="22"/>
                <w:highlight w:val="none"/>
              </w:rPr>
              <w:t xml:space="preserve"> «Алтайский государственный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shd w:val="clear" w:color="auto" w:fill="ffff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университет»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ИНН 2225004738    КПП 222501001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Юридический адрес: 656049 г. Барнаул пр. Ленина, д.61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Телефон 8(3852) 291213, 296651, адрес эл. почты: rector@asu.ru, uoz@mail.asu.ru.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Банк получателя: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ОКЦ № 1 </w:t>
            </w:r>
            <w:r>
              <w:rPr>
                <w:bCs/>
                <w:sz w:val="22"/>
                <w:szCs w:val="22"/>
                <w:highlight w:val="none"/>
              </w:rPr>
              <w:t xml:space="preserve">СибГУ</w:t>
            </w:r>
            <w:r>
              <w:rPr>
                <w:bCs/>
                <w:sz w:val="22"/>
                <w:szCs w:val="22"/>
                <w:highlight w:val="none"/>
              </w:rPr>
              <w:t xml:space="preserve"> Банка России // УФК по Новосибирской области, г Новосибирск 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БИК 015004950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Номер казначейского счета, открытого территориальному органу</w:t>
            </w:r>
            <w:r>
              <w:rPr>
                <w:bCs/>
                <w:sz w:val="22"/>
                <w:szCs w:val="22"/>
                <w:highlight w:val="none"/>
              </w:rPr>
              <w:tab/>
              <w:t xml:space="preserve">Федерального казначейства (расчетного счета) 03214643000000015104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Номер банковского</w:t>
            </w:r>
            <w:r>
              <w:rPr>
                <w:bCs/>
                <w:sz w:val="22"/>
                <w:szCs w:val="22"/>
                <w:highlight w:val="none"/>
              </w:rPr>
              <w:tab/>
              <w:t xml:space="preserve">счета,</w:t>
            </w:r>
            <w:r>
              <w:rPr>
                <w:bCs/>
                <w:sz w:val="22"/>
                <w:szCs w:val="22"/>
                <w:highlight w:val="none"/>
              </w:rPr>
              <w:tab/>
              <w:t xml:space="preserve">открытого территориальному</w:t>
            </w:r>
            <w:r>
              <w:rPr>
                <w:bCs/>
                <w:sz w:val="22"/>
                <w:szCs w:val="22"/>
                <w:highlight w:val="none"/>
              </w:rPr>
              <w:tab/>
              <w:t xml:space="preserve">органу</w:t>
            </w:r>
            <w:r>
              <w:rPr>
                <w:bCs/>
                <w:sz w:val="22"/>
                <w:szCs w:val="22"/>
                <w:highlight w:val="none"/>
              </w:rPr>
              <w:tab/>
              <w:t xml:space="preserve"> Федерального казначейства 40102810445370000043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Получатель: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УПРАВЛЕНИЕ ФЕДЕРАЛЬНОГО </w:t>
            </w:r>
            <w:r>
              <w:rPr>
                <w:bCs/>
                <w:sz w:val="22"/>
                <w:szCs w:val="22"/>
                <w:highlight w:val="none"/>
              </w:rPr>
              <w:t xml:space="preserve">КАЗНАЧЕЙСТВА ПО НОВОСИБИРСКОЙ ОБЛАСТИ (ФГБОУ </w:t>
            </w:r>
            <w:r>
              <w:rPr>
                <w:bCs/>
                <w:sz w:val="22"/>
                <w:szCs w:val="22"/>
                <w:highlight w:val="none"/>
              </w:rPr>
              <w:t xml:space="preserve">ВО</w:t>
            </w:r>
            <w:r>
              <w:rPr>
                <w:bCs/>
                <w:sz w:val="22"/>
                <w:szCs w:val="22"/>
                <w:highlight w:val="none"/>
              </w:rPr>
              <w:t xml:space="preserve"> "Алтайский государственный университет" л/с 20176U88990)</w:t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  <w:p>
            <w:pPr>
              <w:keepLines/>
              <w:keepNext/>
              <w:spacing w:line="240" w:lineRule="auto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tcW w:w="5090" w:type="dxa"/>
            <w:textDirection w:val="lrTb"/>
            <w:noWrap w:val="false"/>
          </w:tcPr>
          <w:p>
            <w:pPr>
              <w:pStyle w:val="857"/>
              <w:ind w:left="0"/>
              <w:spacing w:before="0" w:after="0" w:line="240" w:lineRule="auto"/>
              <w:rPr>
                <w:rFonts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highlight w:val="none"/>
              </w:rPr>
              <w:t xml:space="preserve">          Исполнитель:</w:t>
            </w:r>
            <w:r>
              <w:rPr>
                <w:rFonts w:cs="Times New Roman"/>
                <w:sz w:val="22"/>
                <w:szCs w:val="22"/>
                <w:highlight w:val="none"/>
              </w:rPr>
            </w:r>
            <w:r>
              <w:rPr>
                <w:rFonts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bCs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04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2310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Заказчик: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bCs/>
                <w:iCs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______________/ </w:t>
            </w:r>
            <w:r>
              <w:rPr>
                <w:bCs/>
                <w:iCs/>
                <w:sz w:val="22"/>
                <w:szCs w:val="22"/>
                <w:highlight w:val="none"/>
              </w:rPr>
              <w:t xml:space="preserve">С.Н. Бочаров/</w:t>
            </w:r>
            <w:r>
              <w:rPr>
                <w:bCs/>
                <w:iCs/>
                <w:sz w:val="22"/>
                <w:szCs w:val="22"/>
                <w:highlight w:val="none"/>
              </w:rPr>
            </w:r>
            <w:r>
              <w:rPr>
                <w:bCs/>
                <w:i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bCs/>
                <w:iCs/>
                <w:sz w:val="22"/>
                <w:szCs w:val="22"/>
                <w:highlight w:val="none"/>
              </w:rPr>
            </w:pPr>
            <w:r>
              <w:rPr>
                <w:bCs/>
                <w:iCs/>
                <w:sz w:val="22"/>
                <w:szCs w:val="22"/>
                <w:highlight w:val="none"/>
              </w:rPr>
              <w:t xml:space="preserve">МП</w:t>
            </w:r>
            <w:r>
              <w:rPr>
                <w:bCs/>
                <w:iCs/>
                <w:sz w:val="22"/>
                <w:szCs w:val="22"/>
                <w:highlight w:val="none"/>
              </w:rPr>
            </w:r>
            <w:r>
              <w:rPr>
                <w:bCs/>
                <w:i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bCs/>
                <w:iCs/>
                <w:sz w:val="22"/>
                <w:szCs w:val="22"/>
                <w:highlight w:val="none"/>
              </w:rPr>
            </w:pPr>
            <w:r>
              <w:rPr>
                <w:bCs/>
                <w:iCs/>
                <w:sz w:val="22"/>
                <w:szCs w:val="22"/>
                <w:highlight w:val="none"/>
              </w:rPr>
            </w:r>
            <w:r>
              <w:rPr>
                <w:bCs/>
                <w:iCs/>
                <w:sz w:val="22"/>
                <w:szCs w:val="22"/>
                <w:highlight w:val="none"/>
              </w:rPr>
            </w:r>
            <w:r>
              <w:rPr>
                <w:bCs/>
                <w:i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tabs>
                <w:tab w:val="left" w:pos="2310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«____» ______________ 202</w:t>
            </w:r>
            <w:r>
              <w:rPr>
                <w:sz w:val="22"/>
                <w:szCs w:val="22"/>
                <w:highlight w:val="none"/>
              </w:rPr>
              <w:t xml:space="preserve">6</w:t>
            </w:r>
            <w:r>
              <w:rPr>
                <w:sz w:val="22"/>
                <w:szCs w:val="22"/>
                <w:highlight w:val="none"/>
              </w:rPr>
              <w:t xml:space="preserve"> г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090" w:type="dxa"/>
            <w:textDirection w:val="lrTb"/>
            <w:noWrap w:val="false"/>
          </w:tcPr>
          <w:p>
            <w:pPr>
              <w:spacing w:line="240" w:lineRule="auto"/>
              <w:rPr>
                <w:b/>
                <w:i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Исполнитель:</w:t>
            </w:r>
            <w:r>
              <w:rPr>
                <w:b/>
                <w:i/>
                <w:sz w:val="22"/>
                <w:szCs w:val="22"/>
                <w:highlight w:val="none"/>
              </w:rPr>
            </w:r>
            <w:r>
              <w:rPr>
                <w:b/>
                <w:i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bCs/>
                <w:iCs/>
                <w:sz w:val="22"/>
                <w:szCs w:val="22"/>
                <w:highlight w:val="none"/>
              </w:rPr>
            </w:pPr>
            <w:r>
              <w:rPr>
                <w:b/>
                <w:i/>
                <w:sz w:val="22"/>
                <w:szCs w:val="22"/>
                <w:highlight w:val="none"/>
              </w:rPr>
              <w:t xml:space="preserve">______________/ ________________________/</w:t>
            </w:r>
            <w:r>
              <w:rPr>
                <w:bCs/>
                <w:iCs/>
                <w:sz w:val="22"/>
                <w:szCs w:val="22"/>
                <w:highlight w:val="none"/>
              </w:rPr>
            </w:r>
            <w:r>
              <w:rPr>
                <w:bCs/>
                <w:iCs/>
                <w:sz w:val="22"/>
                <w:szCs w:val="22"/>
                <w:highlight w:val="none"/>
              </w:rPr>
            </w:r>
          </w:p>
          <w:p>
            <w:pPr>
              <w:pStyle w:val="904"/>
              <w:rPr>
                <w:sz w:val="22"/>
                <w:szCs w:val="22"/>
                <w:highlight w:val="none"/>
              </w:rPr>
            </w:pPr>
            <w:r>
              <w:rPr>
                <w:bCs/>
                <w:iCs/>
                <w:sz w:val="22"/>
                <w:szCs w:val="22"/>
                <w:highlight w:val="none"/>
              </w:rPr>
              <w:t xml:space="preserve">МП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904"/>
              <w:spacing w:after="0" w:line="240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«____» ______________ 202</w:t>
            </w:r>
            <w:r>
              <w:rPr>
                <w:sz w:val="22"/>
                <w:szCs w:val="22"/>
                <w:highlight w:val="none"/>
              </w:rPr>
              <w:t xml:space="preserve">6</w:t>
            </w:r>
            <w:r>
              <w:rPr>
                <w:sz w:val="22"/>
                <w:szCs w:val="22"/>
                <w:highlight w:val="none"/>
              </w:rPr>
              <w:t xml:space="preserve"> г.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highlight w:val="none"/>
        </w:rPr>
      </w:r>
      <w:bookmarkStart w:id="1" w:name="_GoBack1"/>
      <w:r>
        <w:rPr>
          <w:highlight w:val="none"/>
        </w:rPr>
      </w:r>
      <w:bookmarkEnd w:id="1"/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                   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 Приложение № 1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708"/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                   к Контракту_____________________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708"/>
        <w:jc w:val="right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от ________________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40" w:lineRule="auto"/>
        <w:shd w:val="clear" w:color="auto" w:fill="ffffff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СПЕЦИФИКАЦИЯ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40" w:lineRule="auto"/>
        <w:shd w:val="clear" w:color="auto" w:fill="ffffff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20"/>
        <w:numPr>
          <w:ilvl w:val="0"/>
          <w:numId w:val="5"/>
        </w:numPr>
        <w:contextualSpacing/>
        <w:ind w:left="0" w:firstLine="709"/>
        <w:jc w:val="both"/>
        <w:keepLines/>
        <w:keepNext/>
        <w:tabs>
          <w:tab w:val="left" w:pos="1134" w:leader="none"/>
        </w:tabs>
        <w:rPr>
          <w:sz w:val="21"/>
          <w:szCs w:val="21"/>
          <w:highlight w:val="none"/>
        </w:rPr>
        <w:suppressLineNumbers/>
      </w:pPr>
      <w:r>
        <w:rPr>
          <w:highlight w:val="none"/>
        </w:rPr>
        <w:t xml:space="preserve">Наименование объекта закупки:</w:t>
      </w:r>
      <w:r>
        <w:rPr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Услуги по организации проезда и проживания участников научно-исследовательской международной этнографической экспедиции «Большой Алтай: тюркское наследие – 2026»  ФГБОУ </w:t>
      </w:r>
      <w:r>
        <w:rPr>
          <w:sz w:val="21"/>
          <w:szCs w:val="21"/>
          <w:highlight w:val="none"/>
        </w:rPr>
        <w:t xml:space="preserve">ВО</w:t>
      </w:r>
      <w:r>
        <w:rPr>
          <w:sz w:val="21"/>
          <w:szCs w:val="21"/>
          <w:highlight w:val="none"/>
        </w:rPr>
        <w:t xml:space="preserve"> «Алтайский государственный университет»  в рамках реализации Года единства народов России и развития научных исследований и международного сотрудничества в области </w:t>
      </w:r>
      <w:r>
        <w:rPr>
          <w:sz w:val="21"/>
          <w:szCs w:val="21"/>
          <w:highlight w:val="none"/>
        </w:rPr>
        <w:t xml:space="preserve">алтаистики</w:t>
      </w:r>
      <w:r>
        <w:rPr>
          <w:sz w:val="21"/>
          <w:szCs w:val="21"/>
          <w:highlight w:val="none"/>
        </w:rPr>
        <w:t xml:space="preserve"> и тюркологии и реализации пункта №1 «Проектирование и проведение международных конференций, круглых столов для обобщения, систематизации и популяризации историко-культурного населения тюркской цивилизации </w:t>
      </w:r>
      <w:r>
        <w:rPr>
          <w:sz w:val="21"/>
          <w:szCs w:val="21"/>
          <w:highlight w:val="none"/>
        </w:rPr>
        <w:t xml:space="preserve">с участием университетов и академических структур стран Большого Алтая и </w:t>
      </w:r>
      <w:r>
        <w:rPr>
          <w:sz w:val="21"/>
          <w:szCs w:val="21"/>
          <w:highlight w:val="none"/>
        </w:rPr>
        <w:t xml:space="preserve">Центральной Азии» (Паспорт проекта (реестровый номер - 850000Ф.99.1.БН66АА04000) «Научно-экспертная и организационно-методическая работа по обеспечению мероприятия проекта "Тюркский мир "Большого Алтая": единство и многообразие в истории и современности"».</w:t>
      </w:r>
      <w:r>
        <w:rPr>
          <w:sz w:val="21"/>
          <w:szCs w:val="21"/>
          <w:highlight w:val="none"/>
        </w:rPr>
      </w:r>
      <w:r>
        <w:rPr>
          <w:sz w:val="21"/>
          <w:szCs w:val="21"/>
          <w:highlight w:val="none"/>
        </w:rPr>
      </w:r>
    </w:p>
    <w:p>
      <w:pPr>
        <w:pStyle w:val="920"/>
        <w:numPr>
          <w:ilvl w:val="0"/>
          <w:numId w:val="5"/>
        </w:numPr>
        <w:ind w:left="0" w:firstLine="709"/>
        <w:spacing w:line="264" w:lineRule="auto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Функциональные, технические и качественные характеристики, эксплуатационные характ</w:t>
      </w:r>
      <w:r>
        <w:rPr>
          <w:sz w:val="22"/>
          <w:szCs w:val="22"/>
          <w:highlight w:val="none"/>
        </w:rPr>
        <w:t xml:space="preserve">е</w:t>
      </w:r>
      <w:r>
        <w:rPr>
          <w:sz w:val="22"/>
          <w:szCs w:val="22"/>
          <w:highlight w:val="none"/>
        </w:rPr>
        <w:t xml:space="preserve">ристики объекта закупки (при необходимости) (далее-услуга):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spacing w:line="264" w:lineRule="auto"/>
        <w:tabs>
          <w:tab w:val="left" w:pos="5898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ab/>
      </w:r>
      <w:r>
        <w:rPr>
          <w:sz w:val="22"/>
          <w:szCs w:val="22"/>
          <w:highlight w:val="none"/>
        </w:rPr>
        <w:t xml:space="preserve">     </w:t>
      </w:r>
      <w:r>
        <w:rPr>
          <w:sz w:val="22"/>
          <w:szCs w:val="22"/>
          <w:highlight w:val="none"/>
        </w:rPr>
        <w:t xml:space="preserve">Таблица №1 Описание объекта закупки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503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2209"/>
        <w:gridCol w:w="3699"/>
        <w:gridCol w:w="1133"/>
        <w:gridCol w:w="851"/>
        <w:gridCol w:w="851"/>
        <w:gridCol w:w="851"/>
      </w:tblGrid>
      <w:tr>
        <w:tblPrEx/>
        <w:trPr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№ </w:t>
            </w:r>
            <w:r>
              <w:rPr>
                <w:sz w:val="22"/>
                <w:szCs w:val="22"/>
                <w:highlight w:val="none"/>
              </w:rPr>
              <w:t xml:space="preserve">п</w:t>
            </w:r>
            <w:r>
              <w:rPr>
                <w:sz w:val="22"/>
                <w:szCs w:val="22"/>
                <w:highlight w:val="none"/>
              </w:rPr>
              <w:t xml:space="preserve">/п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9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Наименование </w:t>
            </w:r>
            <w:r>
              <w:rPr>
                <w:sz w:val="22"/>
                <w:szCs w:val="22"/>
                <w:highlight w:val="none"/>
              </w:rPr>
              <w:t xml:space="preserve">У</w:t>
            </w:r>
            <w:r>
              <w:rPr>
                <w:sz w:val="22"/>
                <w:szCs w:val="22"/>
                <w:highlight w:val="none"/>
              </w:rPr>
              <w:t xml:space="preserve">сл</w:t>
            </w:r>
            <w:r>
              <w:rPr>
                <w:sz w:val="22"/>
                <w:szCs w:val="22"/>
                <w:highlight w:val="none"/>
              </w:rPr>
              <w:t xml:space="preserve">у</w:t>
            </w:r>
            <w:r>
              <w:rPr>
                <w:sz w:val="22"/>
                <w:szCs w:val="22"/>
                <w:highlight w:val="none"/>
              </w:rPr>
              <w:t xml:space="preserve">ги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99" w:type="dxa"/>
            <w:textDirection w:val="lrTb"/>
            <w:noWrap w:val="false"/>
          </w:tcPr>
          <w:p>
            <w:pPr>
              <w:jc w:val="both"/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Требования к объему </w:t>
            </w:r>
            <w:r>
              <w:rPr>
                <w:sz w:val="22"/>
                <w:szCs w:val="22"/>
                <w:highlight w:val="none"/>
              </w:rPr>
              <w:t xml:space="preserve">У</w:t>
            </w:r>
            <w:r>
              <w:rPr>
                <w:sz w:val="22"/>
                <w:szCs w:val="22"/>
                <w:highlight w:val="none"/>
              </w:rPr>
              <w:t xml:space="preserve">слуги (или порядку его определения), составу и (или) содержанию, результатам, ср</w:t>
            </w:r>
            <w:r>
              <w:rPr>
                <w:sz w:val="22"/>
                <w:szCs w:val="22"/>
                <w:highlight w:val="none"/>
              </w:rPr>
              <w:t xml:space="preserve">о</w:t>
            </w:r>
            <w:r>
              <w:rPr>
                <w:sz w:val="22"/>
                <w:szCs w:val="22"/>
                <w:highlight w:val="none"/>
              </w:rPr>
              <w:t xml:space="preserve">кам и (или) последовательности их оказания, место оказания </w:t>
            </w:r>
            <w:r>
              <w:rPr>
                <w:sz w:val="22"/>
                <w:szCs w:val="22"/>
                <w:highlight w:val="none"/>
              </w:rPr>
              <w:t xml:space="preserve">У</w:t>
            </w:r>
            <w:r>
              <w:rPr>
                <w:sz w:val="22"/>
                <w:szCs w:val="22"/>
                <w:highlight w:val="none"/>
              </w:rPr>
              <w:t xml:space="preserve">слуг.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Ед. изм.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Кол-во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Цена за ед</w:t>
            </w:r>
            <w:r>
              <w:rPr>
                <w:sz w:val="22"/>
                <w:szCs w:val="22"/>
                <w:highlight w:val="none"/>
              </w:rPr>
              <w:t xml:space="preserve">и</w:t>
            </w:r>
            <w:r>
              <w:rPr>
                <w:sz w:val="22"/>
                <w:szCs w:val="22"/>
                <w:highlight w:val="none"/>
              </w:rPr>
              <w:t xml:space="preserve">ницу, руб., с уч</w:t>
            </w:r>
            <w:r>
              <w:rPr>
                <w:sz w:val="22"/>
                <w:szCs w:val="22"/>
                <w:highlight w:val="none"/>
              </w:rPr>
              <w:t xml:space="preserve">е</w:t>
            </w:r>
            <w:r>
              <w:rPr>
                <w:sz w:val="22"/>
                <w:szCs w:val="22"/>
                <w:highlight w:val="none"/>
              </w:rPr>
              <w:t xml:space="preserve">том НДС/без НДС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Сумма руб., с уч</w:t>
            </w:r>
            <w:r>
              <w:rPr>
                <w:sz w:val="22"/>
                <w:szCs w:val="22"/>
                <w:highlight w:val="none"/>
              </w:rPr>
              <w:t xml:space="preserve">е</w:t>
            </w:r>
            <w:r>
              <w:rPr>
                <w:sz w:val="22"/>
                <w:szCs w:val="22"/>
                <w:highlight w:val="none"/>
              </w:rPr>
              <w:t xml:space="preserve">том НДС / без НДС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4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9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Услуги по организации  проезда участников научно-исследовательской международной этнографической экспедиции «Большой Алтай: тюркское наследие – 2026»  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99" w:type="dxa"/>
            <w:textDirection w:val="lrTb"/>
            <w:noWrap w:val="false"/>
          </w:tcPr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Исполнитель оказывает услуги по организации проезда 2 участников исследовательской международной этнографической экспедиции «Большой Алтай: тюркское наследие – 2026»  воздушным видом транспорта (самолет) по маршрутам: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1. г. Ашхабад – г. Казань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Дата прилета:07.08.2026 г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класс «Эконом», с багажом, невозвратный –  2 человека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2.</w:t>
            </w:r>
            <w:r>
              <w:rPr>
                <w:sz w:val="21"/>
                <w:szCs w:val="21"/>
                <w:highlight w:val="none"/>
              </w:rPr>
              <w:tab/>
              <w:t xml:space="preserve">г. Казан</w:t>
            </w:r>
            <w:r>
              <w:rPr>
                <w:sz w:val="21"/>
                <w:szCs w:val="21"/>
                <w:highlight w:val="none"/>
              </w:rPr>
              <w:t xml:space="preserve">ь-</w:t>
            </w:r>
            <w:r>
              <w:rPr>
                <w:sz w:val="21"/>
                <w:szCs w:val="21"/>
                <w:highlight w:val="none"/>
              </w:rPr>
              <w:t xml:space="preserve"> – г. Барнаул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Дата прилета: 08.08.2026 г.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класс «Эконом», с багажом, невозвратный –  2 человека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3.</w:t>
            </w:r>
            <w:r>
              <w:rPr>
                <w:sz w:val="21"/>
                <w:szCs w:val="21"/>
                <w:highlight w:val="none"/>
              </w:rPr>
              <w:tab/>
              <w:t xml:space="preserve">г. Барнаул – г. Казань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Дата вылета:19.08.2026 г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класс «Эконом», с багажом, невозвратный –  2 человека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4.</w:t>
            </w:r>
            <w:r>
              <w:rPr>
                <w:sz w:val="21"/>
                <w:szCs w:val="21"/>
                <w:highlight w:val="none"/>
              </w:rPr>
              <w:tab/>
              <w:t xml:space="preserve">г. Казан</w:t>
            </w:r>
            <w:r>
              <w:rPr>
                <w:sz w:val="21"/>
                <w:szCs w:val="21"/>
                <w:highlight w:val="none"/>
              </w:rPr>
              <w:t xml:space="preserve">ь-</w:t>
            </w:r>
            <w:r>
              <w:rPr>
                <w:sz w:val="21"/>
                <w:szCs w:val="21"/>
                <w:highlight w:val="none"/>
              </w:rPr>
              <w:t xml:space="preserve"> – г. Ашхабад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Дата вылета: 19.08.2026 г.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класс «Эконом», с багажом, невозвратный –  2 человека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Услуги должны соответствовать: 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– Приказ Минтранса России от 08.11.2006 N 134 "Об установлении формы электронного пассажирского билета и багажной квитанции в гражданской авиации" (Зарегистрировано в Минюсте России 24.01.2007 N 8835);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Приказ Минтранса России от </w:t>
            </w:r>
            <w:r>
              <w:rPr>
                <w:sz w:val="21"/>
                <w:szCs w:val="21"/>
                <w:highlight w:val="none"/>
              </w:rPr>
              <w:t xml:space="preserve">28.06.2007 N 82 "Об утверждении Федеральных авиационных правил "Общие правила воздушных перевозок пассажиров, багажа, грузов и требования к обслуживанию пассажиров, грузоотправителей, грузополучателей" (Зарегистрировано в Минюсте России 27.09.2007 N 10186)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  <w:lang w:eastAsia="ar-SA"/>
              </w:rPr>
              <w:t xml:space="preserve">усл.ед</w:t>
            </w:r>
            <w:r>
              <w:rPr>
                <w:sz w:val="21"/>
                <w:szCs w:val="21"/>
                <w:highlight w:val="none"/>
                <w:lang w:eastAsia="ar-SA"/>
              </w:rPr>
              <w:t xml:space="preserve">.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2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4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9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Услуги по организации проживания участников научно-исследовательской международной этнографической экспедиции «Большой Алтай: тюркское наследие – 2026»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99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Исполнитель оказывает услуги по организации проживания: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размещен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ие 2 участников научно-исследовательской международной этнографической экспедиции «Большой Алтай: тюркское наследие – 2026» в  благоустроенных одноместных номерах категории «Стандарт» в гостинице,  с  трехразовым  питанием (завтрак, обед, ужин)  в период: 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 08.08.2026 г. по 10.08.2026 г. (двое суток);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 18.08.2026 г. по 19.08.2026 г. (одни сутки).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Гостиница должна быть в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пределах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г. Барнаула: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Площадь номера должна составлять не менее 10 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2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Гостиничный номер должен быть оборудован: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односпальной/двуспальной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кроватью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;ш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кафом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для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одежды;письменным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столом или журнальным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столиком;стулом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холодильником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;т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елевизором;бесплатным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Wi-Fi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;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зеркалом;санузлом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,  душем в номере;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Каждому гостю на сутки должны быть выданы: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-индивидуальный гигиенический набор;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-комплект полотенец.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Услуги должны соответствовать: 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Постановлению Правительства Российской Федерации от 27 ноября 2025 г. № 1912 «Об утверждении Правил предоставления гостиничных услуг и услуг иных средств размещения в Российской Федерации»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Примерное меню: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  <w:u w:val="single"/>
              </w:rPr>
            </w:pPr>
            <w:r>
              <w:rPr>
                <w:color w:val="000000"/>
                <w:sz w:val="21"/>
                <w:szCs w:val="21"/>
                <w:highlight w:val="none"/>
                <w:u w:val="single"/>
              </w:rPr>
              <w:t xml:space="preserve">Завтрак:</w:t>
            </w:r>
            <w:r>
              <w:rPr>
                <w:sz w:val="21"/>
                <w:szCs w:val="21"/>
                <w:highlight w:val="none"/>
                <w:u w:val="single"/>
              </w:rPr>
            </w:r>
            <w:r>
              <w:rPr>
                <w:sz w:val="21"/>
                <w:szCs w:val="21"/>
                <w:highlight w:val="none"/>
                <w:u w:val="singl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Каша овсяная/рисовая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Блины/сырники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Хлеб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Масло сливочное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Чай/кофе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  <w:u w:val="single"/>
              </w:rPr>
              <w:t xml:space="preserve">Обед: 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Котлета куриная/отбивная из курицы (говядины)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Гречневая крупа/рис/картофельное пюре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Салат овощной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Морс/чай/кофе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  <w:u w:val="single"/>
              </w:rPr>
              <w:t xml:space="preserve">Ужин: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Котлета куриная/отбивная из курицы (говядины)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Гречневая крупа/рис/картофельное пюре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Изделие кондитерское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Салат овощной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contextualSpacing/>
              <w:keepLines/>
              <w:keepNext/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Морс/чай/кофе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  <w:lang w:eastAsia="ar-SA"/>
              </w:rPr>
              <w:t xml:space="preserve">Человеко-день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6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4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9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Услуги по организации проживания участников научно-исследовательской международной этнографической экспедиции «Большой Алтай: тюркское наследие – 2026» по месту проведения научно-исследовательских работ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99" w:type="dxa"/>
            <w:textDirection w:val="lrTb"/>
            <w:noWrap w:val="false"/>
          </w:tcPr>
          <w:p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Исполнитель оказывает услуги по организации проживания участников научно-исследовательской международной этнографической экспедиции «Большой Алтай: тюркское наследие – 2026»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: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 1.Размещение 2 участников в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отеле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«Старт» по адресу: Республика Алтай, г. Горно-Алтайск в период 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 10.08. 2026 – 11.08. 2026  (одни сутки);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2. Размещение 2 участников на базе отдыха «Алтын-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Кель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» по адресу: Республика Алтай,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Турочакский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район, село Артыбаш, 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в период с 11.08.2026 –  13.08.2026 (двое суток);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3. Размещение 2 участников в гостинице «Надежда» и/или  гостинице «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Айылчы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Тура» по адресу: Республика Алтай,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Усть-Канский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район, село Усть-Кан, в период: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 13.08.2026 – 14.08.2026 (одни сутки);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 17.08.2026 – 18.08.2026 (одни сутки).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4. Размещение 2 участников в эко-отеле «Альтаир» по адресу: Республика Алтай,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Усть-Коксинский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 район, село Усть-Кокса,  в период: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 с 14.08.2026 – 17.08.2026 (трое суток).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Во всех местах проживания, номерной фонд должен соответствовать следующим требованиям: благоустроенные номер с включенным завтраком; допускается одно-, двух- или трёхместное размещение. При этом исполнитель обязан гарантировать, что в двух‑ и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трёхместных номерах все спальные места будут заняты лицами одного пола (все проживающие — мужчины либо все — женщины)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Гостиничный номер должен быть оборудован: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односпальной (односпальными) кроватью (кроватями);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шкафом для одежды;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стульями (по количеству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проживающих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);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холодильником;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телевизором;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зеркалом;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санузлом,  душем в 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номере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Каждому гостю на сутки должны быть выданы: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-индивидуальный гигиенический набор;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- комплект полотенец.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Услуги должны соответствовать: 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  <w:p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Постановлению Правительства Российской Федерации от 27 ноября 2025 г. № 1912 «Об утверждении Правил предоставления гостиничных услуг и услуг иных средств размещения в Российской Федерации»</w:t>
            </w:r>
            <w:r>
              <w:rPr>
                <w:color w:val="000000"/>
                <w:sz w:val="21"/>
                <w:szCs w:val="21"/>
                <w:highlight w:val="none"/>
              </w:rPr>
            </w:r>
            <w:r>
              <w:rPr>
                <w:color w:val="000000"/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contextualSpacing/>
              <w:keepLines/>
              <w:keepNext/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  <w:lang w:eastAsia="ar-SA"/>
              </w:rPr>
              <w:t xml:space="preserve">Человеко-день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40" w:lineRule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 xml:space="preserve">16</w:t>
            </w:r>
            <w:r>
              <w:rPr>
                <w:sz w:val="21"/>
                <w:szCs w:val="21"/>
                <w:highlight w:val="none"/>
              </w:rPr>
            </w:r>
            <w:r>
              <w:rPr>
                <w:sz w:val="21"/>
                <w:szCs w:val="2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64" w:lineRule="auto"/>
              <w:tabs>
                <w:tab w:val="left" w:pos="589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pPr>
        <w:spacing w:line="240" w:lineRule="auto"/>
        <w:rPr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  <w:t xml:space="preserve">Заказчик:</w:t>
      </w:r>
      <w:r>
        <w:rPr>
          <w:sz w:val="22"/>
          <w:szCs w:val="22"/>
          <w:highlight w:val="none"/>
        </w:rPr>
        <w:t xml:space="preserve">                                                           </w:t>
      </w:r>
      <w:r>
        <w:rPr>
          <w:sz w:val="22"/>
          <w:szCs w:val="22"/>
          <w:highlight w:val="none"/>
        </w:rPr>
        <w:tab/>
        <w:t xml:space="preserve">       </w:t>
      </w:r>
      <w:r>
        <w:rPr>
          <w:sz w:val="22"/>
          <w:szCs w:val="22"/>
          <w:highlight w:val="none"/>
        </w:rPr>
        <w:tab/>
      </w:r>
      <w:r>
        <w:rPr>
          <w:b/>
          <w:sz w:val="22"/>
          <w:szCs w:val="22"/>
          <w:highlight w:val="none"/>
        </w:rPr>
        <w:t xml:space="preserve">Исполнитель: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4"/>
        <w:spacing w:before="0" w:after="0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______________/ С.Н. Бочаров/</w:t>
      </w:r>
      <w:r>
        <w:rPr>
          <w:sz w:val="22"/>
          <w:szCs w:val="22"/>
          <w:highlight w:val="none"/>
        </w:rPr>
        <w:tab/>
      </w:r>
      <w:r>
        <w:rPr>
          <w:sz w:val="22"/>
          <w:szCs w:val="22"/>
          <w:highlight w:val="none"/>
        </w:rPr>
        <w:tab/>
        <w:t xml:space="preserve">   </w:t>
      </w:r>
      <w:r>
        <w:rPr>
          <w:sz w:val="22"/>
          <w:szCs w:val="22"/>
          <w:highlight w:val="none"/>
        </w:rPr>
        <w:tab/>
        <w:t xml:space="preserve">________________/ ___________________/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spacing w:line="240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«____» ______________ 202</w:t>
      </w:r>
      <w:r>
        <w:rPr>
          <w:sz w:val="22"/>
          <w:szCs w:val="22"/>
          <w:highlight w:val="none"/>
        </w:rPr>
        <w:t xml:space="preserve">6</w:t>
      </w:r>
      <w:r>
        <w:rPr>
          <w:sz w:val="22"/>
          <w:szCs w:val="22"/>
          <w:highlight w:val="none"/>
        </w:rPr>
        <w:t xml:space="preserve"> г.</w:t>
      </w:r>
      <w:r>
        <w:rPr>
          <w:sz w:val="22"/>
          <w:szCs w:val="22"/>
          <w:highlight w:val="none"/>
        </w:rPr>
        <w:tab/>
      </w:r>
      <w:r>
        <w:rPr>
          <w:sz w:val="22"/>
          <w:szCs w:val="22"/>
          <w:highlight w:val="none"/>
        </w:rPr>
        <w:tab/>
      </w:r>
      <w:r>
        <w:rPr>
          <w:sz w:val="22"/>
          <w:szCs w:val="22"/>
          <w:highlight w:val="none"/>
        </w:rPr>
        <w:tab/>
        <w:t xml:space="preserve"> «____» ______________ 202</w:t>
      </w:r>
      <w:r>
        <w:rPr>
          <w:sz w:val="22"/>
          <w:szCs w:val="22"/>
          <w:highlight w:val="none"/>
        </w:rPr>
        <w:t xml:space="preserve">6</w:t>
      </w:r>
      <w:r>
        <w:rPr>
          <w:sz w:val="22"/>
          <w:szCs w:val="22"/>
          <w:highlight w:val="none"/>
        </w:rPr>
        <w:t xml:space="preserve"> г.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64" w:right="850" w:bottom="764" w:left="1134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Mangal;Courier">
    <w:panose1 w:val="02000603000000000000"/>
  </w:font>
  <w:font w:name="Liberation Mono;Courier New">
    <w:panose1 w:val="02070409020205020404"/>
  </w:font>
  <w:font w:name="Segoe UI">
    <w:panose1 w:val="020B0502040504020204"/>
  </w:font>
  <w:font w:name="OpenSymbol;Arial Unicode MS">
    <w:panose1 w:val="05010000000000000000"/>
  </w:font>
  <w:font w:name="Tahoma">
    <w:panose1 w:val="020B0604030504040204"/>
  </w:font>
  <w:font w:name="Calibri">
    <w:panose1 w:val="020F0502020204030204"/>
  </w:font>
  <w:font w:name="Microsoft YaHei">
    <w:panose1 w:val="020B0503020203020204"/>
  </w:font>
  <w:font w:name="Times New Roman">
    <w:panose1 w:val="02020603050405020304"/>
  </w:font>
  <w:font w:name="Wingdings">
    <w:panose1 w:val="05010000000000000000"/>
  </w:font>
  <w:font w:name="Noto Serif CJK SC">
    <w:panose1 w:val="02020400000000000000"/>
  </w:font>
  <w:font w:name="FreeSans">
    <w:panose1 w:val="020B050402020202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tabs>
        <w:tab w:val="clear" w:pos="4677" w:leader="none"/>
        <w:tab w:val="left" w:pos="6990" w:leader="none"/>
        <w:tab w:val="left" w:pos="7065" w:leader="none"/>
        <w:tab w:val="clear" w:pos="9355" w:leader="none"/>
      </w:tabs>
    </w:pPr>
    <w:r>
      <w:tab/>
    </w: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none"/>
      <w:pStyle w:val="85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57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09" w:hanging="900"/>
        <w:tabs>
          <w:tab w:val="num" w:pos="0" w:leader="none"/>
        </w:tabs>
      </w:pPr>
      <w:rPr>
        <w:rFonts w:ascii="Times New Roman" w:hAnsi="Times New Roman" w:eastAsia="Calibri" w:cs="Times New Roman"/>
        <w:b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429" w:hanging="72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1789" w:hanging="108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1789" w:hanging="108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49" w:hanging="1440"/>
        <w:tabs>
          <w:tab w:val="num" w:pos="0" w:leader="none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Noto Serif CJK SC" w:cs="FreeSans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865"/>
    <w:link w:val="856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865"/>
    <w:link w:val="857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865"/>
    <w:link w:val="858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865"/>
    <w:link w:val="859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865"/>
    <w:link w:val="860"/>
    <w:uiPriority w:val="9"/>
    <w:rPr>
      <w:rFonts w:ascii="Arial" w:hAnsi="Arial" w:eastAsia="Arial" w:cs="Arial"/>
      <w:b/>
      <w:bCs/>
      <w:sz w:val="24"/>
      <w:szCs w:val="24"/>
    </w:rPr>
  </w:style>
  <w:style w:type="character" w:styleId="698">
    <w:name w:val="Heading 6 Char"/>
    <w:basedOn w:val="865"/>
    <w:link w:val="861"/>
    <w:uiPriority w:val="9"/>
    <w:rPr>
      <w:rFonts w:ascii="Arial" w:hAnsi="Arial" w:eastAsia="Arial" w:cs="Arial"/>
      <w:b/>
      <w:bCs/>
      <w:sz w:val="22"/>
      <w:szCs w:val="22"/>
    </w:rPr>
  </w:style>
  <w:style w:type="character" w:styleId="699">
    <w:name w:val="Heading 7 Char"/>
    <w:basedOn w:val="865"/>
    <w:link w:val="8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8 Char"/>
    <w:basedOn w:val="865"/>
    <w:link w:val="863"/>
    <w:uiPriority w:val="9"/>
    <w:rPr>
      <w:rFonts w:ascii="Arial" w:hAnsi="Arial" w:eastAsia="Arial" w:cs="Arial"/>
      <w:i/>
      <w:iCs/>
      <w:sz w:val="22"/>
      <w:szCs w:val="22"/>
    </w:rPr>
  </w:style>
  <w:style w:type="character" w:styleId="701">
    <w:name w:val="Heading 9 Char"/>
    <w:basedOn w:val="865"/>
    <w:link w:val="864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Title"/>
    <w:basedOn w:val="855"/>
    <w:next w:val="855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65"/>
    <w:link w:val="702"/>
    <w:uiPriority w:val="10"/>
    <w:rPr>
      <w:sz w:val="48"/>
      <w:szCs w:val="48"/>
    </w:rPr>
  </w:style>
  <w:style w:type="character" w:styleId="704">
    <w:name w:val="Subtitle Char"/>
    <w:basedOn w:val="865"/>
    <w:link w:val="913"/>
    <w:uiPriority w:val="11"/>
    <w:rPr>
      <w:sz w:val="24"/>
      <w:szCs w:val="24"/>
    </w:rPr>
  </w:style>
  <w:style w:type="paragraph" w:styleId="705">
    <w:name w:val="Quote"/>
    <w:basedOn w:val="855"/>
    <w:next w:val="855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5"/>
    <w:next w:val="855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65"/>
    <w:link w:val="917"/>
    <w:uiPriority w:val="99"/>
  </w:style>
  <w:style w:type="character" w:styleId="710">
    <w:name w:val="Footer Char"/>
    <w:basedOn w:val="865"/>
    <w:link w:val="918"/>
    <w:uiPriority w:val="99"/>
  </w:style>
  <w:style w:type="character" w:styleId="711">
    <w:name w:val="Caption Char"/>
    <w:basedOn w:val="906"/>
    <w:link w:val="918"/>
    <w:uiPriority w:val="99"/>
  </w:style>
  <w:style w:type="table" w:styleId="712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812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813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814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815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816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817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9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20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21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22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23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24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26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27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28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29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30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31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65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65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spacing w:line="100" w:lineRule="atLeast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56">
    <w:name w:val="Heading 1"/>
    <w:basedOn w:val="855"/>
    <w:next w:val="904"/>
    <w:qFormat/>
    <w:pPr>
      <w:numPr>
        <w:ilvl w:val="0"/>
        <w:numId w:val="1"/>
      </w:numPr>
      <w:jc w:val="both"/>
      <w:keepNext/>
      <w:outlineLvl w:val="0"/>
    </w:pPr>
    <w:rPr>
      <w:b/>
    </w:rPr>
  </w:style>
  <w:style w:type="paragraph" w:styleId="857">
    <w:name w:val="Heading 2"/>
    <w:basedOn w:val="855"/>
    <w:next w:val="904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58">
    <w:name w:val="Heading 3"/>
    <w:basedOn w:val="855"/>
    <w:next w:val="855"/>
    <w:qFormat/>
    <w:pPr>
      <w:ind w:left="720" w:hanging="720"/>
      <w:keepNext/>
      <w:spacing w:before="240" w:after="60" w:line="240" w:lineRule="auto"/>
      <w:tabs>
        <w:tab w:val="left" w:pos="0" w:leader="none"/>
      </w:tabs>
      <w:outlineLvl w:val="2"/>
    </w:pPr>
    <w:rPr>
      <w:rFonts w:ascii="Arial" w:hAnsi="Arial" w:cs="Calibri"/>
      <w:b/>
      <w:bCs/>
      <w:sz w:val="26"/>
      <w:szCs w:val="26"/>
    </w:rPr>
  </w:style>
  <w:style w:type="paragraph" w:styleId="859">
    <w:name w:val="Heading 4"/>
    <w:basedOn w:val="855"/>
    <w:next w:val="855"/>
    <w:qFormat/>
    <w:pPr>
      <w:ind w:left="864" w:hanging="864"/>
      <w:keepNext/>
      <w:spacing w:before="240" w:after="60" w:line="240" w:lineRule="auto"/>
      <w:tabs>
        <w:tab w:val="left" w:pos="0" w:leader="none"/>
      </w:tabs>
      <w:outlineLvl w:val="3"/>
    </w:pPr>
    <w:rPr>
      <w:rFonts w:cs="Calibri"/>
      <w:b/>
      <w:bCs/>
      <w:sz w:val="28"/>
      <w:szCs w:val="28"/>
    </w:rPr>
  </w:style>
  <w:style w:type="paragraph" w:styleId="860">
    <w:name w:val="Heading 5"/>
    <w:basedOn w:val="855"/>
    <w:next w:val="855"/>
    <w:qFormat/>
    <w:pPr>
      <w:ind w:left="1008" w:hanging="1008"/>
      <w:spacing w:before="240" w:after="60" w:line="240" w:lineRule="auto"/>
      <w:tabs>
        <w:tab w:val="left" w:pos="0" w:leader="none"/>
      </w:tabs>
      <w:outlineLvl w:val="4"/>
    </w:pPr>
    <w:rPr>
      <w:rFonts w:cs="Calibri"/>
      <w:b/>
      <w:bCs/>
      <w:i/>
      <w:iCs/>
      <w:sz w:val="26"/>
      <w:szCs w:val="26"/>
    </w:rPr>
  </w:style>
  <w:style w:type="paragraph" w:styleId="861">
    <w:name w:val="Heading 6"/>
    <w:basedOn w:val="855"/>
    <w:next w:val="855"/>
    <w:qFormat/>
    <w:pPr>
      <w:ind w:left="1152" w:hanging="1152"/>
      <w:spacing w:before="240" w:after="60" w:line="240" w:lineRule="auto"/>
      <w:tabs>
        <w:tab w:val="left" w:pos="0" w:leader="none"/>
      </w:tabs>
      <w:outlineLvl w:val="5"/>
    </w:pPr>
    <w:rPr>
      <w:rFonts w:cs="Calibri"/>
      <w:b/>
      <w:bCs/>
      <w:sz w:val="20"/>
      <w:szCs w:val="20"/>
    </w:rPr>
  </w:style>
  <w:style w:type="paragraph" w:styleId="862">
    <w:name w:val="Heading 7"/>
    <w:basedOn w:val="855"/>
    <w:next w:val="855"/>
    <w:qFormat/>
    <w:pPr>
      <w:ind w:left="1296" w:hanging="1296"/>
      <w:spacing w:before="240" w:after="60" w:line="240" w:lineRule="auto"/>
      <w:tabs>
        <w:tab w:val="left" w:pos="0" w:leader="none"/>
      </w:tabs>
      <w:outlineLvl w:val="6"/>
    </w:pPr>
    <w:rPr>
      <w:rFonts w:cs="Calibri"/>
    </w:rPr>
  </w:style>
  <w:style w:type="paragraph" w:styleId="863">
    <w:name w:val="Heading 8"/>
    <w:basedOn w:val="855"/>
    <w:next w:val="855"/>
    <w:qFormat/>
    <w:pPr>
      <w:ind w:left="1440" w:hanging="1440"/>
      <w:spacing w:before="240" w:after="60" w:line="240" w:lineRule="auto"/>
      <w:tabs>
        <w:tab w:val="left" w:pos="0" w:leader="none"/>
      </w:tabs>
      <w:outlineLvl w:val="7"/>
    </w:pPr>
    <w:rPr>
      <w:rFonts w:cs="Calibri"/>
      <w:i/>
      <w:iCs/>
    </w:rPr>
  </w:style>
  <w:style w:type="paragraph" w:styleId="864">
    <w:name w:val="Heading 9"/>
    <w:basedOn w:val="855"/>
    <w:next w:val="855"/>
    <w:qFormat/>
    <w:pPr>
      <w:ind w:left="1584" w:hanging="1584"/>
      <w:spacing w:before="240" w:after="60" w:line="240" w:lineRule="auto"/>
      <w:tabs>
        <w:tab w:val="left" w:pos="0" w:leader="none"/>
      </w:tabs>
      <w:outlineLvl w:val="8"/>
    </w:pPr>
    <w:rPr>
      <w:rFonts w:ascii="Arial" w:hAnsi="Arial" w:cs="Calibri"/>
      <w:sz w:val="20"/>
      <w:szCs w:val="20"/>
    </w:rPr>
  </w:style>
  <w:style w:type="character" w:styleId="865" w:default="1">
    <w:name w:val="Default Paragraph Font"/>
    <w:uiPriority w:val="1"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WW8Num2z0"/>
    <w:qFormat/>
    <w:rPr>
      <w:rFonts w:ascii="Times New Roman" w:hAnsi="Times New Roman" w:eastAsia="Calibri" w:cs="Times New Roman"/>
      <w:b/>
      <w:color w:val="000000"/>
    </w:rPr>
  </w:style>
  <w:style w:type="character" w:styleId="869" w:customStyle="1">
    <w:name w:val="WW8Num2z1"/>
    <w:qFormat/>
  </w:style>
  <w:style w:type="character" w:styleId="870" w:customStyle="1">
    <w:name w:val="WW8Num3z0"/>
    <w:qFormat/>
  </w:style>
  <w:style w:type="character" w:styleId="871" w:customStyle="1">
    <w:name w:val="WW8Num4z0"/>
    <w:qFormat/>
    <w:rPr>
      <w:b/>
    </w:rPr>
  </w:style>
  <w:style w:type="character" w:styleId="872" w:customStyle="1">
    <w:name w:val="WW8Num5z0"/>
    <w:qFormat/>
  </w:style>
  <w:style w:type="character" w:styleId="873" w:customStyle="1">
    <w:name w:val="WW8Num8z0"/>
    <w:qFormat/>
    <w:rPr>
      <w:b/>
    </w:rPr>
  </w:style>
  <w:style w:type="character" w:styleId="874" w:customStyle="1">
    <w:name w:val="WW8Num9z0"/>
    <w:qFormat/>
  </w:style>
  <w:style w:type="character" w:styleId="875" w:customStyle="1">
    <w:name w:val="WW8Num10z0"/>
    <w:qFormat/>
  </w:style>
  <w:style w:type="character" w:styleId="876" w:customStyle="1">
    <w:name w:val="WW8Num12z0"/>
    <w:qFormat/>
    <w:rPr>
      <w:rFonts w:ascii="Times New Roman" w:hAnsi="Times New Roman" w:eastAsia="Calibri" w:cs="Times New Roman"/>
      <w:b/>
      <w:color w:val="000000"/>
    </w:rPr>
  </w:style>
  <w:style w:type="character" w:styleId="877" w:customStyle="1">
    <w:name w:val="WW8Num12z1"/>
    <w:qFormat/>
  </w:style>
  <w:style w:type="character" w:styleId="878" w:customStyle="1">
    <w:name w:val="WW8Num13z0"/>
    <w:qFormat/>
  </w:style>
  <w:style w:type="character" w:styleId="879" w:customStyle="1">
    <w:name w:val="WW8Num15z0"/>
    <w:qFormat/>
  </w:style>
  <w:style w:type="character" w:styleId="880" w:customStyle="1">
    <w:name w:val="WW8Num16z0"/>
    <w:qFormat/>
  </w:style>
  <w:style w:type="character" w:styleId="881" w:customStyle="1">
    <w:name w:val="Заголовок 1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882" w:customStyle="1">
    <w:name w:val="Заголовок 2 Знак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883" w:customStyle="1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4" w:customStyle="1">
    <w:name w:val="Название Знак"/>
    <w:qFormat/>
    <w:rPr>
      <w:rFonts w:ascii="Times New Roman" w:hAnsi="Times New Roman" w:eastAsia="Times New Roman" w:cs="Times New Roman"/>
      <w:b/>
      <w:color w:val="000000"/>
      <w:sz w:val="24"/>
      <w:szCs w:val="24"/>
    </w:rPr>
  </w:style>
  <w:style w:type="character" w:styleId="885" w:customStyle="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6" w:customStyle="1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7" w:customStyle="1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88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89" w:customStyle="1">
    <w:name w:val="Символ нумерации"/>
    <w:qFormat/>
  </w:style>
  <w:style w:type="character" w:styleId="890" w:customStyle="1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891" w:customStyle="1">
    <w:name w:val="Текст выноски Знак1"/>
    <w:qFormat/>
    <w:rPr>
      <w:rFonts w:ascii="Segoe UI" w:hAnsi="Segoe UI" w:cs="Segoe UI"/>
      <w:sz w:val="18"/>
      <w:szCs w:val="18"/>
    </w:rPr>
  </w:style>
  <w:style w:type="character" w:styleId="892">
    <w:name w:val="Hyperlink"/>
    <w:rPr>
      <w:color w:val="0000ff"/>
      <w:u w:val="single"/>
    </w:rPr>
  </w:style>
  <w:style w:type="character" w:styleId="893" w:customStyle="1">
    <w:name w:val="Без интервала Знак"/>
    <w:qFormat/>
    <w:rPr>
      <w:rFonts w:ascii="Calibri" w:hAnsi="Calibri" w:eastAsia="Calibri" w:cs="Calibri"/>
      <w:sz w:val="22"/>
      <w:szCs w:val="22"/>
    </w:rPr>
  </w:style>
  <w:style w:type="character" w:styleId="894" w:customStyle="1">
    <w:name w:val="Заголовок 3 Знак"/>
    <w:qFormat/>
    <w:rPr>
      <w:rFonts w:ascii="Arial" w:hAnsi="Arial" w:cs="Calibri"/>
      <w:b/>
      <w:bCs/>
      <w:sz w:val="26"/>
      <w:szCs w:val="26"/>
    </w:rPr>
  </w:style>
  <w:style w:type="character" w:styleId="895" w:customStyle="1">
    <w:name w:val="Заголовок 4 Знак"/>
    <w:qFormat/>
    <w:rPr>
      <w:rFonts w:cs="Calibri"/>
      <w:b/>
      <w:bCs/>
      <w:sz w:val="28"/>
      <w:szCs w:val="28"/>
    </w:rPr>
  </w:style>
  <w:style w:type="character" w:styleId="896" w:customStyle="1">
    <w:name w:val="Заголовок 5 Знак"/>
    <w:qFormat/>
    <w:rPr>
      <w:rFonts w:cs="Calibri"/>
      <w:b/>
      <w:bCs/>
      <w:i/>
      <w:iCs/>
      <w:sz w:val="26"/>
      <w:szCs w:val="26"/>
    </w:rPr>
  </w:style>
  <w:style w:type="character" w:styleId="897" w:customStyle="1">
    <w:name w:val="Заголовок 6 Знак"/>
    <w:qFormat/>
    <w:rPr>
      <w:rFonts w:cs="Calibri"/>
      <w:b/>
      <w:bCs/>
    </w:rPr>
  </w:style>
  <w:style w:type="character" w:styleId="898" w:customStyle="1">
    <w:name w:val="Заголовок 7 Знак"/>
    <w:qFormat/>
    <w:rPr>
      <w:rFonts w:cs="Calibri"/>
      <w:sz w:val="24"/>
      <w:szCs w:val="24"/>
    </w:rPr>
  </w:style>
  <w:style w:type="character" w:styleId="899" w:customStyle="1">
    <w:name w:val="Заголовок 8 Знак"/>
    <w:qFormat/>
    <w:rPr>
      <w:rFonts w:cs="Calibri"/>
      <w:i/>
      <w:iCs/>
      <w:sz w:val="24"/>
      <w:szCs w:val="24"/>
    </w:rPr>
  </w:style>
  <w:style w:type="character" w:styleId="900" w:customStyle="1">
    <w:name w:val="Заголовок 9 Знак"/>
    <w:qFormat/>
    <w:rPr>
      <w:rFonts w:ascii="Arial" w:hAnsi="Arial" w:cs="Calibri"/>
    </w:rPr>
  </w:style>
  <w:style w:type="character" w:styleId="901">
    <w:name w:val="Strong"/>
    <w:qFormat/>
    <w:rPr>
      <w:b/>
    </w:rPr>
  </w:style>
  <w:style w:type="character" w:styleId="902" w:customStyle="1">
    <w:name w:val="Абзац списка Знак"/>
    <w:qFormat/>
    <w:rPr>
      <w:sz w:val="24"/>
      <w:szCs w:val="24"/>
      <w:lang w:eastAsia="zh-CN"/>
    </w:rPr>
  </w:style>
  <w:style w:type="paragraph" w:styleId="903" w:customStyle="1">
    <w:name w:val="Заголовок1"/>
    <w:basedOn w:val="855"/>
    <w:next w:val="904"/>
    <w:qFormat/>
    <w:pPr>
      <w:keepNext/>
      <w:spacing w:before="240" w:after="120"/>
    </w:pPr>
    <w:rPr>
      <w:rFonts w:ascii="Arial" w:hAnsi="Arial" w:eastAsia="Microsoft YaHei" w:cs="Mangal;Courier"/>
      <w:sz w:val="28"/>
      <w:szCs w:val="28"/>
    </w:rPr>
  </w:style>
  <w:style w:type="paragraph" w:styleId="904">
    <w:name w:val="Body Text"/>
    <w:basedOn w:val="855"/>
    <w:pPr>
      <w:spacing w:after="120"/>
    </w:pPr>
  </w:style>
  <w:style w:type="paragraph" w:styleId="905">
    <w:name w:val="List"/>
    <w:basedOn w:val="904"/>
    <w:rPr>
      <w:rFonts w:cs="Mangal;Courier"/>
    </w:rPr>
  </w:style>
  <w:style w:type="paragraph" w:styleId="906">
    <w:name w:val="Caption"/>
    <w:basedOn w:val="855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907">
    <w:name w:val="index heading"/>
    <w:basedOn w:val="855"/>
    <w:qFormat/>
    <w:pPr>
      <w:suppressLineNumbers/>
    </w:pPr>
    <w:rPr>
      <w:rFonts w:ascii="PT Astra Serif" w:hAnsi="PT Astra Serif" w:cs="FreeSans"/>
    </w:rPr>
  </w:style>
  <w:style w:type="paragraph" w:styleId="908" w:customStyle="1">
    <w:name w:val="Caption1"/>
    <w:basedOn w:val="855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909" w:customStyle="1">
    <w:name w:val="Caption11"/>
    <w:basedOn w:val="855"/>
    <w:next w:val="913"/>
    <w:qFormat/>
    <w:pPr>
      <w:jc w:val="center"/>
      <w:spacing w:line="360" w:lineRule="auto"/>
    </w:pPr>
    <w:rPr>
      <w:b/>
      <w:bCs/>
      <w:color w:val="000000"/>
      <w:sz w:val="36"/>
      <w:szCs w:val="36"/>
    </w:rPr>
  </w:style>
  <w:style w:type="paragraph" w:styleId="910" w:customStyle="1">
    <w:name w:val="Название1"/>
    <w:basedOn w:val="855"/>
    <w:qFormat/>
    <w:pPr>
      <w:spacing w:before="120" w:after="120"/>
      <w:suppressLineNumbers/>
    </w:pPr>
    <w:rPr>
      <w:rFonts w:cs="Mangal;Courier"/>
      <w:i/>
      <w:iCs/>
    </w:rPr>
  </w:style>
  <w:style w:type="paragraph" w:styleId="911" w:customStyle="1">
    <w:name w:val="Указатель1"/>
    <w:basedOn w:val="855"/>
    <w:qFormat/>
    <w:pPr>
      <w:suppressLineNumbers/>
    </w:pPr>
    <w:rPr>
      <w:rFonts w:cs="Mangal;Courier"/>
    </w:rPr>
  </w:style>
  <w:style w:type="paragraph" w:styleId="912" w:customStyle="1">
    <w:name w:val="Таблицы (моноширинный)"/>
    <w:basedOn w:val="855"/>
    <w:qFormat/>
    <w:pPr>
      <w:ind w:firstLine="720"/>
      <w:jc w:val="both"/>
      <w:widowControl w:val="off"/>
    </w:pPr>
    <w:rPr>
      <w:rFonts w:ascii="Courier New" w:hAnsi="Courier New" w:cs="Courier New"/>
      <w:sz w:val="20"/>
      <w:szCs w:val="20"/>
    </w:rPr>
  </w:style>
  <w:style w:type="paragraph" w:styleId="913">
    <w:name w:val="Subtitle"/>
    <w:basedOn w:val="903"/>
    <w:next w:val="904"/>
    <w:qFormat/>
    <w:pPr>
      <w:jc w:val="center"/>
    </w:pPr>
    <w:rPr>
      <w:i/>
      <w:iCs/>
    </w:rPr>
  </w:style>
  <w:style w:type="paragraph" w:styleId="914">
    <w:name w:val="Normal (Web)"/>
    <w:basedOn w:val="855"/>
    <w:qFormat/>
    <w:pPr>
      <w:spacing w:before="280" w:after="280" w:line="240" w:lineRule="auto"/>
    </w:pPr>
  </w:style>
  <w:style w:type="paragraph" w:styleId="915">
    <w:name w:val="Body Text 2"/>
    <w:basedOn w:val="855"/>
    <w:qFormat/>
    <w:pPr>
      <w:jc w:val="center"/>
    </w:pPr>
  </w:style>
  <w:style w:type="paragraph" w:styleId="916" w:customStyle="1">
    <w:name w:val="Колонтитул"/>
    <w:basedOn w:val="855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17">
    <w:name w:val="Header"/>
    <w:basedOn w:val="855"/>
    <w:pPr>
      <w:tabs>
        <w:tab w:val="center" w:pos="4677" w:leader="none"/>
        <w:tab w:val="right" w:pos="9355" w:leader="none"/>
      </w:tabs>
      <w:suppressLineNumbers/>
    </w:pPr>
  </w:style>
  <w:style w:type="paragraph" w:styleId="918">
    <w:name w:val="Footer"/>
    <w:basedOn w:val="855"/>
    <w:pPr>
      <w:tabs>
        <w:tab w:val="center" w:pos="4677" w:leader="none"/>
        <w:tab w:val="right" w:pos="9355" w:leader="none"/>
      </w:tabs>
      <w:suppressLineNumbers/>
    </w:pPr>
  </w:style>
  <w:style w:type="paragraph" w:styleId="919">
    <w:name w:val="Balloon Text"/>
    <w:basedOn w:val="855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920">
    <w:name w:val="List Paragraph"/>
    <w:basedOn w:val="855"/>
    <w:qFormat/>
    <w:pPr>
      <w:ind w:left="708"/>
      <w:spacing w:line="240" w:lineRule="auto"/>
    </w:pPr>
  </w:style>
  <w:style w:type="paragraph" w:styleId="921">
    <w:name w:val="No Spacing"/>
    <w:qFormat/>
    <w:rPr>
      <w:rFonts w:ascii="Calibri" w:hAnsi="Calibri" w:eastAsia="Calibri" w:cs="Calibri"/>
      <w:sz w:val="22"/>
      <w:szCs w:val="22"/>
      <w:lang w:eastAsia="zh-CN"/>
    </w:rPr>
  </w:style>
  <w:style w:type="paragraph" w:styleId="922" w:customStyle="1">
    <w:name w:val="Содержимое таблицы"/>
    <w:basedOn w:val="855"/>
    <w:qFormat/>
    <w:pPr>
      <w:spacing w:line="240" w:lineRule="auto"/>
      <w:suppressLineNumbers/>
    </w:pPr>
    <w:rPr>
      <w:rFonts w:cs="Calibri"/>
    </w:rPr>
  </w:style>
  <w:style w:type="paragraph" w:styleId="923" w:customStyle="1">
    <w:name w:val="Default"/>
    <w:qFormat/>
    <w:rPr>
      <w:rFonts w:ascii="Times New Roman" w:hAnsi="Times New Roman" w:eastAsia="Calibri" w:cs="Times New Roman"/>
      <w:color w:val="000000"/>
      <w:sz w:val="24"/>
      <w:szCs w:val="24"/>
      <w:lang w:eastAsia="zh-CN"/>
    </w:rPr>
  </w:style>
  <w:style w:type="paragraph" w:styleId="924" w:customStyle="1">
    <w:name w:val="Текст в заданном формате"/>
    <w:basedOn w:val="855"/>
    <w:qFormat/>
    <w:rPr>
      <w:rFonts w:ascii="Liberation Mono;Courier New" w:hAnsi="Liberation Mono;Courier New" w:eastAsia="Liberation Mono;Courier New" w:cs="Liberation Mono;Courier New"/>
      <w:sz w:val="20"/>
      <w:szCs w:val="20"/>
    </w:rPr>
  </w:style>
  <w:style w:type="paragraph" w:styleId="925" w:customStyle="1">
    <w:name w:val="Заголовок таблицы"/>
    <w:basedOn w:val="922"/>
    <w:qFormat/>
    <w:pPr>
      <w:jc w:val="center"/>
    </w:pPr>
    <w:rPr>
      <w:b/>
      <w:bCs/>
    </w:rPr>
  </w:style>
  <w:style w:type="numbering" w:styleId="926" w:customStyle="1">
    <w:name w:val="WW8Num1"/>
    <w:qFormat/>
  </w:style>
  <w:style w:type="numbering" w:styleId="927" w:customStyle="1">
    <w:name w:val="WW8Num2"/>
    <w:qFormat/>
  </w:style>
  <w:style w:type="numbering" w:styleId="928" w:customStyle="1">
    <w:name w:val="WW8Num3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consultantplus://offline/ref=BEDDEDB8E80613988CD2DCD90BCF289085C3F5E9EA60F86EF622A6CBEF34AB6E27B56862AA2EB4C811F13B3175D857E9CDCA3CDB56AA1274q5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AltSU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Деренчук</dc:creator>
  <dc:language>ru-RU</dc:language>
  <cp:lastModifiedBy>alferova</cp:lastModifiedBy>
  <cp:revision>17</cp:revision>
  <dcterms:created xsi:type="dcterms:W3CDTF">2026-06-23T08:51:00Z</dcterms:created>
  <dcterms:modified xsi:type="dcterms:W3CDTF">2026-07-30T03:04:38Z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