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ageBreakBefore w:val="true"/>
        <w:pBdr/>
        <w:spacing w:after="0" w:line="240" w:lineRule="auto"/>
        <w:ind w:right="282" w:firstLine="709"/>
        <w:jc w:val="righ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Приложение № 1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right="282" w:firstLine="709"/>
        <w:jc w:val="righ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к Государственному контракту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right="282" w:firstLine="709"/>
        <w:jc w:val="center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от «__» __________ 202</w:t>
      </w:r>
      <w:r>
        <w:rPr>
          <w:rFonts w:ascii="PT Astra Serif" w:hAnsi="PT Astra Serif" w:eastAsia="Times New Roman" w:cs="Times New Roman"/>
          <w:sz w:val="24"/>
          <w:szCs w:val="24"/>
          <w:lang w:val="undefined"/>
        </w:rPr>
        <w:t xml:space="preserve">6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 г. 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№ __/2</w:t>
      </w:r>
      <w:r>
        <w:rPr>
          <w:rFonts w:ascii="PT Astra Serif" w:hAnsi="PT Astra Serif" w:eastAsia="Times New Roman" w:cs="Times New Roman"/>
          <w:sz w:val="24"/>
          <w:szCs w:val="24"/>
          <w:lang w:val="undefined"/>
        </w:rPr>
        <w:t xml:space="preserve">6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line="240" w:lineRule="auto"/>
        <w:ind w:right="282"/>
        <w:jc w:val="center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ascii="PT Astra Serif" w:hAnsi="PT Astra Serif" w:eastAsia="Times New Roman" w:cs="Times New Roman"/>
          <w:sz w:val="24"/>
          <w:szCs w:val="24"/>
        </w:rPr>
      </w:r>
      <w:r>
        <w:rPr>
          <w:rFonts w:ascii="PT Astra Serif" w:hAnsi="PT Astra Serif"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right="282"/>
        <w:jc w:val="center"/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  <w:t xml:space="preserve">ТЕХНИЧЕСКОЕ ЗАДАНИЕ</w:t>
      </w: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right="282"/>
        <w:jc w:val="both"/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  <w:t xml:space="preserve">Место оказание услуг: 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Российская Федерация – 620062, г. Екатеринбург, 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val="undefined"/>
        </w:rPr>
        <w:t xml:space="preserve">ул. Пушкина, стр. 24</w:t>
      </w: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right="282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  <w:t xml:space="preserve">1.Общие требования</w:t>
      </w: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1.1. Срок выполнения заявки отсчитывается с момента подачи заявки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на электронный адрес исполнителя либо на те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лефонный номер и составляет не более 24 часов. Время подачи заявки, время забора картриджей курьером, фиксируется в акте передачи картриджей на заправку/ремонт. Время выполнения заявки фиксируется в акте передачи заправленных/ восстановленных картриджей. 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1.2. После получения заявки исполнитель обязан прибыть к Заказчику для получения пустых картриджей, подлежащих заправке. Заправка картриджей производится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в течение двух рабочих дней после получения Исполнителем заявки.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1.3.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bookmarkStart w:id="0" w:name="_GoBack"/>
      <w:r/>
      <w:bookmarkEnd w:id="0"/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Заправка картриджей должна осуществляться в сервисном центре, при этом прием и возврат на место нахождения Заказчика производится за счет сил и средств исполнителя.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1.4. Количество выездов Исполнителя по заявкам Заказчика не ограничено.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1.5. После заправки все картриджи маркируются (маркировка должна содержать наименование предприятия, дату заправки) упаковываются в светонепроницаемые пакеты, гарантирующие предотвращение засвечив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ания фоторецептора, попадание влаги и пыли, механических повреждений (в пакет вместе с картриджем укладывается тестовая страница). Передача заправленных картриджей сопровождается передачей актов выполненных работ и финансовыми документами на данную партию.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  <w:t xml:space="preserve">2. Заправка картриджей</w:t>
      </w: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2.1. Исполнитель гарантирует Заказчику, что используемые им технологии заправки картриджей обеспечат высокое качество печати и исправную работу оргтехники. Заправленные картриджи должны обеспечивать стандартную рабочую температуру и чистоту внутри техники.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2.2.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 Заправка картриджа включает в себя: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диагностику картриджа;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полную разборку картриджа;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очистку всех деталей и бункеров от тонера;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заправку картриджа тонером;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замена чипа по необходимости;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сборку картриджа; 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 контрольное тестирование картриджа.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  <w:t xml:space="preserve">-замена барабана при необходимости</w:t>
      </w:r>
      <w:r>
        <w:rPr>
          <w:rFonts w:ascii="PT Astra Serif" w:hAnsi="PT Astra Serif" w:eastAsia="Calibri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2.3. Технология заправки картриджей должна осуществляться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в соответствии с требованиями Производителей оргтехники к расходным материалам. Заправка должна производиться только качественным и 100% совместимым тонером, с полным заполнением бункера. Качество тонера определяется путе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м печати пробной страницы, которая не должна содержать полос, точек, серого фона, грязи, повторного изображения, должна соблюдаться контрастность, четкость и насыщенность исходного образца для печати, замена чипа производится при каждой заправке картриджа.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ab/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2.4. Картриджи, не подлежащие заправке, должны быть возвращены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с дефектным актом, содержащим причины невозможности выполнения работ.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  <w:t xml:space="preserve">3. Требования к результатам оказания и приемки услуги:</w:t>
      </w:r>
      <w:r>
        <w:rPr>
          <w:rFonts w:ascii="PT Astra Serif" w:hAnsi="PT Astra Serif" w:eastAsia="SimSun" w:cs="Times New Roman"/>
          <w:b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3.1. Технический контроль оказания услуг по заправке картриджей исполнителем осуществляет Заказчик.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3.2. Сдача результата оказанных услуг исполнителем и приемка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их Заказчиком оформляется Актом об оказании услуг.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3.3. При передаче заправленных картриджей Исполнитель: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а)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по требованию Заказчика демонстрирует представителю Заказчика работоспособность картриджа (качество выполненных работ): печать тест-листа (черный); печать тест-листа (белый).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б) по требованию Заказчика вскрываются картриджи (выборочно)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для определения уровня заполнения бункера для тонера.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3.4. При обнаружении Заказчиком недостатков в ходе приемки результата оказанных услуг составляется акт, в которо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м фиксируется перечень дефектов и сроки их устранения Исполнителем. При отказе (уклонении) Исполнителя от подписания указанного акта, в нем делается отметка об этом и подписанный Заказчиком акт подтверждается третьим лицом (экспертом) по выбору Заказчика.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3.5. Исполнитель обязан устранить вс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е обнаруженные недостатки своими силами и за свой счет в сроки, указанные в акте, обеспечив при этом сохранность частей печатающего оборудования, в которых производится устранение недостатков и несет ответственность за их утрату, повреждение или недостачу.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3.6. Заказчик вправе отказаться от приемки результата оказанных услуг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br/>
        <w:t xml:space="preserve">в случае обнаружения недостатков, которые не могут быть устранены Исполнителем в разумный срок.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3.7. Гарантия на оказываемые услуги составляет не менее шести месяцев, либо до окончания тонера в картридже.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  <w:t xml:space="preserve">Данный пункт не распространяется на картридж, отработавший свой ресурс после заправки (вышедшие из строя картриджи (отработавшие свой ресурс) должны быть возвращены Заказчику с актом технического состояния).</w:t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  <w:r>
        <w:rPr>
          <w:rFonts w:ascii="PT Astra Serif" w:hAnsi="PT Astra Serif" w:eastAsia="SimSun" w:cs="Times New Roman"/>
          <w:bCs/>
          <w:sz w:val="24"/>
          <w:szCs w:val="24"/>
          <w:shd w:val="clear" w:color="auto" w:fill="ffffff"/>
          <w:lang w:eastAsia="zh-CN"/>
        </w:rPr>
      </w:r>
    </w:p>
    <w:p>
      <w:pPr>
        <w:pBdr/>
        <w:spacing/>
        <w:ind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Спецификация</w:t>
      </w:r>
      <w:r>
        <w:rPr>
          <w:rFonts w:ascii="PT Astra Serif" w:hAnsi="PT Astra Serif" w:cs="Times New Roman"/>
          <w:b/>
          <w:sz w:val="24"/>
          <w:szCs w:val="24"/>
        </w:rPr>
      </w:r>
    </w:p>
    <w:tbl>
      <w:tblPr>
        <w:tblStyle w:val="664"/>
        <w:tblW w:w="9390" w:type="dxa"/>
        <w:tblBorders/>
        <w:tblLook w:val="04A0" w:firstRow="1" w:lastRow="0" w:firstColumn="1" w:lastColumn="0" w:noHBand="0" w:noVBand="1"/>
      </w:tblPr>
      <w:tblGrid>
        <w:gridCol w:w="755"/>
        <w:gridCol w:w="4136"/>
        <w:gridCol w:w="1323"/>
        <w:gridCol w:w="1704"/>
        <w:gridCol w:w="1472"/>
      </w:tblGrid>
      <w:tr>
        <w:trPr>
          <w:trHeight w:val="1416"/>
        </w:trPr>
        <w:tc>
          <w:tcPr>
            <w:tcBorders/>
            <w:tcW w:w="755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п/п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4136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Стоимость за 1 единицу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703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заправок: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Общая стоимость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>
          <w:trHeight w:val="852"/>
        </w:trPr>
        <w:tc>
          <w:tcPr>
            <w:tcBorders/>
            <w:tcW w:w="755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4136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Картридж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лазерного принтера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для HP LJ Pro400/M401с заменой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барабана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CF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280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703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852"/>
        </w:trPr>
        <w:tc>
          <w:tcPr>
            <w:tcBorders/>
            <w:tcW w:w="755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4136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Картридж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лазерного принтера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для HP LJ Pro400/M401с заменой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барабана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CF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280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703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30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619"/>
        </w:trPr>
        <w:tc>
          <w:tcPr>
            <w:tcBorders/>
            <w:tcW w:w="755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3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4136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Картридж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принтера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HP LJ P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ro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400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m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401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заменой барабана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(CE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703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20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619"/>
        </w:trPr>
        <w:tc>
          <w:tcPr>
            <w:tcBorders/>
            <w:tcW w:w="755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4136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Картридж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принтера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МФУ Катюша М130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703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6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619"/>
        </w:trPr>
        <w:tc>
          <w:tcPr>
            <w:tcBorders/>
            <w:tcW w:w="755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5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4136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Картридж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принтера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Lexmark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MS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310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235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703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undefined"/>
              </w:rPr>
              <w:t xml:space="preserve">20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619"/>
        </w:trPr>
        <w:tc>
          <w:tcPr>
            <w:gridSpan w:val="4"/>
            <w:tcBorders/>
            <w:tcW w:w="7830" w:type="dxa"/>
            <w:textDirection w:val="lrTb"/>
            <w:noWrap/>
          </w:tcPr>
          <w:p>
            <w:pPr>
              <w:pBdr/>
              <w:tabs>
                <w:tab w:val="left" w:leader="none" w:pos="2670"/>
              </w:tabs>
              <w:spacing/>
              <w:ind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Итого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2670"/>
              </w:tabs>
              <w:spacing/>
              <w:ind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jc w:val="center"/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  <w:t xml:space="preserve">Исполнитель несет ответственность:</w:t>
      </w:r>
      <w:r>
        <w:rPr>
          <w:rFonts w:ascii="PT Astra Serif" w:hAnsi="PT Astra Serif" w:eastAsia="Arial Unicode MS" w:cs="Times New Roman"/>
          <w:b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За нарушение функционирования локальной сети, серверов и персональных компьютеров вследствие ненадлежащего исполнения своих должностных обязанностей.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За неисполнение или ненадлежащее исполнение своих должностных обязанностей, предусмотренных настоящим техническим заданием, - в пределах, определенных действующим законодательством РФ.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За причинение материального ущерба Заказчику - в пределах, определенных действующим законодательством РФ.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Исполнитель:   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Заказчик:</w:t>
      </w:r>
      <w:r>
        <w:rPr>
          <w:rFonts w:ascii="PT Astra Serif" w:hAnsi="PT Astra Serif" w:eastAsia="Arial Unicode MS" w:cs="Times New Roman"/>
          <w:color w:val="000000"/>
          <w:sz w:val="24"/>
          <w:szCs w:val="24"/>
          <w:lang w:eastAsia="ru-RU" w:bidi="ru-RU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Arial Unicode MS">
    <w:panose1 w:val="020B0506020203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 w:after="200" w:line="276" w:lineRule="auto"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ЕЭТК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Екатерина Николаевна</dc:creator>
  <cp:keywords/>
  <dc:description/>
  <cp:revision>5</cp:revision>
  <dcterms:created xsi:type="dcterms:W3CDTF">2025-08-02T15:06:00Z</dcterms:created>
  <dcterms:modified xsi:type="dcterms:W3CDTF">2026-06-30T14:28:01Z</dcterms:modified>
</cp:coreProperties>
</file>