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88238F">
        <w:rPr>
          <w:rFonts w:ascii="Verdana" w:hAnsi="Verdana" w:cs="Verdana"/>
          <w:sz w:val="18"/>
          <w:szCs w:val="18"/>
          <w:u w:val="single"/>
        </w:rPr>
        <w:t>211</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1D102C">
        <w:rPr>
          <w:rFonts w:ascii="Verdana" w:hAnsi="Verdana"/>
          <w:sz w:val="18"/>
          <w:szCs w:val="18"/>
        </w:rPr>
        <w:t>медицинских изделий</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C66356">
        <w:rPr>
          <w:rFonts w:ascii="Verdana" w:hAnsi="Verdana"/>
          <w:sz w:val="16"/>
          <w:szCs w:val="16"/>
        </w:rPr>
        <w:t>медицинские изделия</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A364DC"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w:t>
      </w:r>
      <w:r w:rsidRPr="00C4068F">
        <w:rPr>
          <w:rFonts w:ascii="Verdana" w:hAnsi="Verdana" w:cs="Verdana"/>
          <w:sz w:val="16"/>
          <w:szCs w:val="16"/>
        </w:rPr>
        <w:t xml:space="preserve">центр </w:t>
      </w:r>
      <w:proofErr w:type="gramStart"/>
      <w:r w:rsidRPr="00C4068F">
        <w:rPr>
          <w:rFonts w:ascii="Verdana" w:hAnsi="Verdana" w:cs="Verdana"/>
          <w:sz w:val="16"/>
          <w:szCs w:val="16"/>
        </w:rPr>
        <w:t>сердечно-сосудистой</w:t>
      </w:r>
      <w:proofErr w:type="gramEnd"/>
      <w:r w:rsidRPr="00C4068F">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C4068F">
        <w:rPr>
          <w:rFonts w:ascii="Verdana" w:hAnsi="Verdana" w:cs="Verdana"/>
          <w:sz w:val="16"/>
          <w:szCs w:val="16"/>
        </w:rPr>
        <w:t>Контракт</w:t>
      </w:r>
      <w:r w:rsidRPr="00C4068F">
        <w:rPr>
          <w:rFonts w:ascii="Verdana" w:hAnsi="Verdana" w:cs="Verdana"/>
          <w:sz w:val="16"/>
          <w:szCs w:val="16"/>
        </w:rPr>
        <w:t xml:space="preserve">а по  </w:t>
      </w:r>
      <w:r w:rsidR="0088238F">
        <w:rPr>
          <w:rFonts w:ascii="Verdana" w:hAnsi="Verdana" w:cs="Verdana"/>
          <w:sz w:val="16"/>
          <w:szCs w:val="16"/>
        </w:rPr>
        <w:t>19 июня</w:t>
      </w:r>
      <w:r w:rsidR="00D344F0">
        <w:rPr>
          <w:rFonts w:ascii="Verdana" w:hAnsi="Verdana" w:cs="Verdana"/>
          <w:sz w:val="16"/>
          <w:szCs w:val="16"/>
        </w:rPr>
        <w:t xml:space="preserve"> 2026 года</w:t>
      </w:r>
      <w:r w:rsidR="00864589" w:rsidRPr="00C4068F">
        <w:rPr>
          <w:rFonts w:ascii="Verdana" w:hAnsi="Verdana" w:cs="Verdana"/>
          <w:sz w:val="16"/>
          <w:szCs w:val="16"/>
        </w:rPr>
        <w:t xml:space="preserve"> (включительно)</w:t>
      </w:r>
      <w:r w:rsidR="00A364DC">
        <w:rPr>
          <w:rFonts w:ascii="Verdana" w:hAnsi="Verdana" w:cs="Verdana"/>
          <w:sz w:val="16"/>
          <w:szCs w:val="16"/>
        </w:rPr>
        <w:t>.</w:t>
      </w:r>
      <w:r w:rsidR="00412EF8">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Default="005D1C12" w:rsidP="005362A5">
      <w:pPr>
        <w:suppressAutoHyphens w:val="0"/>
        <w:autoSpaceDE w:val="0"/>
        <w:autoSpaceDN w:val="0"/>
        <w:adjustRightInd w:val="0"/>
        <w:ind w:firstLine="709"/>
        <w:jc w:val="both"/>
        <w:rPr>
          <w:rFonts w:ascii="Verdana" w:hAnsi="Verdana" w:cs="Verdana"/>
          <w:color w:val="000000"/>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регистрационные удостоверения на медицинские изделия,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5D1C12" w:rsidRPr="00E467C1" w:rsidRDefault="00E467C1" w:rsidP="00454D01">
      <w:pPr>
        <w:numPr>
          <w:ilvl w:val="1"/>
          <w:numId w:val="5"/>
        </w:numPr>
        <w:suppressAutoHyphens w:val="0"/>
        <w:autoSpaceDE w:val="0"/>
        <w:autoSpaceDN w:val="0"/>
        <w:adjustRightInd w:val="0"/>
        <w:ind w:left="0" w:firstLine="720"/>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sidR="00A364DC">
        <w:rPr>
          <w:rFonts w:ascii="Verdana" w:hAnsi="Verdana"/>
          <w:sz w:val="16"/>
          <w:szCs w:val="16"/>
        </w:rPr>
        <w:t>12</w:t>
      </w:r>
      <w:r w:rsidRPr="00E467C1">
        <w:rPr>
          <w:rFonts w:ascii="Verdana" w:hAnsi="Verdana"/>
          <w:sz w:val="16"/>
          <w:szCs w:val="16"/>
        </w:rPr>
        <w:t xml:space="preserve"> месяцев от даты </w:t>
      </w:r>
      <w:r w:rsidR="00A364DC">
        <w:rPr>
          <w:rFonts w:ascii="Verdana" w:hAnsi="Verdana"/>
          <w:sz w:val="16"/>
          <w:szCs w:val="16"/>
        </w:rPr>
        <w:t>изготовления товара</w:t>
      </w:r>
      <w:r w:rsidRPr="00E467C1">
        <w:rPr>
          <w:rFonts w:ascii="Verdana" w:hAnsi="Verdana"/>
          <w:sz w:val="16"/>
          <w:szCs w:val="16"/>
        </w:rPr>
        <w:t xml:space="preserve">. </w:t>
      </w:r>
    </w:p>
    <w:p w:rsidR="005D1C12" w:rsidRPr="00E467C1"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E467C1">
        <w:rPr>
          <w:rFonts w:ascii="Verdana" w:hAnsi="Verdana" w:cs="Verdana"/>
          <w:sz w:val="16"/>
          <w:szCs w:val="16"/>
        </w:rPr>
        <w:t>Контракт</w:t>
      </w:r>
      <w:r w:rsidRPr="00E467C1">
        <w:rPr>
          <w:rFonts w:ascii="Verdana" w:hAnsi="Verdana" w:cs="Verdana"/>
          <w:sz w:val="16"/>
          <w:szCs w:val="16"/>
        </w:rPr>
        <w:t xml:space="preserve">а в разумный срок, но не более </w:t>
      </w:r>
      <w:r w:rsidR="005C67ED" w:rsidRPr="00E467C1">
        <w:rPr>
          <w:rFonts w:ascii="Verdana" w:hAnsi="Verdana" w:cs="Verdana"/>
          <w:sz w:val="16"/>
          <w:szCs w:val="16"/>
        </w:rPr>
        <w:t>10</w:t>
      </w:r>
      <w:r w:rsidRPr="00E467C1">
        <w:rPr>
          <w:rFonts w:ascii="Verdana" w:hAnsi="Verdana" w:cs="Verdana"/>
          <w:sz w:val="16"/>
          <w:szCs w:val="16"/>
        </w:rPr>
        <w:t xml:space="preserve"> (</w:t>
      </w:r>
      <w:r w:rsidR="005C67ED" w:rsidRPr="00E467C1">
        <w:rPr>
          <w:rFonts w:ascii="Verdana" w:hAnsi="Verdana" w:cs="Verdana"/>
          <w:sz w:val="16"/>
          <w:szCs w:val="16"/>
        </w:rPr>
        <w:t>десяти</w:t>
      </w:r>
      <w:r w:rsidRPr="00E467C1">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88238F">
        <w:rPr>
          <w:rFonts w:ascii="Verdana" w:hAnsi="Verdana" w:cs="Verdana"/>
          <w:sz w:val="16"/>
          <w:szCs w:val="16"/>
        </w:rPr>
        <w:t>14 июля</w:t>
      </w:r>
      <w:r w:rsidRPr="001147B7">
        <w:rPr>
          <w:rFonts w:ascii="Verdana" w:hAnsi="Verdana" w:cs="Verdana"/>
          <w:sz w:val="16"/>
          <w:szCs w:val="16"/>
        </w:rPr>
        <w:t xml:space="preserve"> 20</w:t>
      </w:r>
      <w:r>
        <w:rPr>
          <w:rFonts w:ascii="Verdana" w:hAnsi="Verdana" w:cs="Verdana"/>
          <w:sz w:val="16"/>
          <w:szCs w:val="16"/>
        </w:rPr>
        <w:t>26</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8246E" w:rsidRPr="00812515" w:rsidRDefault="0068246E" w:rsidP="0068246E">
      <w:pPr>
        <w:numPr>
          <w:ilvl w:val="1"/>
          <w:numId w:val="6"/>
        </w:numPr>
        <w:tabs>
          <w:tab w:val="left" w:pos="284"/>
          <w:tab w:val="left" w:pos="709"/>
        </w:tabs>
        <w:ind w:left="0" w:firstLine="709"/>
        <w:jc w:val="both"/>
        <w:rPr>
          <w:rFonts w:ascii="Verdana" w:hAnsi="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орон по Контракту, в том числе гарантийных обязательств Исполнителя</w:t>
      </w:r>
    </w:p>
    <w:p w:rsidR="00366157" w:rsidRPr="00086E38" w:rsidRDefault="0068246E" w:rsidP="0068246E">
      <w:pPr>
        <w:numPr>
          <w:ilvl w:val="1"/>
          <w:numId w:val="6"/>
        </w:numPr>
        <w:suppressAutoHyphens w:val="0"/>
        <w:autoSpaceDE w:val="0"/>
        <w:autoSpaceDN w:val="0"/>
        <w:adjustRightInd w:val="0"/>
        <w:ind w:left="0" w:firstLine="709"/>
        <w:jc w:val="both"/>
        <w:rPr>
          <w:rFonts w:ascii="Verdana" w:hAnsi="Verdana" w:cs="Verdana"/>
          <w:sz w:val="16"/>
          <w:szCs w:val="16"/>
        </w:rPr>
      </w:pPr>
      <w:r w:rsidRPr="00812515">
        <w:rPr>
          <w:rFonts w:ascii="Verdana" w:hAnsi="Verdana"/>
          <w:sz w:val="16"/>
          <w:szCs w:val="16"/>
        </w:rPr>
        <w:t>Контракт составлен в 2 (двух) экземплярах по одному для каждой из Сторон, имеющих одинаковую юридическую силу</w:t>
      </w:r>
      <w:r w:rsidR="00B703C6">
        <w:rPr>
          <w:rFonts w:ascii="Verdana" w:hAnsi="Verdana" w:cs="Verdana"/>
          <w:sz w:val="16"/>
          <w:szCs w:val="16"/>
        </w:rPr>
        <w:t xml:space="preserve">. </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по Нижегородской области г. Нижний Новгород</w:t>
                  </w:r>
                  <w:r>
                    <w:rPr>
                      <w:rFonts w:ascii="Verdana" w:hAnsi="Verdana"/>
                      <w:sz w:val="16"/>
                      <w:szCs w:val="16"/>
                    </w:rPr>
                    <w:t xml:space="preserve">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88238F">
        <w:rPr>
          <w:rFonts w:ascii="Verdana" w:hAnsi="Verdana"/>
          <w:sz w:val="18"/>
          <w:szCs w:val="18"/>
          <w:u w:val="single"/>
        </w:rPr>
        <w:t>211</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463466" w:rsidRPr="00412EF8" w:rsidTr="00412EF8">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463466" w:rsidRPr="00463466" w:rsidTr="00412EF8">
        <w:tc>
          <w:tcPr>
            <w:tcW w:w="523" w:type="dxa"/>
          </w:tcPr>
          <w:p w:rsidR="00232820" w:rsidRPr="00463466" w:rsidRDefault="00232820" w:rsidP="00ED68FA">
            <w:pPr>
              <w:pStyle w:val="ConsPlusNormal"/>
              <w:widowControl/>
              <w:ind w:firstLine="0"/>
              <w:jc w:val="center"/>
              <w:rPr>
                <w:rFonts w:ascii="Verdana" w:hAnsi="Verdana"/>
                <w:color w:val="000000"/>
                <w:sz w:val="16"/>
                <w:szCs w:val="16"/>
              </w:rPr>
            </w:pPr>
            <w:r w:rsidRPr="00463466">
              <w:rPr>
                <w:rFonts w:ascii="Verdana" w:hAnsi="Verdana"/>
                <w:color w:val="000000"/>
                <w:sz w:val="16"/>
                <w:szCs w:val="16"/>
              </w:rPr>
              <w:t>1.</w:t>
            </w:r>
          </w:p>
        </w:tc>
        <w:tc>
          <w:tcPr>
            <w:tcW w:w="1552" w:type="dxa"/>
          </w:tcPr>
          <w:p w:rsidR="00232820" w:rsidRPr="00463466" w:rsidRDefault="0088238F" w:rsidP="00DA5025">
            <w:pPr>
              <w:jc w:val="center"/>
              <w:rPr>
                <w:rFonts w:ascii="Verdana" w:hAnsi="Verdana"/>
                <w:sz w:val="16"/>
                <w:szCs w:val="16"/>
                <w:lang w:val="en-US"/>
              </w:rPr>
            </w:pPr>
            <w:r w:rsidRPr="00463466">
              <w:rPr>
                <w:rFonts w:ascii="Verdana" w:hAnsi="Verdana"/>
                <w:color w:val="212529"/>
                <w:sz w:val="16"/>
                <w:szCs w:val="16"/>
                <w:shd w:val="clear" w:color="auto" w:fill="FFFFFF"/>
              </w:rPr>
              <w:t>32.50.13.110-00005159</w:t>
            </w:r>
          </w:p>
        </w:tc>
        <w:tc>
          <w:tcPr>
            <w:tcW w:w="2715" w:type="dxa"/>
          </w:tcPr>
          <w:p w:rsidR="00232820" w:rsidRPr="00463466" w:rsidRDefault="0088238F" w:rsidP="00FF701F">
            <w:pPr>
              <w:rPr>
                <w:rFonts w:ascii="Verdana" w:hAnsi="Verdana"/>
                <w:color w:val="212529"/>
                <w:sz w:val="16"/>
                <w:szCs w:val="16"/>
                <w:shd w:val="clear" w:color="auto" w:fill="FFFFFF"/>
              </w:rPr>
            </w:pPr>
            <w:r w:rsidRPr="00463466">
              <w:rPr>
                <w:rFonts w:ascii="Verdana" w:hAnsi="Verdana"/>
                <w:color w:val="212529"/>
                <w:sz w:val="16"/>
                <w:szCs w:val="16"/>
                <w:shd w:val="clear" w:color="auto" w:fill="FFFFFF"/>
              </w:rPr>
              <w:t xml:space="preserve">Набор для катетеризации </w:t>
            </w:r>
            <w:proofErr w:type="spellStart"/>
            <w:r w:rsidRPr="00463466">
              <w:rPr>
                <w:rFonts w:ascii="Verdana" w:hAnsi="Verdana"/>
                <w:color w:val="212529"/>
                <w:sz w:val="16"/>
                <w:szCs w:val="16"/>
                <w:shd w:val="clear" w:color="auto" w:fill="FFFFFF"/>
              </w:rPr>
              <w:t>ц</w:t>
            </w:r>
            <w:proofErr w:type="spellEnd"/>
            <w:r w:rsidRPr="00463466">
              <w:rPr>
                <w:rFonts w:ascii="Verdana" w:hAnsi="Verdana"/>
                <w:color w:val="212529"/>
                <w:sz w:val="16"/>
                <w:szCs w:val="16"/>
                <w:shd w:val="clear" w:color="auto" w:fill="FFFFFF"/>
              </w:rPr>
              <w:t xml:space="preserve">/вен </w:t>
            </w:r>
            <w:proofErr w:type="spellStart"/>
            <w:r w:rsidRPr="00463466">
              <w:rPr>
                <w:rFonts w:ascii="Verdana" w:hAnsi="Verdana"/>
                <w:color w:val="212529"/>
                <w:sz w:val="16"/>
                <w:szCs w:val="16"/>
                <w:shd w:val="clear" w:color="auto" w:fill="FFFFFF"/>
              </w:rPr>
              <w:t>Цертофикс</w:t>
            </w:r>
            <w:proofErr w:type="spellEnd"/>
            <w:r w:rsidRPr="00463466">
              <w:rPr>
                <w:rFonts w:ascii="Verdana" w:hAnsi="Verdana"/>
                <w:color w:val="212529"/>
                <w:sz w:val="16"/>
                <w:szCs w:val="16"/>
                <w:shd w:val="clear" w:color="auto" w:fill="FFFFFF"/>
              </w:rPr>
              <w:t xml:space="preserve"> Моно </w:t>
            </w:r>
            <w:proofErr w:type="spellStart"/>
            <w:r w:rsidRPr="00463466">
              <w:rPr>
                <w:rFonts w:ascii="Verdana" w:hAnsi="Verdana"/>
                <w:color w:val="212529"/>
                <w:sz w:val="16"/>
                <w:szCs w:val="16"/>
                <w:shd w:val="clear" w:color="auto" w:fill="FFFFFF"/>
              </w:rPr>
              <w:t>Пед</w:t>
            </w:r>
            <w:proofErr w:type="spellEnd"/>
            <w:r w:rsidRPr="00463466">
              <w:rPr>
                <w:rFonts w:ascii="Verdana" w:hAnsi="Verdana"/>
                <w:color w:val="212529"/>
                <w:sz w:val="16"/>
                <w:szCs w:val="16"/>
                <w:shd w:val="clear" w:color="auto" w:fill="FFFFFF"/>
              </w:rPr>
              <w:t xml:space="preserve"> S 110</w:t>
            </w:r>
          </w:p>
          <w:p w:rsidR="00463466" w:rsidRPr="00463466" w:rsidRDefault="00463466" w:rsidP="00463466">
            <w:pPr>
              <w:numPr>
                <w:ilvl w:val="0"/>
                <w:numId w:val="17"/>
              </w:numPr>
              <w:shd w:val="clear" w:color="auto" w:fill="FFFFFF"/>
              <w:suppressAutoHyphens w:val="0"/>
              <w:ind w:left="0"/>
              <w:rPr>
                <w:rFonts w:ascii="Verdana" w:hAnsi="Verdana" w:cs="Arial"/>
                <w:color w:val="001A34"/>
                <w:sz w:val="16"/>
                <w:szCs w:val="16"/>
                <w:lang w:eastAsia="ru-RU"/>
              </w:rPr>
            </w:pPr>
            <w:r w:rsidRPr="00463466">
              <w:rPr>
                <w:rFonts w:ascii="Verdana" w:hAnsi="Verdana" w:cs="Arial"/>
                <w:color w:val="001A34"/>
                <w:sz w:val="16"/>
                <w:szCs w:val="16"/>
                <w:lang w:eastAsia="ru-RU"/>
              </w:rPr>
              <w:t>Артикул - 4160177</w:t>
            </w:r>
          </w:p>
          <w:p w:rsidR="00463466" w:rsidRPr="00463466" w:rsidRDefault="00463466" w:rsidP="00FF701F">
            <w:pPr>
              <w:rPr>
                <w:rFonts w:ascii="Verdana" w:hAnsi="Verdana"/>
                <w:color w:val="000000"/>
                <w:sz w:val="16"/>
                <w:szCs w:val="16"/>
                <w:lang w:eastAsia="ru-RU"/>
              </w:rPr>
            </w:pPr>
          </w:p>
        </w:tc>
        <w:tc>
          <w:tcPr>
            <w:tcW w:w="4165" w:type="dxa"/>
          </w:tcPr>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Катетеризация вен по </w:t>
            </w:r>
            <w:proofErr w:type="spellStart"/>
            <w:r w:rsidRPr="0088238F">
              <w:rPr>
                <w:rFonts w:ascii="Verdana" w:hAnsi="Verdana"/>
                <w:color w:val="000000"/>
                <w:sz w:val="16"/>
                <w:szCs w:val="16"/>
                <w:lang w:eastAsia="ru-RU"/>
              </w:rPr>
              <w:t>Сельдингеру</w:t>
            </w:r>
            <w:proofErr w:type="spellEnd"/>
            <w:r w:rsidRPr="0088238F">
              <w:rPr>
                <w:rFonts w:ascii="Verdana" w:hAnsi="Verdana"/>
                <w:color w:val="000000"/>
                <w:sz w:val="16"/>
                <w:szCs w:val="16"/>
                <w:lang w:eastAsia="ru-RU"/>
              </w:rPr>
              <w:t xml:space="preserve"> для </w:t>
            </w:r>
            <w:proofErr w:type="spellStart"/>
            <w:r w:rsidRPr="0088238F">
              <w:rPr>
                <w:rFonts w:ascii="Verdana" w:hAnsi="Verdana"/>
                <w:color w:val="000000"/>
                <w:sz w:val="16"/>
                <w:szCs w:val="16"/>
                <w:lang w:eastAsia="ru-RU"/>
              </w:rPr>
              <w:t>инфузии</w:t>
            </w:r>
            <w:proofErr w:type="spellEnd"/>
            <w:r w:rsidRPr="0088238F">
              <w:rPr>
                <w:rFonts w:ascii="Verdana" w:hAnsi="Verdana"/>
                <w:color w:val="000000"/>
                <w:sz w:val="16"/>
                <w:szCs w:val="16"/>
                <w:lang w:eastAsia="ru-RU"/>
              </w:rPr>
              <w:t xml:space="preserve"> и измерения ЦВД</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Соответствие</w:t>
            </w:r>
            <w:r w:rsidRPr="00463466">
              <w:rPr>
                <w:rFonts w:ascii="Verdana" w:hAnsi="Verdana"/>
                <w:color w:val="000000"/>
                <w:sz w:val="16"/>
                <w:szCs w:val="16"/>
                <w:lang w:eastAsia="ru-RU"/>
              </w:rPr>
              <w:t>.</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 материал </w:t>
            </w:r>
            <w:proofErr w:type="spellStart"/>
            <w:r w:rsidRPr="0088238F">
              <w:rPr>
                <w:rFonts w:ascii="Verdana" w:hAnsi="Verdana"/>
                <w:color w:val="000000"/>
                <w:sz w:val="16"/>
                <w:szCs w:val="16"/>
                <w:lang w:eastAsia="ru-RU"/>
              </w:rPr>
              <w:t>термолабильный</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антитромбогенный</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рентгеноконтрастный</w:t>
            </w:r>
            <w:proofErr w:type="spellEnd"/>
            <w:r w:rsidRPr="0088238F">
              <w:rPr>
                <w:rFonts w:ascii="Verdana" w:hAnsi="Verdana"/>
                <w:color w:val="000000"/>
                <w:sz w:val="16"/>
                <w:szCs w:val="16"/>
                <w:lang w:eastAsia="ru-RU"/>
              </w:rPr>
              <w:t xml:space="preserve"> полиуретан</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Наличие</w:t>
            </w:r>
            <w:r w:rsidRPr="00463466">
              <w:rPr>
                <w:rFonts w:ascii="Verdana" w:hAnsi="Verdana"/>
                <w:color w:val="000000"/>
                <w:sz w:val="16"/>
                <w:szCs w:val="16"/>
                <w:lang w:eastAsia="ru-RU"/>
              </w:rPr>
              <w:t>.</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 Одноканальный катетер с разметкой, </w:t>
            </w:r>
            <w:proofErr w:type="spellStart"/>
            <w:r w:rsidRPr="0088238F">
              <w:rPr>
                <w:rFonts w:ascii="Verdana" w:hAnsi="Verdana"/>
                <w:color w:val="000000"/>
                <w:sz w:val="16"/>
                <w:szCs w:val="16"/>
                <w:lang w:eastAsia="ru-RU"/>
              </w:rPr>
              <w:t>атравматичным</w:t>
            </w:r>
            <w:proofErr w:type="spellEnd"/>
            <w:r w:rsidRPr="0088238F">
              <w:rPr>
                <w:rFonts w:ascii="Verdana" w:hAnsi="Verdana"/>
                <w:color w:val="000000"/>
                <w:sz w:val="16"/>
                <w:szCs w:val="16"/>
                <w:lang w:eastAsia="ru-RU"/>
              </w:rPr>
              <w:t xml:space="preserve"> кончиком, соединением типа </w:t>
            </w:r>
            <w:proofErr w:type="spellStart"/>
            <w:r w:rsidRPr="0088238F">
              <w:rPr>
                <w:rFonts w:ascii="Verdana" w:hAnsi="Verdana"/>
                <w:color w:val="000000"/>
                <w:sz w:val="16"/>
                <w:szCs w:val="16"/>
                <w:lang w:eastAsia="ru-RU"/>
              </w:rPr>
              <w:t>Люэр</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лок</w:t>
            </w:r>
            <w:proofErr w:type="spellEnd"/>
            <w:r w:rsidRPr="0088238F">
              <w:rPr>
                <w:rFonts w:ascii="Verdana" w:hAnsi="Verdana"/>
                <w:color w:val="000000"/>
                <w:sz w:val="16"/>
                <w:szCs w:val="16"/>
                <w:lang w:eastAsia="ru-RU"/>
              </w:rPr>
              <w:t xml:space="preserve"> маркировкой канала и элементами фиксации </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Соответствие</w:t>
            </w:r>
            <w:r w:rsidRPr="00463466">
              <w:rPr>
                <w:rFonts w:ascii="Verdana" w:hAnsi="Verdana"/>
                <w:color w:val="000000"/>
                <w:sz w:val="16"/>
                <w:szCs w:val="16"/>
                <w:lang w:eastAsia="ru-RU"/>
              </w:rPr>
              <w:t>.</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Наружный диаметр катетера:</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22G</w:t>
            </w:r>
            <w:r w:rsidRPr="00463466">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гейдж</w:t>
            </w:r>
            <w:proofErr w:type="spellEnd"/>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Длина катетера:</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10</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см</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Скорость потока:</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15мл/мин</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Пункционная игла тонкостенная, овальный срез, </w:t>
            </w:r>
            <w:proofErr w:type="spellStart"/>
            <w:r w:rsidRPr="0088238F">
              <w:rPr>
                <w:rFonts w:ascii="Verdana" w:hAnsi="Verdana"/>
                <w:color w:val="000000"/>
                <w:sz w:val="16"/>
                <w:szCs w:val="16"/>
                <w:lang w:eastAsia="ru-RU"/>
              </w:rPr>
              <w:t>Люэр-локНаличие</w:t>
            </w:r>
            <w:proofErr w:type="spellEnd"/>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Диаметр пункционной иглы:</w:t>
            </w:r>
            <w:r w:rsidRPr="00463466">
              <w:rPr>
                <w:rFonts w:ascii="Verdana" w:hAnsi="Verdana"/>
                <w:color w:val="000000"/>
                <w:sz w:val="16"/>
                <w:szCs w:val="16"/>
                <w:lang w:eastAsia="ru-RU"/>
              </w:rPr>
              <w:t xml:space="preserve"> </w:t>
            </w:r>
            <w:r w:rsidRPr="0088238F">
              <w:rPr>
                <w:rFonts w:ascii="Verdana" w:hAnsi="Verdana"/>
                <w:sz w:val="16"/>
                <w:szCs w:val="16"/>
                <w:lang w:eastAsia="ru-RU"/>
              </w:rPr>
              <w:t>0,8</w:t>
            </w:r>
            <w:r w:rsidRPr="00463466">
              <w:rPr>
                <w:rFonts w:ascii="Verdana" w:hAnsi="Verdana"/>
                <w:sz w:val="16"/>
                <w:szCs w:val="16"/>
                <w:lang w:eastAsia="ru-RU"/>
              </w:rPr>
              <w:t xml:space="preserve"> </w:t>
            </w:r>
            <w:r w:rsidRPr="0088238F">
              <w:rPr>
                <w:rFonts w:ascii="Verdana" w:hAnsi="Verdana"/>
                <w:color w:val="000000"/>
                <w:sz w:val="16"/>
                <w:szCs w:val="16"/>
                <w:lang w:eastAsia="ru-RU"/>
              </w:rPr>
              <w:t>мм</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Длина пункционной иглы:</w:t>
            </w:r>
            <w:r w:rsidRPr="00463466">
              <w:rPr>
                <w:rFonts w:ascii="Verdana" w:hAnsi="Verdana"/>
                <w:color w:val="000000"/>
                <w:sz w:val="16"/>
                <w:szCs w:val="16"/>
                <w:lang w:eastAsia="ru-RU"/>
              </w:rPr>
              <w:t xml:space="preserve"> </w:t>
            </w:r>
            <w:r w:rsidRPr="0088238F">
              <w:rPr>
                <w:rFonts w:ascii="Verdana" w:hAnsi="Verdana"/>
                <w:sz w:val="16"/>
                <w:szCs w:val="16"/>
                <w:lang w:eastAsia="ru-RU"/>
              </w:rPr>
              <w:t>38</w:t>
            </w:r>
            <w:r w:rsidRPr="00463466">
              <w:rPr>
                <w:rFonts w:ascii="Verdana" w:hAnsi="Verdana"/>
                <w:sz w:val="16"/>
                <w:szCs w:val="16"/>
                <w:lang w:eastAsia="ru-RU"/>
              </w:rPr>
              <w:t xml:space="preserve"> </w:t>
            </w:r>
            <w:r w:rsidRPr="0088238F">
              <w:rPr>
                <w:rFonts w:ascii="Verdana" w:hAnsi="Verdana"/>
                <w:color w:val="000000"/>
                <w:sz w:val="16"/>
                <w:szCs w:val="16"/>
                <w:lang w:eastAsia="ru-RU"/>
              </w:rPr>
              <w:t>мм</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Диаметр проводника: </w:t>
            </w:r>
            <w:r w:rsidRPr="00463466">
              <w:rPr>
                <w:rFonts w:ascii="Verdana" w:hAnsi="Verdana"/>
                <w:color w:val="000000"/>
                <w:sz w:val="16"/>
                <w:szCs w:val="16"/>
                <w:lang w:eastAsia="ru-RU"/>
              </w:rPr>
              <w:t xml:space="preserve"> </w:t>
            </w:r>
            <w:r w:rsidRPr="0088238F">
              <w:rPr>
                <w:rFonts w:ascii="Verdana" w:hAnsi="Verdana"/>
                <w:sz w:val="16"/>
                <w:szCs w:val="16"/>
                <w:lang w:eastAsia="ru-RU"/>
              </w:rPr>
              <w:t>0,46</w:t>
            </w:r>
            <w:r w:rsidRPr="00463466">
              <w:rPr>
                <w:rFonts w:ascii="Verdana" w:hAnsi="Verdana"/>
                <w:sz w:val="16"/>
                <w:szCs w:val="16"/>
                <w:lang w:eastAsia="ru-RU"/>
              </w:rPr>
              <w:t xml:space="preserve"> </w:t>
            </w:r>
            <w:r w:rsidRPr="0088238F">
              <w:rPr>
                <w:rFonts w:ascii="Verdana" w:hAnsi="Verdana"/>
                <w:color w:val="000000"/>
                <w:sz w:val="16"/>
                <w:szCs w:val="16"/>
                <w:lang w:eastAsia="ru-RU"/>
              </w:rPr>
              <w:t>мм</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Длина проводника:</w:t>
            </w:r>
            <w:r w:rsidRPr="00463466">
              <w:rPr>
                <w:rFonts w:ascii="Verdana" w:hAnsi="Verdana"/>
                <w:color w:val="000000"/>
                <w:sz w:val="16"/>
                <w:szCs w:val="16"/>
                <w:lang w:eastAsia="ru-RU"/>
              </w:rPr>
              <w:t xml:space="preserve"> </w:t>
            </w:r>
            <w:r w:rsidRPr="0088238F">
              <w:rPr>
                <w:rFonts w:ascii="Verdana" w:hAnsi="Verdana"/>
                <w:sz w:val="16"/>
                <w:szCs w:val="16"/>
                <w:lang w:eastAsia="ru-RU"/>
              </w:rPr>
              <w:t>25</w:t>
            </w:r>
            <w:r w:rsidRPr="00463466">
              <w:rPr>
                <w:rFonts w:ascii="Verdana" w:hAnsi="Verdana"/>
                <w:sz w:val="16"/>
                <w:szCs w:val="16"/>
                <w:lang w:eastAsia="ru-RU"/>
              </w:rPr>
              <w:t xml:space="preserve"> </w:t>
            </w:r>
            <w:r w:rsidRPr="0088238F">
              <w:rPr>
                <w:rFonts w:ascii="Verdana" w:hAnsi="Verdana"/>
                <w:color w:val="000000"/>
                <w:sz w:val="16"/>
                <w:szCs w:val="16"/>
                <w:lang w:eastAsia="ru-RU"/>
              </w:rPr>
              <w:t>см</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Проводник маркированный, с J-образным кончиком, в круглом футляре с </w:t>
            </w:r>
            <w:proofErr w:type="spellStart"/>
            <w:r w:rsidRPr="0088238F">
              <w:rPr>
                <w:rFonts w:ascii="Verdana" w:hAnsi="Verdana"/>
                <w:color w:val="000000"/>
                <w:sz w:val="16"/>
                <w:szCs w:val="16"/>
                <w:lang w:eastAsia="ru-RU"/>
              </w:rPr>
              <w:t>направителем</w:t>
            </w:r>
            <w:proofErr w:type="spellEnd"/>
            <w:r w:rsidRPr="0088238F">
              <w:rPr>
                <w:rFonts w:ascii="Verdana" w:hAnsi="Verdana"/>
                <w:color w:val="000000"/>
                <w:sz w:val="16"/>
                <w:szCs w:val="16"/>
                <w:lang w:eastAsia="ru-RU"/>
              </w:rPr>
              <w:t xml:space="preserve"> и пальцевым упором</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Соответствие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Неподвижные крылья с отверстиями, прозрачная удлинительная линия с </w:t>
            </w:r>
            <w:proofErr w:type="spellStart"/>
            <w:r w:rsidRPr="0088238F">
              <w:rPr>
                <w:rFonts w:ascii="Verdana" w:hAnsi="Verdana"/>
                <w:color w:val="000000"/>
                <w:sz w:val="16"/>
                <w:szCs w:val="16"/>
                <w:lang w:eastAsia="ru-RU"/>
              </w:rPr>
              <w:t>коннектором</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Люэр</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лок</w:t>
            </w:r>
            <w:proofErr w:type="spellEnd"/>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Соответствие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Кабель для ЭКГ контроля постановки катетера</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Наличие</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Трехходовой кран:</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Наличие</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Скальпель:</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Наличие</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Шприц 3-х компонентный:</w:t>
            </w:r>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Наличие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Объем шприца:3мл</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Тип </w:t>
            </w:r>
            <w:proofErr w:type="spellStart"/>
            <w:r w:rsidRPr="0088238F">
              <w:rPr>
                <w:rFonts w:ascii="Verdana" w:hAnsi="Verdana"/>
                <w:color w:val="000000"/>
                <w:sz w:val="16"/>
                <w:szCs w:val="16"/>
                <w:lang w:eastAsia="ru-RU"/>
              </w:rPr>
              <w:t>коннектора</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шприца</w:t>
            </w:r>
            <w:proofErr w:type="gramStart"/>
            <w:r w:rsidRPr="0088238F">
              <w:rPr>
                <w:rFonts w:ascii="Verdana" w:hAnsi="Verdana"/>
                <w:color w:val="000000"/>
                <w:sz w:val="16"/>
                <w:szCs w:val="16"/>
                <w:lang w:eastAsia="ru-RU"/>
              </w:rPr>
              <w:t>:Л</w:t>
            </w:r>
            <w:proofErr w:type="gramEnd"/>
            <w:r w:rsidRPr="0088238F">
              <w:rPr>
                <w:rFonts w:ascii="Verdana" w:hAnsi="Verdana"/>
                <w:color w:val="000000"/>
                <w:sz w:val="16"/>
                <w:szCs w:val="16"/>
                <w:lang w:eastAsia="ru-RU"/>
              </w:rPr>
              <w:t>юэр</w:t>
            </w:r>
            <w:proofErr w:type="spellEnd"/>
            <w:r w:rsidRPr="0088238F">
              <w:rPr>
                <w:rFonts w:ascii="Verdana" w:hAnsi="Verdana"/>
                <w:color w:val="000000"/>
                <w:sz w:val="16"/>
                <w:szCs w:val="16"/>
                <w:lang w:eastAsia="ru-RU"/>
              </w:rPr>
              <w:t xml:space="preserve"> </w:t>
            </w:r>
            <w:proofErr w:type="spellStart"/>
            <w:r w:rsidRPr="0088238F">
              <w:rPr>
                <w:rFonts w:ascii="Verdana" w:hAnsi="Verdana"/>
                <w:color w:val="000000"/>
                <w:sz w:val="16"/>
                <w:szCs w:val="16"/>
                <w:lang w:eastAsia="ru-RU"/>
              </w:rPr>
              <w:t>лок</w:t>
            </w:r>
            <w:proofErr w:type="spellEnd"/>
            <w:r w:rsidRPr="00463466">
              <w:rPr>
                <w:rFonts w:ascii="Verdana" w:hAnsi="Verdana"/>
                <w:color w:val="000000"/>
                <w:sz w:val="16"/>
                <w:szCs w:val="16"/>
                <w:lang w:eastAsia="ru-RU"/>
              </w:rPr>
              <w:t xml:space="preserve"> </w:t>
            </w:r>
            <w:r w:rsidRPr="0088238F">
              <w:rPr>
                <w:rFonts w:ascii="Verdana" w:hAnsi="Verdana"/>
                <w:color w:val="000000"/>
                <w:sz w:val="16"/>
                <w:szCs w:val="16"/>
                <w:lang w:eastAsia="ru-RU"/>
              </w:rPr>
              <w:t> </w:t>
            </w:r>
          </w:p>
          <w:p w:rsidR="0088238F" w:rsidRPr="00463466" w:rsidRDefault="0088238F" w:rsidP="0088238F">
            <w:pPr>
              <w:suppressAutoHyphens w:val="0"/>
              <w:rPr>
                <w:rFonts w:ascii="Verdana" w:hAnsi="Verdana"/>
                <w:color w:val="000000"/>
                <w:sz w:val="16"/>
                <w:szCs w:val="16"/>
                <w:lang w:eastAsia="ru-RU"/>
              </w:rPr>
            </w:pPr>
            <w:r w:rsidRPr="0088238F">
              <w:rPr>
                <w:rFonts w:ascii="Verdana" w:hAnsi="Verdana"/>
                <w:color w:val="000000"/>
                <w:sz w:val="16"/>
                <w:szCs w:val="16"/>
                <w:lang w:eastAsia="ru-RU"/>
              </w:rPr>
              <w:t xml:space="preserve">Мягкий самоклеящийся фиксатор </w:t>
            </w:r>
            <w:proofErr w:type="spellStart"/>
            <w:r w:rsidRPr="0088238F">
              <w:rPr>
                <w:rFonts w:ascii="Verdana" w:hAnsi="Verdana"/>
                <w:color w:val="000000"/>
                <w:sz w:val="16"/>
                <w:szCs w:val="16"/>
                <w:lang w:eastAsia="ru-RU"/>
              </w:rPr>
              <w:t>катетера</w:t>
            </w:r>
            <w:proofErr w:type="gramStart"/>
            <w:r w:rsidRPr="0088238F">
              <w:rPr>
                <w:rFonts w:ascii="Verdana" w:hAnsi="Verdana"/>
                <w:color w:val="000000"/>
                <w:sz w:val="16"/>
                <w:szCs w:val="16"/>
                <w:lang w:eastAsia="ru-RU"/>
              </w:rPr>
              <w:t>:Н</w:t>
            </w:r>
            <w:proofErr w:type="gramEnd"/>
            <w:r w:rsidRPr="0088238F">
              <w:rPr>
                <w:rFonts w:ascii="Verdana" w:hAnsi="Verdana"/>
                <w:color w:val="000000"/>
                <w:sz w:val="16"/>
                <w:szCs w:val="16"/>
                <w:lang w:eastAsia="ru-RU"/>
              </w:rPr>
              <w:t>аличие</w:t>
            </w:r>
            <w:proofErr w:type="spellEnd"/>
          </w:p>
          <w:p w:rsidR="00232820" w:rsidRPr="00463466" w:rsidRDefault="00232820" w:rsidP="00313E47">
            <w:pPr>
              <w:rPr>
                <w:rFonts w:ascii="Verdana" w:hAnsi="Verdana"/>
                <w:color w:val="000000"/>
                <w:sz w:val="16"/>
                <w:szCs w:val="16"/>
              </w:rPr>
            </w:pPr>
          </w:p>
        </w:tc>
        <w:tc>
          <w:tcPr>
            <w:tcW w:w="1643" w:type="dxa"/>
          </w:tcPr>
          <w:p w:rsidR="00232820" w:rsidRPr="00463466" w:rsidRDefault="00463466" w:rsidP="00412EF8">
            <w:pPr>
              <w:jc w:val="center"/>
              <w:rPr>
                <w:rFonts w:ascii="Verdana" w:hAnsi="Verdana" w:cs="Arial"/>
                <w:color w:val="001A34"/>
                <w:sz w:val="16"/>
                <w:szCs w:val="16"/>
                <w:shd w:val="clear" w:color="auto" w:fill="FFFFFF"/>
              </w:rPr>
            </w:pPr>
            <w:r w:rsidRPr="00463466">
              <w:rPr>
                <w:rFonts w:ascii="Verdana" w:hAnsi="Verdana" w:cs="Arial"/>
                <w:color w:val="001A34"/>
                <w:sz w:val="16"/>
                <w:szCs w:val="16"/>
                <w:shd w:val="clear" w:color="auto" w:fill="FFFFFF"/>
              </w:rPr>
              <w:t xml:space="preserve">B. </w:t>
            </w:r>
            <w:proofErr w:type="spellStart"/>
            <w:r w:rsidRPr="00463466">
              <w:rPr>
                <w:rFonts w:ascii="Verdana" w:hAnsi="Verdana" w:cs="Arial"/>
                <w:color w:val="001A34"/>
                <w:sz w:val="16"/>
                <w:szCs w:val="16"/>
                <w:shd w:val="clear" w:color="auto" w:fill="FFFFFF"/>
              </w:rPr>
              <w:t>Braun</w:t>
            </w:r>
            <w:proofErr w:type="spellEnd"/>
            <w:r w:rsidRPr="00463466">
              <w:rPr>
                <w:rFonts w:ascii="Verdana" w:hAnsi="Verdana" w:cs="Arial"/>
                <w:color w:val="001A34"/>
                <w:sz w:val="16"/>
                <w:szCs w:val="16"/>
                <w:shd w:val="clear" w:color="auto" w:fill="FFFFFF"/>
              </w:rPr>
              <w:t>, Федеративная Республика Германия</w:t>
            </w:r>
          </w:p>
          <w:p w:rsidR="00463466" w:rsidRPr="00463466" w:rsidRDefault="00463466" w:rsidP="00412EF8">
            <w:pPr>
              <w:jc w:val="center"/>
              <w:rPr>
                <w:rFonts w:ascii="Verdana" w:hAnsi="Verdana"/>
                <w:color w:val="000000"/>
                <w:sz w:val="16"/>
                <w:szCs w:val="16"/>
                <w:lang w:eastAsia="ru-RU"/>
              </w:rPr>
            </w:pPr>
            <w:r w:rsidRPr="00463466">
              <w:rPr>
                <w:rFonts w:ascii="Verdana" w:hAnsi="Verdana" w:cs="Arial"/>
                <w:color w:val="001A34"/>
                <w:sz w:val="16"/>
                <w:szCs w:val="16"/>
                <w:shd w:val="clear" w:color="auto" w:fill="FFFFFF"/>
              </w:rPr>
              <w:t>(276)</w:t>
            </w:r>
          </w:p>
        </w:tc>
        <w:tc>
          <w:tcPr>
            <w:tcW w:w="909" w:type="dxa"/>
          </w:tcPr>
          <w:p w:rsidR="00232820" w:rsidRPr="00463466" w:rsidRDefault="00BD36FA" w:rsidP="00DA5025">
            <w:pPr>
              <w:jc w:val="center"/>
              <w:rPr>
                <w:rFonts w:ascii="Verdana" w:hAnsi="Verdana"/>
                <w:color w:val="000000"/>
                <w:sz w:val="16"/>
                <w:szCs w:val="16"/>
              </w:rPr>
            </w:pPr>
            <w:r w:rsidRPr="00463466">
              <w:rPr>
                <w:rFonts w:ascii="Verdana" w:hAnsi="Verdana"/>
                <w:color w:val="000000"/>
                <w:sz w:val="16"/>
                <w:szCs w:val="16"/>
              </w:rPr>
              <w:t>шт.</w:t>
            </w:r>
          </w:p>
        </w:tc>
        <w:tc>
          <w:tcPr>
            <w:tcW w:w="725" w:type="dxa"/>
          </w:tcPr>
          <w:p w:rsidR="00232820" w:rsidRPr="00463466" w:rsidRDefault="0088238F" w:rsidP="00DA5025">
            <w:pPr>
              <w:jc w:val="center"/>
              <w:rPr>
                <w:rFonts w:ascii="Verdana" w:hAnsi="Verdana"/>
                <w:color w:val="000000"/>
                <w:sz w:val="16"/>
                <w:szCs w:val="16"/>
              </w:rPr>
            </w:pPr>
            <w:r w:rsidRPr="00463466">
              <w:rPr>
                <w:rFonts w:ascii="Verdana" w:hAnsi="Verdana"/>
                <w:color w:val="000000"/>
                <w:sz w:val="16"/>
                <w:szCs w:val="16"/>
              </w:rPr>
              <w:t>20</w:t>
            </w:r>
          </w:p>
        </w:tc>
        <w:tc>
          <w:tcPr>
            <w:tcW w:w="974" w:type="dxa"/>
          </w:tcPr>
          <w:p w:rsidR="00232820" w:rsidRPr="00463466" w:rsidRDefault="00232820" w:rsidP="008F5A08">
            <w:pPr>
              <w:pStyle w:val="ConsPlusNormal"/>
              <w:widowControl/>
              <w:ind w:firstLine="0"/>
              <w:jc w:val="center"/>
              <w:rPr>
                <w:rFonts w:ascii="Verdana" w:hAnsi="Verdana"/>
                <w:color w:val="000000"/>
                <w:sz w:val="16"/>
                <w:szCs w:val="16"/>
              </w:rPr>
            </w:pPr>
          </w:p>
        </w:tc>
        <w:tc>
          <w:tcPr>
            <w:tcW w:w="1503" w:type="dxa"/>
          </w:tcPr>
          <w:p w:rsidR="00232820" w:rsidRPr="00463466" w:rsidRDefault="00232820" w:rsidP="00015252">
            <w:pPr>
              <w:pStyle w:val="ConsPlusNormal"/>
              <w:widowControl/>
              <w:ind w:firstLine="0"/>
              <w:jc w:val="center"/>
              <w:rPr>
                <w:rFonts w:ascii="Verdana" w:hAnsi="Verdana"/>
                <w:color w:val="000000"/>
                <w:sz w:val="16"/>
                <w:szCs w:val="16"/>
              </w:rPr>
            </w:pPr>
          </w:p>
        </w:tc>
      </w:tr>
    </w:tbl>
    <w:p w:rsidR="007064A6" w:rsidRDefault="007064A6" w:rsidP="00CF195F">
      <w:pPr>
        <w:pStyle w:val="ConsPlusNormal"/>
        <w:widowControl/>
        <w:ind w:firstLine="0"/>
        <w:jc w:val="center"/>
      </w:pPr>
    </w:p>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p w:rsidR="00BD36FA" w:rsidRDefault="00BD36FA" w:rsidP="00A364DC">
      <w:pPr>
        <w:pStyle w:val="ConsPlusNormal"/>
        <w:widowControl/>
        <w:ind w:firstLine="0"/>
        <w:jc w:val="center"/>
      </w:pPr>
    </w:p>
    <w:sectPr w:rsidR="00BD36FA"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5">
    <w:nsid w:val="772E7A9E"/>
    <w:multiLevelType w:val="multilevel"/>
    <w:tmpl w:val="903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74BEE"/>
    <w:rsid w:val="00077519"/>
    <w:rsid w:val="000827A4"/>
    <w:rsid w:val="00086E38"/>
    <w:rsid w:val="00090DFC"/>
    <w:rsid w:val="000932BC"/>
    <w:rsid w:val="0009461F"/>
    <w:rsid w:val="000946D2"/>
    <w:rsid w:val="00097EC7"/>
    <w:rsid w:val="000A38FA"/>
    <w:rsid w:val="000A555F"/>
    <w:rsid w:val="000A65F5"/>
    <w:rsid w:val="000B783A"/>
    <w:rsid w:val="000C603B"/>
    <w:rsid w:val="000C7611"/>
    <w:rsid w:val="000D11BA"/>
    <w:rsid w:val="000D302D"/>
    <w:rsid w:val="000D62CA"/>
    <w:rsid w:val="000D6E3A"/>
    <w:rsid w:val="000E0F23"/>
    <w:rsid w:val="000F5FB6"/>
    <w:rsid w:val="001024D9"/>
    <w:rsid w:val="0010777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382A"/>
    <w:rsid w:val="00215109"/>
    <w:rsid w:val="0022050B"/>
    <w:rsid w:val="00220B3A"/>
    <w:rsid w:val="00223B10"/>
    <w:rsid w:val="00226607"/>
    <w:rsid w:val="00232820"/>
    <w:rsid w:val="00236137"/>
    <w:rsid w:val="00245B0E"/>
    <w:rsid w:val="002464EA"/>
    <w:rsid w:val="002561BE"/>
    <w:rsid w:val="00257AE9"/>
    <w:rsid w:val="0027326A"/>
    <w:rsid w:val="0027356A"/>
    <w:rsid w:val="0027635D"/>
    <w:rsid w:val="002944FD"/>
    <w:rsid w:val="00295016"/>
    <w:rsid w:val="00296E64"/>
    <w:rsid w:val="002B36B7"/>
    <w:rsid w:val="002B6221"/>
    <w:rsid w:val="002C2024"/>
    <w:rsid w:val="002C32A3"/>
    <w:rsid w:val="002C4192"/>
    <w:rsid w:val="002D254F"/>
    <w:rsid w:val="002D4CE2"/>
    <w:rsid w:val="002E2706"/>
    <w:rsid w:val="002E5F80"/>
    <w:rsid w:val="002F327C"/>
    <w:rsid w:val="002F392F"/>
    <w:rsid w:val="002F6DD2"/>
    <w:rsid w:val="0030260D"/>
    <w:rsid w:val="00305643"/>
    <w:rsid w:val="00305F45"/>
    <w:rsid w:val="00307F01"/>
    <w:rsid w:val="0031254D"/>
    <w:rsid w:val="00313E47"/>
    <w:rsid w:val="00362351"/>
    <w:rsid w:val="00366157"/>
    <w:rsid w:val="003719CB"/>
    <w:rsid w:val="00373A56"/>
    <w:rsid w:val="0038099F"/>
    <w:rsid w:val="003829AB"/>
    <w:rsid w:val="003834EA"/>
    <w:rsid w:val="003945A7"/>
    <w:rsid w:val="003B03A5"/>
    <w:rsid w:val="003B43AD"/>
    <w:rsid w:val="003B5A96"/>
    <w:rsid w:val="003B754A"/>
    <w:rsid w:val="003B796C"/>
    <w:rsid w:val="003C541B"/>
    <w:rsid w:val="003C5674"/>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63466"/>
    <w:rsid w:val="004767B4"/>
    <w:rsid w:val="00482E60"/>
    <w:rsid w:val="00484653"/>
    <w:rsid w:val="00485FD0"/>
    <w:rsid w:val="004A0A7B"/>
    <w:rsid w:val="004B4DB4"/>
    <w:rsid w:val="004B680A"/>
    <w:rsid w:val="004C063F"/>
    <w:rsid w:val="004C5122"/>
    <w:rsid w:val="004D2E3A"/>
    <w:rsid w:val="004D75B8"/>
    <w:rsid w:val="004D7FDA"/>
    <w:rsid w:val="004E339E"/>
    <w:rsid w:val="004E5A9E"/>
    <w:rsid w:val="004E74B5"/>
    <w:rsid w:val="004E7E00"/>
    <w:rsid w:val="004F1723"/>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590C"/>
    <w:rsid w:val="00657232"/>
    <w:rsid w:val="00657EC6"/>
    <w:rsid w:val="00665C9B"/>
    <w:rsid w:val="0067284F"/>
    <w:rsid w:val="00677B3B"/>
    <w:rsid w:val="0068109A"/>
    <w:rsid w:val="00681787"/>
    <w:rsid w:val="0068246E"/>
    <w:rsid w:val="00687DF6"/>
    <w:rsid w:val="00690167"/>
    <w:rsid w:val="00696A0D"/>
    <w:rsid w:val="00696CAE"/>
    <w:rsid w:val="006B280A"/>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46140"/>
    <w:rsid w:val="007521BD"/>
    <w:rsid w:val="00753381"/>
    <w:rsid w:val="007561C1"/>
    <w:rsid w:val="0075765D"/>
    <w:rsid w:val="007578E5"/>
    <w:rsid w:val="007757BC"/>
    <w:rsid w:val="00777E8D"/>
    <w:rsid w:val="007820BC"/>
    <w:rsid w:val="007834DA"/>
    <w:rsid w:val="00783ABC"/>
    <w:rsid w:val="007862AB"/>
    <w:rsid w:val="00794A27"/>
    <w:rsid w:val="00796557"/>
    <w:rsid w:val="007A474E"/>
    <w:rsid w:val="007B29EF"/>
    <w:rsid w:val="007D03F4"/>
    <w:rsid w:val="007D1488"/>
    <w:rsid w:val="007D3D42"/>
    <w:rsid w:val="007E0B1C"/>
    <w:rsid w:val="007E1EFB"/>
    <w:rsid w:val="00807E03"/>
    <w:rsid w:val="00811CD9"/>
    <w:rsid w:val="0082047D"/>
    <w:rsid w:val="008261AC"/>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38F"/>
    <w:rsid w:val="00882CF1"/>
    <w:rsid w:val="008853A7"/>
    <w:rsid w:val="00885444"/>
    <w:rsid w:val="008A0DB9"/>
    <w:rsid w:val="008A3205"/>
    <w:rsid w:val="008D621C"/>
    <w:rsid w:val="008E2A2C"/>
    <w:rsid w:val="008E499F"/>
    <w:rsid w:val="008E4B80"/>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200E9"/>
    <w:rsid w:val="00A307E2"/>
    <w:rsid w:val="00A310CF"/>
    <w:rsid w:val="00A325D5"/>
    <w:rsid w:val="00A364DC"/>
    <w:rsid w:val="00A42F4D"/>
    <w:rsid w:val="00A45815"/>
    <w:rsid w:val="00A52E6A"/>
    <w:rsid w:val="00A63BC6"/>
    <w:rsid w:val="00A77DF7"/>
    <w:rsid w:val="00A81836"/>
    <w:rsid w:val="00A87EAC"/>
    <w:rsid w:val="00AA6329"/>
    <w:rsid w:val="00AB1E4C"/>
    <w:rsid w:val="00AD61C1"/>
    <w:rsid w:val="00AF6F12"/>
    <w:rsid w:val="00B03D04"/>
    <w:rsid w:val="00B07EDD"/>
    <w:rsid w:val="00B13CA1"/>
    <w:rsid w:val="00B14442"/>
    <w:rsid w:val="00B14C3C"/>
    <w:rsid w:val="00B32D68"/>
    <w:rsid w:val="00B40BC9"/>
    <w:rsid w:val="00B53FCD"/>
    <w:rsid w:val="00B557E1"/>
    <w:rsid w:val="00B6179A"/>
    <w:rsid w:val="00B62029"/>
    <w:rsid w:val="00B6433C"/>
    <w:rsid w:val="00B703C6"/>
    <w:rsid w:val="00B70A94"/>
    <w:rsid w:val="00B83487"/>
    <w:rsid w:val="00B9203A"/>
    <w:rsid w:val="00B92BE3"/>
    <w:rsid w:val="00B95049"/>
    <w:rsid w:val="00BA4608"/>
    <w:rsid w:val="00BA5826"/>
    <w:rsid w:val="00BA6760"/>
    <w:rsid w:val="00BC04DD"/>
    <w:rsid w:val="00BC2025"/>
    <w:rsid w:val="00BC2D11"/>
    <w:rsid w:val="00BD1E88"/>
    <w:rsid w:val="00BD36FA"/>
    <w:rsid w:val="00BD7701"/>
    <w:rsid w:val="00BE00AF"/>
    <w:rsid w:val="00BE2693"/>
    <w:rsid w:val="00BF2464"/>
    <w:rsid w:val="00BF3FA0"/>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B190D"/>
    <w:rsid w:val="00CB28E7"/>
    <w:rsid w:val="00CB39A8"/>
    <w:rsid w:val="00CB3B56"/>
    <w:rsid w:val="00CB495B"/>
    <w:rsid w:val="00CC2C47"/>
    <w:rsid w:val="00CC58DE"/>
    <w:rsid w:val="00CD16FA"/>
    <w:rsid w:val="00CD48D8"/>
    <w:rsid w:val="00CE1D92"/>
    <w:rsid w:val="00CF195F"/>
    <w:rsid w:val="00D11C41"/>
    <w:rsid w:val="00D13CAB"/>
    <w:rsid w:val="00D16406"/>
    <w:rsid w:val="00D30F2B"/>
    <w:rsid w:val="00D31ACC"/>
    <w:rsid w:val="00D344F0"/>
    <w:rsid w:val="00D47BB4"/>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4B37"/>
    <w:rsid w:val="00EA452B"/>
    <w:rsid w:val="00EB0322"/>
    <w:rsid w:val="00EB5ED2"/>
    <w:rsid w:val="00EC0B23"/>
    <w:rsid w:val="00EC3398"/>
    <w:rsid w:val="00ED1B75"/>
    <w:rsid w:val="00ED3CFB"/>
    <w:rsid w:val="00ED3F09"/>
    <w:rsid w:val="00ED4F38"/>
    <w:rsid w:val="00ED68FA"/>
    <w:rsid w:val="00EE4247"/>
    <w:rsid w:val="00EE6005"/>
    <w:rsid w:val="00F00133"/>
    <w:rsid w:val="00F03A5D"/>
    <w:rsid w:val="00F158F5"/>
    <w:rsid w:val="00F25ADE"/>
    <w:rsid w:val="00F31708"/>
    <w:rsid w:val="00F3592B"/>
    <w:rsid w:val="00F44FA4"/>
    <w:rsid w:val="00F555DC"/>
    <w:rsid w:val="00F63C8D"/>
    <w:rsid w:val="00F64B6F"/>
    <w:rsid w:val="00F7440F"/>
    <w:rsid w:val="00F779CA"/>
    <w:rsid w:val="00F81D7B"/>
    <w:rsid w:val="00F8731C"/>
    <w:rsid w:val="00F87660"/>
    <w:rsid w:val="00F91708"/>
    <w:rsid w:val="00F933F3"/>
    <w:rsid w:val="00F93D4C"/>
    <w:rsid w:val="00F954EF"/>
    <w:rsid w:val="00FA48F0"/>
    <w:rsid w:val="00FB708F"/>
    <w:rsid w:val="00FC06E4"/>
    <w:rsid w:val="00FC1ED7"/>
    <w:rsid w:val="00FC4ABD"/>
    <w:rsid w:val="00FD2A2A"/>
    <w:rsid w:val="00FD4A3C"/>
    <w:rsid w:val="00FD51D9"/>
    <w:rsid w:val="00FD567D"/>
    <w:rsid w:val="00FD5EF2"/>
    <w:rsid w:val="00FF4926"/>
    <w:rsid w:val="00FF7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258374875">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41897525">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A3C02-D1A6-4EBF-9547-B1F29F6C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22085</CharactersWithSpaces>
  <SharedDoc>false</SharedDoc>
  <HLinks>
    <vt:vector size="18" baseType="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13</cp:revision>
  <cp:lastPrinted>2026-05-29T05:42:00Z</cp:lastPrinted>
  <dcterms:created xsi:type="dcterms:W3CDTF">2026-04-22T06:42:00Z</dcterms:created>
  <dcterms:modified xsi:type="dcterms:W3CDTF">2026-05-29T06:29:00Z</dcterms:modified>
</cp:coreProperties>
</file>