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Техническое задание на выполнение работ по монтажу систем</w:t>
      </w:r>
      <w:r>
        <w:rPr>
          <w:b/>
          <w:bCs/>
        </w:rPr>
        <w:t>ы</w:t>
      </w:r>
      <w:r>
        <w:rPr>
          <w:b/>
          <w:bCs/>
        </w:rPr>
        <w:t xml:space="preserve"> видеонаблюдения в подразделени </w:t>
      </w:r>
      <w:r>
        <w:rPr>
          <w:b/>
          <w:bCs/>
        </w:rPr>
        <w:t>и ОСП муниципального образования округ Муром</w:t>
      </w:r>
      <w:r>
        <w:rPr>
          <w:b/>
          <w:bCs/>
        </w:rPr>
        <w:t xml:space="preserve"> УФССП России по </w:t>
      </w:r>
      <w:r>
        <w:rPr>
          <w:b/>
          <w:bCs/>
        </w:rPr>
        <w:t>Владимирской</w:t>
      </w:r>
      <w:r>
        <w:rPr>
          <w:b/>
          <w:bCs/>
        </w:rPr>
        <w:t xml:space="preserve"> области </w:t>
      </w:r>
    </w:p>
    <w:p>
      <w:pPr>
        <w:pStyle w:val="Normal"/>
        <w:bidi w:val="0"/>
        <w:jc w:val="center"/>
        <w:rPr>
          <w:b w:val="false"/>
          <w:sz w:val="24"/>
          <w:szCs w:val="24"/>
        </w:rPr>
      </w:pPr>
      <w:r>
        <w:rPr>
          <w:rStyle w:val="FontStyle43"/>
          <w:b w:val="false"/>
          <w:sz w:val="24"/>
          <w:szCs w:val="24"/>
        </w:rPr>
        <w:t>(</w:t>
      </w:r>
      <w:r>
        <w:rPr>
          <w:rStyle w:val="FontStyle43"/>
          <w:sz w:val="24"/>
          <w:szCs w:val="24"/>
        </w:rPr>
        <w:t>ИКЗ  26 1 3327818953 332801001 0034 00</w:t>
      </w:r>
      <w:r>
        <w:rPr>
          <w:rStyle w:val="FontStyle43"/>
          <w:sz w:val="24"/>
          <w:szCs w:val="24"/>
        </w:rPr>
        <w:t>2</w:t>
      </w:r>
      <w:r>
        <w:rPr>
          <w:rStyle w:val="FontStyle43"/>
          <w:sz w:val="24"/>
          <w:szCs w:val="24"/>
        </w:rPr>
        <w:t xml:space="preserve"> 4321 244</w:t>
      </w:r>
      <w:r>
        <w:rPr>
          <w:rStyle w:val="FontStyle43"/>
          <w:b w:val="false"/>
          <w:sz w:val="24"/>
          <w:szCs w:val="24"/>
        </w:rPr>
        <w:t>)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 xml:space="preserve">1. Цель выполнения работ: </w:t>
      </w:r>
      <w:r>
        <w:rPr/>
        <w:t xml:space="preserve">с целью реализации мероприятий в соответствии с требованиями </w:t>
      </w:r>
    </w:p>
    <w:p>
      <w:pPr>
        <w:pStyle w:val="Normal"/>
        <w:bidi w:val="0"/>
        <w:jc w:val="both"/>
        <w:rPr/>
      </w:pPr>
      <w:r>
        <w:rPr/>
        <w:t>постановления Правительства Российской Федерации от 29.03.2016 № 247 «Об утверждении требований антитеррористической защищенности объектов (территорий) Федеральной службы судебных приставов формы паспорта безопасности этих объектов (территорий)».</w:t>
      </w:r>
    </w:p>
    <w:p>
      <w:pPr>
        <w:pStyle w:val="Normal"/>
        <w:bidi w:val="0"/>
        <w:jc w:val="both"/>
        <w:rPr/>
      </w:pPr>
      <w:r>
        <w:rPr>
          <w:b/>
          <w:bCs/>
        </w:rPr>
        <w:t>2. Назначение:</w:t>
      </w:r>
      <w:r>
        <w:rPr/>
        <w:t xml:space="preserve"> Система видеонаблюдения предназначена для организации непреры </w:t>
      </w:r>
      <w:r>
        <w:rPr/>
        <w:t xml:space="preserve">вного </w:t>
      </w:r>
      <w:r>
        <w:rPr/>
        <w:t xml:space="preserve">круглосуточного видеоконтроля и регистрации изображений по периметру и ключевых зон территор </w:t>
      </w:r>
      <w:r>
        <w:rPr/>
        <w:t>ии.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3. Распределение оборудования по объекту: 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9"/>
        <w:gridCol w:w="3343"/>
        <w:gridCol w:w="1925"/>
        <w:gridCol w:w="1927"/>
        <w:gridCol w:w="1934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№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Место выполнения работ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Количество регистраторов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Количество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>уличных камер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Количество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внутренних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камер 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</w:p>
        </w:tc>
        <w:tc>
          <w:tcPr>
            <w:tcW w:w="3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9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9"/>
                <w:u w:val="none"/>
                <w:em w:val="none"/>
              </w:rPr>
              <w:t>Россия, Владимирская область, г. Муром, ул. Советская, д. 7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4. Общие требования: </w:t>
      </w:r>
    </w:p>
    <w:p>
      <w:pPr>
        <w:pStyle w:val="Normal"/>
        <w:bidi w:val="0"/>
        <w:jc w:val="both"/>
        <w:rPr/>
      </w:pPr>
      <w:r>
        <w:rPr/>
        <w:t xml:space="preserve">4.1 Работы должны быть выполнены материалами и оборудованием Подрядчика в соответствии с Техническим заданием, с применением качественных, сертифицированных материалов и оборудования в соответствии с нормами и правилами, установленными в нормативных правовых актах уполномоченного органа РФ. </w:t>
      </w:r>
    </w:p>
    <w:p>
      <w:pPr>
        <w:pStyle w:val="Normal"/>
        <w:bidi w:val="0"/>
        <w:jc w:val="both"/>
        <w:rPr/>
      </w:pPr>
      <w:r>
        <w:rPr/>
        <w:t xml:space="preserve">4.2 При направлении предложений, участникам размещения заказа необходимо указывать точные характеристики (либо параметры) предлагаемого оборудования, временные периоды (недопустимо указывать «не более», «не менее», иные неточные формулировки). </w:t>
      </w:r>
    </w:p>
    <w:p>
      <w:pPr>
        <w:pStyle w:val="Normal"/>
        <w:bidi w:val="0"/>
        <w:jc w:val="both"/>
        <w:rPr/>
      </w:pPr>
      <w:r>
        <w:rPr/>
        <w:t xml:space="preserve">4.3. Требования к характеристикам материалов и оборудования приведены Приложении №1 к техническому заданию. </w:t>
      </w:r>
    </w:p>
    <w:p>
      <w:pPr>
        <w:pStyle w:val="Normal"/>
        <w:bidi w:val="0"/>
        <w:jc w:val="both"/>
        <w:rPr/>
      </w:pPr>
      <w:r>
        <w:rPr/>
        <w:t xml:space="preserve">4.4. Все работы должны быть выполнены в соответствии с требованиями промышленной безопасности, охраны труда, техники безопасности и электробезопасности законодательства РФ. </w:t>
      </w:r>
    </w:p>
    <w:p>
      <w:pPr>
        <w:pStyle w:val="Normal"/>
        <w:bidi w:val="0"/>
        <w:jc w:val="both"/>
        <w:rPr/>
      </w:pPr>
      <w:r>
        <w:rPr/>
        <w:t xml:space="preserve">4.5. Поставляемые используемые материалы/оборудование должны быть новые, не бывшие в использовании, не из ремонта. </w:t>
      </w:r>
    </w:p>
    <w:p>
      <w:pPr>
        <w:pStyle w:val="Normal"/>
        <w:bidi w:val="0"/>
        <w:jc w:val="both"/>
        <w:rPr/>
      </w:pPr>
      <w:r>
        <w:rPr/>
        <w:t xml:space="preserve">4.6. Срок гарантии на оборудование должен соответствовать гарантийному сроку, предоставляемому производителем, но не менее 3 лет с момента ввода оборудования в эксплуатацию. </w:t>
      </w:r>
    </w:p>
    <w:p>
      <w:pPr>
        <w:pStyle w:val="Normal"/>
        <w:bidi w:val="0"/>
        <w:jc w:val="both"/>
        <w:rPr/>
      </w:pPr>
      <w:r>
        <w:rPr/>
        <w:t xml:space="preserve">4.7. Работы должны производиться в рабочие дни с 9-00 ч. до 18-00 ч. (время местное). В выходные и праздничные дни, по согласованию с Заказчиком. Подрядчик уведомляет Заказчика о предполагаемой дате проведения работ не менее чем за 2 рабочих дня. </w:t>
      </w:r>
    </w:p>
    <w:p>
      <w:pPr>
        <w:pStyle w:val="Normal"/>
        <w:bidi w:val="0"/>
        <w:jc w:val="both"/>
        <w:rPr/>
      </w:pPr>
      <w:r>
        <w:rPr/>
        <w:t xml:space="preserve">4.8. Исполнитель обязан выполнить работы согласно настоящего технического задания, в сроки, установленные в Государственном контракте, в последовательности, установленной нормативами и правилами для данных видов работ, с соблюдением технологического процесса. </w:t>
      </w:r>
    </w:p>
    <w:p>
      <w:pPr>
        <w:pStyle w:val="Normal"/>
        <w:bidi w:val="0"/>
        <w:jc w:val="both"/>
        <w:rPr/>
      </w:pPr>
      <w:r>
        <w:rPr/>
        <w:t xml:space="preserve">4.9. Все работы выполняются рабочими соответствующих специальностей и квалификации. 4.10. Работы по устройству наружного видеонаблюдения должны быть выполнены в соответствии с требованиями: </w:t>
      </w:r>
    </w:p>
    <w:p>
      <w:pPr>
        <w:pStyle w:val="Normal"/>
        <w:bidi w:val="0"/>
        <w:jc w:val="both"/>
        <w:rPr/>
      </w:pPr>
      <w:r>
        <w:rPr/>
        <w:t xml:space="preserve">Федеральный закон от 22 июля 2008 г. №128-ФЗ "Технический регламент о требованиях </w:t>
      </w:r>
    </w:p>
    <w:p>
      <w:pPr>
        <w:pStyle w:val="Normal"/>
        <w:bidi w:val="0"/>
        <w:jc w:val="both"/>
        <w:rPr/>
      </w:pPr>
      <w:r>
        <w:rPr/>
        <w:t xml:space="preserve">пожарной безопасности"; </w:t>
      </w:r>
    </w:p>
    <w:p>
      <w:pPr>
        <w:pStyle w:val="Normal"/>
        <w:bidi w:val="0"/>
        <w:jc w:val="both"/>
        <w:rPr/>
      </w:pPr>
      <w:r>
        <w:rPr/>
        <w:t>Постановление Правительства №390 от 25.04.2012 «О противопожарном режиме»;</w:t>
      </w:r>
    </w:p>
    <w:p>
      <w:pPr>
        <w:pStyle w:val="Normal"/>
        <w:bidi w:val="0"/>
        <w:jc w:val="both"/>
        <w:rPr/>
      </w:pPr>
      <w:r>
        <w:rPr/>
        <w:t xml:space="preserve">РД 78.36.003-2002 "Инженерно-техническая укрепленность. Технические средства охраны. Требования и нормы проектирования по защите объектов от преступных посягательств." </w:t>
      </w:r>
    </w:p>
    <w:p>
      <w:pPr>
        <w:pStyle w:val="Normal"/>
        <w:bidi w:val="0"/>
        <w:jc w:val="both"/>
        <w:rPr/>
      </w:pPr>
      <w:r>
        <w:rPr/>
        <w:t xml:space="preserve">ГОСТ 51558-2000 "Системы охранные телевизионные. Общие технические требования и методы испытаний." 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5. Описание работ </w:t>
      </w:r>
    </w:p>
    <w:p>
      <w:pPr>
        <w:pStyle w:val="Normal"/>
        <w:bidi w:val="0"/>
        <w:jc w:val="both"/>
        <w:rPr/>
      </w:pPr>
      <w:r>
        <w:rPr/>
        <w:t xml:space="preserve">5.1. Система должна обеспечивать круглосуточный визуальный контроль за местами входа и выхода в здание, перед зданием (въезда и выезда на территорию объекта); возможность в ночное время, а также при условии плохой видимости (дождь, снегопад и т. п.) идентифицировать личность, совершившего правонарушение. </w:t>
      </w:r>
    </w:p>
    <w:p>
      <w:pPr>
        <w:pStyle w:val="Normal"/>
        <w:bidi w:val="0"/>
        <w:jc w:val="both"/>
        <w:rPr/>
      </w:pPr>
      <w:r>
        <w:rPr/>
        <w:t xml:space="preserve">5.2. Система должна осуществлять круглосуточную запись видеоинформации с указанием номера видеокамеры, даты и времени. </w:t>
      </w:r>
    </w:p>
    <w:p>
      <w:pPr>
        <w:pStyle w:val="Normal"/>
        <w:bidi w:val="0"/>
        <w:jc w:val="both"/>
        <w:rPr/>
      </w:pPr>
      <w:r>
        <w:rPr/>
        <w:t xml:space="preserve">5.3. Система должна предусматривать возможность просмотра текущего изображения с видеокамер в любое время суток, без прерывания записи видеоинформации. </w:t>
      </w:r>
    </w:p>
    <w:p>
      <w:pPr>
        <w:pStyle w:val="Normal"/>
        <w:bidi w:val="0"/>
        <w:jc w:val="both"/>
        <w:rPr/>
      </w:pPr>
      <w:r>
        <w:rPr/>
        <w:t xml:space="preserve">5.4. Камеры на посту №1 (при входе в помещение) должны быть оборудованы встроенным микрофоном с записью звука и изображения с камеры на регистратор. </w:t>
      </w:r>
    </w:p>
    <w:p>
      <w:pPr>
        <w:pStyle w:val="Normal"/>
        <w:bidi w:val="0"/>
        <w:jc w:val="both"/>
        <w:rPr/>
      </w:pPr>
      <w:r>
        <w:rPr/>
        <w:t xml:space="preserve">5.5. Размещение видеокамер приведено в Приложении 2 к техническому заданию. Размещение видеокамер на схемах является ориентировочным. Окончательное место установки определяется по согласованию с Заказчиком. </w:t>
      </w:r>
    </w:p>
    <w:p>
      <w:pPr>
        <w:pStyle w:val="Normal"/>
        <w:bidi w:val="0"/>
        <w:jc w:val="both"/>
        <w:rPr/>
      </w:pPr>
      <w:r>
        <w:rPr/>
        <w:t xml:space="preserve">5.6. Регистратор размещается на посту </w:t>
      </w:r>
      <w:r>
        <w:rPr/>
        <w:t xml:space="preserve">№ </w:t>
      </w:r>
      <w:r>
        <w:rPr/>
        <w:t xml:space="preserve">1 в изолированном боксе запираемом на ключ. Регистратор подвешивается на DIN рейку. </w:t>
      </w:r>
    </w:p>
    <w:p>
      <w:pPr>
        <w:pStyle w:val="Normal"/>
        <w:bidi w:val="0"/>
        <w:jc w:val="both"/>
        <w:rPr/>
      </w:pPr>
      <w:r>
        <w:rPr/>
        <w:t xml:space="preserve">5.7. Монитор системы видеонаблюдения закрепляется на стене на поворотном кронштейне и подключается кабелем HDMI к регистратору. </w:t>
      </w:r>
    </w:p>
    <w:p>
      <w:pPr>
        <w:pStyle w:val="Normal"/>
        <w:bidi w:val="0"/>
        <w:jc w:val="both"/>
        <w:rPr/>
      </w:pPr>
      <w:r>
        <w:rPr/>
        <w:t xml:space="preserve">5.8. Электропитание системы видеонаблюдения осуществляется через сетевой фильтр. Сетевой фильтр закрепляется на стене и подключается к розетке 220В на посту №1. </w:t>
      </w:r>
    </w:p>
    <w:p>
      <w:pPr>
        <w:pStyle w:val="Normal"/>
        <w:bidi w:val="0"/>
        <w:jc w:val="both"/>
        <w:rPr/>
      </w:pPr>
      <w:r>
        <w:rPr/>
        <w:t xml:space="preserve">5.9. Точное расположение бокса, монитора и сетевого фильтра системы видеонаблюдения на посту №1 согласуется с представителями Заказчика на объекте. </w:t>
      </w:r>
    </w:p>
    <w:p>
      <w:pPr>
        <w:pStyle w:val="Normal"/>
        <w:bidi w:val="0"/>
        <w:jc w:val="both"/>
        <w:rPr/>
      </w:pPr>
      <w:r>
        <w:rPr/>
        <w:t xml:space="preserve">5.10. При размещении видеокамер необходимо руководствоваться следующими правилами: - минимизация «слепых» зон сцен обзора; </w:t>
      </w:r>
    </w:p>
    <w:p>
      <w:pPr>
        <w:pStyle w:val="Normal"/>
        <w:bidi w:val="0"/>
        <w:jc w:val="both"/>
        <w:rPr/>
      </w:pPr>
      <w:r>
        <w:rPr/>
        <w:t xml:space="preserve">- сцена зоны обзора не должна перекрываться (даже частично) оптически непрозрачными препятствиями (ветки деревьев и кустарников, листвой, различными трубами, столбами и пр. объектами), мешающими обзору сцены видеонаблюдения (при отсутствии других вариантов размещения видеокамер количество препятствий в сцене обзора должно быть максимально минимизировано). </w:t>
      </w:r>
    </w:p>
    <w:p>
      <w:pPr>
        <w:pStyle w:val="Normal"/>
        <w:bidi w:val="0"/>
        <w:jc w:val="both"/>
        <w:rPr/>
      </w:pPr>
      <w:r>
        <w:rPr/>
        <w:t xml:space="preserve">5.11. При размещении видеокамер необходимо обеспечивать максимальный угол обзора, а именно размещать на углах зданий с обеспечением равных углов крепления к плоскостям стен и удалением от грани угла здания не менее чем 0,5 метра. Высота установки уличных камер 3-4 метра. 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6. Обязанности Подрядчика (Исполнителя): </w:t>
      </w:r>
    </w:p>
    <w:p>
      <w:pPr>
        <w:pStyle w:val="Normal"/>
        <w:bidi w:val="0"/>
        <w:jc w:val="both"/>
        <w:rPr/>
      </w:pPr>
      <w:r>
        <w:rPr/>
        <w:t xml:space="preserve">- обеспечить соответствие качества материалов, оборудования, изделий, конструкций и систем, применяемых при выполнении работ, требованиям ГОСТов, иным обязательным правилам, стандартам, технической и иной документации; </w:t>
      </w:r>
    </w:p>
    <w:p>
      <w:pPr>
        <w:pStyle w:val="Normal"/>
        <w:bidi w:val="0"/>
        <w:jc w:val="both"/>
        <w:rPr/>
      </w:pPr>
      <w:r>
        <w:rPr/>
        <w:t xml:space="preserve">- получение согласований у эксплуатирующих организаций при необходимости отключения линий электропередач, телефонной и радиосвязи, линий уличного освещения и прочих инженерных сетей, перекрытия дорог проводить самостоятельно; </w:t>
      </w:r>
    </w:p>
    <w:p>
      <w:pPr>
        <w:pStyle w:val="Normal"/>
        <w:bidi w:val="0"/>
        <w:jc w:val="both"/>
        <w:rPr/>
      </w:pPr>
      <w:r>
        <w:rPr/>
        <w:t xml:space="preserve">- содержать рабочую площадку и прилегающие участки свободными от строительного мусора, возникающего в результате выполнения работ и обеспечивать общий порядок на рабочей площадке, устранить последствия проведения земляных работ (выровнять землю, при необходимости провести подсыпку и восстановить травяной покров); </w:t>
      </w:r>
    </w:p>
    <w:p>
      <w:pPr>
        <w:pStyle w:val="Normal"/>
        <w:bidi w:val="0"/>
        <w:jc w:val="both"/>
        <w:rPr/>
      </w:pPr>
      <w:r>
        <w:rPr/>
        <w:t xml:space="preserve">- обеспечивать сохранность объекта, материалов и оборудования, находящихся на рабочей площадке, в период выполнения работ, а также в период устранения недостатков в выполненной работе после сдачи объекта в эксплуатацию; </w:t>
      </w:r>
    </w:p>
    <w:p>
      <w:pPr>
        <w:pStyle w:val="Normal"/>
        <w:bidi w:val="0"/>
        <w:jc w:val="both"/>
        <w:rPr/>
      </w:pPr>
      <w:r>
        <w:rPr/>
        <w:t xml:space="preserve">- исполнять полученные в ходе выполнения работ указания Заказчика, которые фиксируются в соответствующих актах, а также в срок, установленный предписанием Заказчика, устранять обнаруженные им недостатки в выполненной работе или иные отступления от условий технического задания; </w:t>
      </w:r>
    </w:p>
    <w:p>
      <w:pPr>
        <w:pStyle w:val="Normal"/>
        <w:bidi w:val="0"/>
        <w:jc w:val="both"/>
        <w:rPr/>
      </w:pPr>
      <w:r>
        <w:rPr/>
        <w:t xml:space="preserve">- обеспечить Заказчику возможность контроля и надзора за ходом выполнения работ, качеством используемых материалов и оборудования, в том числе беспрепятственно допускать его представителей Заказчика к любому конструктивному элементу объекта, представлять по их требованию отчеты о ходе выполнения работ, исполнительную документацию; </w:t>
      </w:r>
    </w:p>
    <w:p>
      <w:pPr>
        <w:pStyle w:val="Normal"/>
        <w:bidi w:val="0"/>
        <w:jc w:val="both"/>
        <w:rPr/>
      </w:pPr>
      <w:r>
        <w:rPr/>
        <w:t xml:space="preserve">- обеспечить соответствие планируемых сцен обзора ( в т.ч. при необходимости расчистку от веток и мелкого кустарника) в соответствии с вышеперечисленными требованиями; </w:t>
      </w:r>
    </w:p>
    <w:p>
      <w:pPr>
        <w:pStyle w:val="Normal"/>
        <w:bidi w:val="0"/>
        <w:jc w:val="both"/>
        <w:rPr/>
      </w:pPr>
      <w:r>
        <w:rPr/>
        <w:t xml:space="preserve">Монтажные и пуско-наладочные работы включают: </w:t>
      </w:r>
    </w:p>
    <w:p>
      <w:pPr>
        <w:pStyle w:val="Normal"/>
        <w:bidi w:val="0"/>
        <w:jc w:val="both"/>
        <w:rPr/>
      </w:pPr>
      <w:r>
        <w:rPr/>
        <w:t xml:space="preserve">- поставку и установку согласованного с Заказчиком оборудования, </w:t>
      </w:r>
    </w:p>
    <w:p>
      <w:pPr>
        <w:pStyle w:val="Normal"/>
        <w:bidi w:val="0"/>
        <w:jc w:val="both"/>
        <w:rPr/>
      </w:pPr>
      <w:r>
        <w:rPr/>
        <w:t xml:space="preserve">- крепление уличных камер, </w:t>
      </w:r>
    </w:p>
    <w:p>
      <w:pPr>
        <w:pStyle w:val="Normal"/>
        <w:bidi w:val="0"/>
        <w:jc w:val="both"/>
        <w:rPr/>
      </w:pPr>
      <w:r>
        <w:rPr/>
        <w:t xml:space="preserve">- крепление внутренних камер, </w:t>
      </w:r>
    </w:p>
    <w:p>
      <w:pPr>
        <w:pStyle w:val="Normal"/>
        <w:bidi w:val="0"/>
        <w:jc w:val="both"/>
        <w:rPr/>
      </w:pPr>
      <w:r>
        <w:rPr/>
        <w:t xml:space="preserve">- прокладку линии передачи сигнала от камер к видеорегистратору, с укладкой кабельных линий (КЛ) по бетонному, кирпичному и гипсокартонному основанию, выполнение переходов через несущие конструкции, укладка в кабель-канал, заделка концов КЛ, опрессовка концов КЛ, </w:t>
      </w:r>
    </w:p>
    <w:p>
      <w:pPr>
        <w:pStyle w:val="Normal"/>
        <w:bidi w:val="0"/>
        <w:jc w:val="both"/>
        <w:rPr/>
      </w:pPr>
      <w:r>
        <w:rPr/>
        <w:t xml:space="preserve">- восстановление отделки поверхностей стен, потолков здания, нарушенных при установке оборудования (в случае нарушения), </w:t>
      </w:r>
    </w:p>
    <w:p>
      <w:pPr>
        <w:pStyle w:val="Normal"/>
        <w:bidi w:val="0"/>
        <w:jc w:val="both"/>
        <w:rPr/>
      </w:pPr>
      <w:r>
        <w:rPr/>
        <w:t xml:space="preserve">- настройка IP адресов, </w:t>
      </w:r>
    </w:p>
    <w:p>
      <w:pPr>
        <w:pStyle w:val="Normal"/>
        <w:bidi w:val="0"/>
        <w:jc w:val="both"/>
        <w:rPr/>
      </w:pPr>
      <w:r>
        <w:rPr/>
        <w:t xml:space="preserve">- настройка четкости изображения, </w:t>
      </w:r>
    </w:p>
    <w:p>
      <w:pPr>
        <w:pStyle w:val="Normal"/>
        <w:bidi w:val="0"/>
        <w:jc w:val="both"/>
        <w:rPr/>
      </w:pPr>
      <w:r>
        <w:rPr/>
        <w:t xml:space="preserve">- тестирование функции записи и архивации, </w:t>
      </w:r>
    </w:p>
    <w:p>
      <w:pPr>
        <w:pStyle w:val="Normal"/>
        <w:bidi w:val="0"/>
        <w:jc w:val="both"/>
        <w:rPr/>
      </w:pPr>
      <w:r>
        <w:rPr/>
        <w:t xml:space="preserve">- настройка параметров и режимов, обеспечивающих устойчивую и стабильную работу оборудования, </w:t>
      </w:r>
    </w:p>
    <w:p>
      <w:pPr>
        <w:pStyle w:val="Normal"/>
        <w:bidi w:val="0"/>
        <w:jc w:val="both"/>
        <w:rPr/>
      </w:pPr>
      <w:r>
        <w:rPr/>
        <w:t xml:space="preserve">- сдачу работ Заказчику. 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Перед сдачей выполненных работ, Подрядчик(Исполнитель) передает Заказчику в письменном и в электронном виде исполнительную документацию на вновь смонтированное оборудование на объекте. 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7. Гарантии качества </w:t>
      </w:r>
    </w:p>
    <w:p>
      <w:pPr>
        <w:pStyle w:val="Normal"/>
        <w:bidi w:val="0"/>
        <w:jc w:val="both"/>
        <w:rPr/>
      </w:pPr>
      <w:r>
        <w:rPr/>
        <w:t xml:space="preserve">Гарантийные обязательства действуют в течение срока определенным заводом- изготовителем, при выполнении Заказчиком условий гарантии и эксплуатации, согласно сервисной книжки, но не менее 36 месяцев. </w:t>
      </w:r>
    </w:p>
    <w:p>
      <w:pPr>
        <w:pStyle w:val="Normal"/>
        <w:bidi w:val="0"/>
        <w:jc w:val="both"/>
        <w:rPr/>
      </w:pPr>
      <w:r>
        <w:rPr/>
        <w:t xml:space="preserve">Требования к качеству основных используемых материалов, изделий и конструкций и их технические характеристики, настоящего технического задания условны, допускается поставка полнофункциональных эквивалентов по всем качественным параметрам оригинала с доказательствами эквивалентности и указанием их марок в заявке. </w:t>
      </w:r>
    </w:p>
    <w:p>
      <w:pPr>
        <w:pStyle w:val="Normal"/>
        <w:bidi w:val="0"/>
        <w:jc w:val="both"/>
        <w:rPr/>
      </w:pPr>
      <w:r>
        <w:rPr/>
        <w:t xml:space="preserve">Все используемые материалы, изделия должны быть новыми, ранее не используемые. 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8. Сроки выполнения работ: </w:t>
      </w:r>
    </w:p>
    <w:p>
      <w:pPr>
        <w:pStyle w:val="Normal"/>
        <w:bidi w:val="0"/>
        <w:jc w:val="both"/>
        <w:rPr/>
      </w:pPr>
      <w:r>
        <w:rPr/>
        <w:t xml:space="preserve">Исполнитель обязан осуществить монтажные работы (с поставкой необходимого оборудования согласно Приложения №1 к техническому заданию) и пусконаладочные работы в течение </w:t>
      </w:r>
      <w:r>
        <w:rPr>
          <w:b/>
          <w:bCs/>
        </w:rPr>
        <w:t>45 (сорока пяти) рабочих дней</w:t>
      </w:r>
      <w:r>
        <w:rPr/>
        <w:t xml:space="preserve"> с момента заключения контракта. 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Приложение </w:t>
      </w:r>
      <w:r>
        <w:rPr>
          <w:b/>
          <w:bCs/>
        </w:rPr>
        <w:t xml:space="preserve">№ </w:t>
      </w:r>
      <w:r>
        <w:rPr>
          <w:b/>
          <w:bCs/>
        </w:rPr>
        <w:t xml:space="preserve">1 к Техническому заданию. </w:t>
      </w:r>
    </w:p>
    <w:p>
      <w:pPr>
        <w:pStyle w:val="Normal"/>
        <w:bidi w:val="0"/>
        <w:jc w:val="both"/>
        <w:rPr/>
      </w:pPr>
      <w:r>
        <w:rPr/>
        <w:t xml:space="preserve">Таблица 1. Характеристики и количество поставляемого товара. 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4"/>
        <w:gridCol w:w="3219"/>
        <w:gridCol w:w="863"/>
        <w:gridCol w:w="4992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товара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Кол- во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показателя 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 </w:t>
            </w:r>
            <w:r>
              <w:rPr/>
              <w:t>Видеорегистрато</w:t>
            </w:r>
            <w:r>
              <w:rPr/>
              <w:t xml:space="preserve">р сетевой 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1 шт 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Количество каналов: 8 шт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Порты PoE: 8 шт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Поддерживаемые видеокодеки: H.265+/H.265/H.264+/H.264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Максимальное разрешение записи на канал: 4 Мп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Входная пропускная способность: 60 Мбит/с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Выходная пропускная способность: 60 Мбит/с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Видео выход VGA: есть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Видео выход HDMI: есть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Поддерживаемая емкость HDD: 6 ТБ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Сетевой интерфейс: RJ45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Порт USB: 2 шт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Манипулятор типа «Мышь»: есть 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2 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Видеокамера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8</w:t>
            </w:r>
            <w:r>
              <w:rPr/>
              <w:t xml:space="preserve"> шт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>Сенсор: не менее 1/2.</w:t>
            </w:r>
            <w:r>
              <w:rPr/>
              <w:t>7</w:t>
            </w:r>
            <w:r>
              <w:rPr/>
              <w:t xml:space="preserve">"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Объектив: Фиксированный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Фокусное расстояние: 2.8 мм (4 шт), 4 мм (2 шт), 6 мм (1 шт)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Угол обзора по горизонтали/вертикали (f 2.8 мм): 104°/58°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Угол обзора по горизонтали/вертикали (f 4 мм): 81°/43°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Угол обзора по горизонтали/вертикали (f 6 мм): 50,9°/29,3°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Дальность ИК подсветки: 30 м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Максимальное разрешение: 2 Мп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Частота кадров при максимальном разрешении: 30 к/с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Формат сжатия видеофайлов: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H.265+/H.265/H.264+/H.264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Встроенный микрофон: Да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Аудиокодеки: G.711ulaw/G.711alaw/G.722.1/G.726/MP2L2/PCM/AAC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Переключение режима день/ночь: есть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Сетевой интерфейс: RJ45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Степень защиты: не менее IP67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Минимальная рабочая температура: -40 °С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Максимальная рабочая температура: +60 °С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Питание: РoE (802.3af) 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Монитор 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1 шт 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Диагональ экрана: 27"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Максимальное разрешение: 1920x1080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Угол обзора по вертикали : 178°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Разъем HDMI: есть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Разъем VGA: есть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Встроенная акустическая система: есть Система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>крепления VESA: 100x100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Крепление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  <w:t xml:space="preserve">(кронштейн) для монитора 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1 шт 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Вид: наклонно-поворотный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Система крепления VESA: 75x75, 100x100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Вылет от стены минимальный: 120 мм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Вылет от стены максимальные: 436 мм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Максимальная нагрузка: 8 кг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Максимальная диагональ экрана: 32" Основной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цвет: черный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5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Кабель HDMI 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1 шт 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Длинна: 2 м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Цвет: черный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Щиток 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1 шт 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Тип установки: Поверхностный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Класс защиты IP: IP31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Размеры: 395х310х120 мм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Din рейка: есть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Количество рядов: 2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Материал: сталь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Ширина в числах модульных расстояний: 24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Цвет: серый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Замок: есть</w:t>
            </w:r>
          </w:p>
        </w:tc>
      </w:tr>
      <w:tr>
        <w:trPr/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7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Сетевой фильтр 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1 шт 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Общее количество розеток: 5 шт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USB разъем Type-A: 2 шт.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USB разъем Type-С: есть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Максимальный ток нагрузки: 16А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Максимальная мощность подключенной нагрузки: 4000 Вт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Длина кабеля: 3 м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Основной цвет: черный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Защита от перегрузки, от перепада напряжения: есть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 xml:space="preserve">Таблица 2. Характеристики материалов. 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3734"/>
        <w:gridCol w:w="5337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№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Наименование товара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/>
              <w:t xml:space="preserve">Наименование показателя 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Кабель U/UTP 4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пары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Категория: 5e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Полоса пропускания: 100 МГц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Тип: U/UTP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Количество пар: 4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Материал проводников: Медь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Тип проводников: Одножильный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Кабель – канал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Тип изделия: кабель-канал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Материал изделия: ПВХ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Высота: 16 мм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Ширина: 25 мм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Степень защиты: IP40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Минимальная температура эксплуатации: -15 °С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Максимальная температура эксплуатации: +50 °С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Монтажная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коробка для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камер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видеонаблюдени</w:t>
            </w:r>
            <w:r>
              <w:rPr/>
              <w:t>я</w:t>
            </w:r>
          </w:p>
        </w:tc>
        <w:tc>
          <w:tcPr>
            <w:tcW w:w="5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Цвет: серый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Монтаж: внутренний/уличный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Минимальная рабочая температура: -40 °С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Максимальная рабочая температура: +50 °С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Материал: пластик</w:t>
            </w:r>
          </w:p>
        </w:tc>
      </w:tr>
    </w:tbl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FontStyle43">
    <w:name w:val="Font Style43"/>
    <w:qFormat/>
    <w:rPr>
      <w:rFonts w:ascii="Times New Roman" w:hAnsi="Times New Roman" w:cs="Times New Roman"/>
      <w:b/>
      <w:bCs/>
      <w:sz w:val="22"/>
      <w:szCs w:val="22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LibreOffice/7.6.7.2$Linux_X86_64 LibreOffice_project/60$Build-2</Application>
  <AppVersion>15.0000</AppVersion>
  <Pages>5</Pages>
  <Words>1534</Words>
  <Characters>10500</Characters>
  <CharactersWithSpaces>12076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2026-06-22T20:11:46Z</dcterms:created>
  <dc:creator/>
  <dc:description/>
  <dc:language>ru-RU</dc:language>
  <cp:lastModifiedBy/>
  <dcterms:modified xsi:type="dcterms:W3CDTF">2026-06-22T20:54:26Z</dcterms:modified>
  <cp:revision>3</cp:revision>
  <dc:subject/>
  <dc:title/>
</cp:coreProperties>
</file>