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docProps/custom.xml" ContentType="application/vnd.openxmlformats-officedocument.custom-propertie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Style w:val="97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№1</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2"/>
        <w:pBdr/>
        <w:spacing/>
        <w:ind/>
        <w:jc w:val="center"/>
        <w:rPr>
          <w:rFonts w:ascii="Times New Roman" w:hAnsi="Times New Roman" w:cs="Times New Roman"/>
          <w:b/>
          <w:bCs/>
          <w:sz w:val="22"/>
          <w:szCs w:val="22"/>
        </w:rPr>
      </w:pPr>
      <w:r>
        <w:rPr>
          <w:rFonts w:ascii="Times New Roman" w:hAnsi="Times New Roman" w:cs="Times New Roman"/>
          <w:b/>
          <w:sz w:val="22"/>
          <w:szCs w:val="22"/>
          <w:highlight w:val="none"/>
        </w:rPr>
      </w:r>
      <w:r>
        <w:rPr>
          <w:rFonts w:ascii="Times New Roman" w:hAnsi="Times New Roman" w:cs="Times New Roman"/>
          <w:b/>
          <w:sz w:val="22"/>
          <w:szCs w:val="22"/>
          <w:highlight w:val="none"/>
        </w:rPr>
      </w:r>
      <w:r>
        <w:rPr>
          <w:rFonts w:ascii="Times New Roman" w:hAnsi="Times New Roman" w:cs="Times New Roman"/>
          <w:b/>
          <w:bCs/>
          <w:sz w:val="22"/>
          <w:szCs w:val="22"/>
        </w:rPr>
      </w:r>
    </w:p>
    <w:p>
      <w:pPr>
        <w:pStyle w:val="972"/>
        <w:pBdr/>
        <w:spacing/>
        <w:ind/>
        <w:jc w:val="center"/>
        <w:rPr>
          <w:rFonts w:ascii="Times New Roman" w:hAnsi="Times New Roman" w:cs="Times New Roman"/>
          <w:b/>
          <w:bCs/>
          <w:sz w:val="22"/>
          <w:szCs w:val="22"/>
          <w:highlight w:val="none"/>
        </w:rPr>
      </w:pPr>
      <w:r>
        <w:rPr>
          <w:rFonts w:ascii="Times New Roman" w:hAnsi="Times New Roman" w:cs="Times New Roman"/>
          <w:b/>
          <w:sz w:val="22"/>
          <w:szCs w:val="22"/>
        </w:rPr>
        <w:t xml:space="preserve">Техническое задание </w:t>
      </w:r>
      <w:r>
        <w:rPr>
          <w:rFonts w:ascii="Times New Roman" w:hAnsi="Times New Roman" w:cs="Times New Roman"/>
          <w:b/>
          <w:sz w:val="22"/>
          <w:szCs w:val="22"/>
        </w:rPr>
      </w:r>
      <w:r>
        <w:rPr>
          <w:rFonts w:ascii="Times New Roman" w:hAnsi="Times New Roman" w:cs="Times New Roman"/>
          <w:b/>
          <w:bCs/>
          <w:sz w:val="22"/>
          <w:szCs w:val="22"/>
          <w:highlight w:val="none"/>
        </w:rPr>
      </w:r>
    </w:p>
    <w:p>
      <w:pPr>
        <w:pStyle w:val="972"/>
        <w:pBdr/>
        <w:spacing/>
        <w:ind/>
        <w:jc w:val="center"/>
        <w:rPr>
          <w:rFonts w:ascii="Times New Roman" w:hAnsi="Times New Roman" w:cs="Times New Roman"/>
          <w:b/>
          <w:sz w:val="22"/>
          <w:szCs w:val="22"/>
        </w:rPr>
      </w:pPr>
      <w:r>
        <w:rPr>
          <w:rFonts w:ascii="Times New Roman" w:hAnsi="Times New Roman" w:cs="Times New Roman"/>
          <w:b/>
          <w:sz w:val="22"/>
          <w:szCs w:val="22"/>
        </w:rPr>
        <w:t xml:space="preserve">на информационно-консультационное обслуживание программного продукта «Конфигурация для учреждений ФСИН для 1</w:t>
      </w:r>
      <w:r>
        <w:rPr>
          <w:rFonts w:ascii="Times New Roman" w:hAnsi="Times New Roman" w:cs="Times New Roman"/>
          <w:b/>
          <w:sz w:val="22"/>
          <w:szCs w:val="22"/>
        </w:rPr>
        <w:t xml:space="preserve">С:Предприятие</w:t>
      </w:r>
      <w:r>
        <w:rPr>
          <w:rFonts w:ascii="Times New Roman" w:hAnsi="Times New Roman" w:cs="Times New Roman"/>
          <w:b/>
          <w:sz w:val="22"/>
          <w:szCs w:val="22"/>
        </w:rPr>
        <w:t xml:space="preserve"> 8».</w:t>
      </w:r>
      <w:r>
        <w:rPr>
          <w:rFonts w:ascii="Times New Roman" w:hAnsi="Times New Roman" w:cs="Times New Roman"/>
          <w:b/>
          <w:sz w:val="22"/>
          <w:szCs w:val="22"/>
        </w:rPr>
      </w:r>
      <w:r>
        <w:rPr>
          <w:rFonts w:ascii="Times New Roman" w:hAnsi="Times New Roman" w:cs="Times New Roman"/>
          <w:b/>
          <w:sz w:val="22"/>
          <w:szCs w:val="22"/>
        </w:rPr>
      </w:r>
    </w:p>
    <w:p>
      <w:pPr>
        <w:pStyle w:val="972"/>
        <w:pBdr/>
        <w:spacing/>
        <w:ind/>
        <w:jc w:val="center"/>
        <w:rPr>
          <w:rFonts w:ascii="Times New Roman" w:hAnsi="Times New Roman" w:cs="Times New Roman"/>
          <w:b/>
          <w:sz w:val="22"/>
          <w:szCs w:val="22"/>
        </w:rPr>
      </w:pPr>
      <w:r>
        <w:rPr>
          <w:rFonts w:ascii="Times New Roman" w:hAnsi="Times New Roman" w:cs="Times New Roman"/>
          <w:b/>
          <w:sz w:val="22"/>
          <w:szCs w:val="22"/>
        </w:rPr>
      </w:r>
      <w:r>
        <w:rPr>
          <w:rFonts w:ascii="Times New Roman" w:hAnsi="Times New Roman" w:cs="Times New Roman"/>
          <w:b/>
          <w:sz w:val="22"/>
          <w:szCs w:val="22"/>
        </w:rPr>
      </w:r>
      <w:r>
        <w:rPr>
          <w:rFonts w:ascii="Times New Roman" w:hAnsi="Times New Roman" w:cs="Times New Roman"/>
          <w:b/>
          <w:sz w:val="22"/>
          <w:szCs w:val="22"/>
        </w:rPr>
      </w:r>
    </w:p>
    <w:p>
      <w:pPr>
        <w:pBdr/>
        <w:spacing/>
        <w:ind/>
        <w:jc w:val="both"/>
        <w:rPr>
          <w:rFonts w:ascii="Times New Roman" w:hAnsi="Times New Roman" w:eastAsia="Courier New"/>
          <w:sz w:val="22"/>
          <w:szCs w:val="22"/>
        </w:rPr>
      </w:pPr>
      <w:r>
        <w:rPr>
          <w:rFonts w:ascii="Times New Roman" w:hAnsi="Times New Roman" w:eastAsia="Courier New"/>
          <w:sz w:val="22"/>
          <w:szCs w:val="22"/>
        </w:rPr>
      </w:r>
      <w:r>
        <w:rPr>
          <w:rFonts w:ascii="Times New Roman" w:hAnsi="Times New Roman" w:eastAsia="Courier New"/>
          <w:sz w:val="22"/>
          <w:szCs w:val="22"/>
        </w:rPr>
      </w:r>
      <w:r>
        <w:rPr>
          <w:rFonts w:ascii="Times New Roman" w:hAnsi="Times New Roman" w:eastAsia="Courier New"/>
          <w:sz w:val="22"/>
          <w:szCs w:val="22"/>
        </w:rPr>
      </w:r>
    </w:p>
    <w:p>
      <w:pPr>
        <w:pStyle w:val="974"/>
        <w:numPr>
          <w:ilvl w:val="0"/>
          <w:numId w:val="35"/>
        </w:numPr>
        <w:pBdr/>
        <w:spacing w:line="216" w:lineRule="auto"/>
        <w:ind/>
        <w:jc w:val="center"/>
        <w:rPr>
          <w:rFonts w:ascii="Times New Roman" w:hAnsi="Times New Roman"/>
          <w:b/>
          <w:sz w:val="22"/>
          <w:szCs w:val="22"/>
        </w:rPr>
      </w:pPr>
      <w:r>
        <w:rPr>
          <w:rFonts w:ascii="Times New Roman" w:hAnsi="Times New Roman"/>
          <w:b/>
          <w:sz w:val="22"/>
          <w:szCs w:val="22"/>
        </w:rPr>
        <w:t xml:space="preserve">Качество и характеристика услуг:</w:t>
      </w:r>
      <w:r>
        <w:rPr>
          <w:rFonts w:ascii="Times New Roman" w:hAnsi="Times New Roman"/>
          <w:b/>
          <w:sz w:val="22"/>
          <w:szCs w:val="22"/>
        </w:rPr>
      </w:r>
      <w:r>
        <w:rPr>
          <w:rFonts w:ascii="Times New Roman" w:hAnsi="Times New Roman"/>
          <w:b/>
          <w:sz w:val="22"/>
          <w:szCs w:val="22"/>
        </w:rPr>
      </w:r>
    </w:p>
    <w:p>
      <w:pPr>
        <w:pStyle w:val="973"/>
        <w:pBdr/>
        <w:spacing/>
        <w:ind/>
        <w:jc w:val="both"/>
        <w:rPr>
          <w:sz w:val="22"/>
          <w:szCs w:val="22"/>
        </w:rPr>
      </w:pPr>
      <w:r>
        <w:rPr>
          <w:sz w:val="22"/>
          <w:szCs w:val="22"/>
        </w:rPr>
      </w:r>
      <w:r>
        <w:rPr>
          <w:sz w:val="22"/>
          <w:szCs w:val="22"/>
        </w:rPr>
      </w:r>
      <w:r>
        <w:rPr>
          <w:sz w:val="22"/>
          <w:szCs w:val="22"/>
        </w:rPr>
      </w:r>
    </w:p>
    <w:p>
      <w:pPr>
        <w:pBdr/>
        <w:spacing/>
        <w:ind/>
        <w:jc w:val="center"/>
        <w:rPr>
          <w:rFonts w:ascii="Times New Roman" w:hAnsi="Times New Roman" w:eastAsia="Calibri"/>
          <w:color w:val="0d0d0d"/>
          <w:sz w:val="22"/>
          <w:szCs w:val="22"/>
        </w:rPr>
      </w:pPr>
      <w:r>
        <w:rPr>
          <w:rFonts w:ascii="Times New Roman" w:hAnsi="Times New Roman" w:eastAsia="Calibri"/>
          <w:color w:val="0d0d0d"/>
          <w:sz w:val="22"/>
          <w:szCs w:val="22"/>
        </w:rPr>
        <w:t xml:space="preserve">Информационно-консультационное обслуживание программного продукта «Конфигурация для учреждений ФСИН для 1</w:t>
      </w:r>
      <w:r>
        <w:rPr>
          <w:rFonts w:ascii="Times New Roman" w:hAnsi="Times New Roman" w:eastAsia="Calibri"/>
          <w:color w:val="0d0d0d"/>
          <w:sz w:val="22"/>
          <w:szCs w:val="22"/>
        </w:rPr>
        <w:t xml:space="preserve">С:Предприятие</w:t>
      </w:r>
      <w:r>
        <w:rPr>
          <w:rFonts w:ascii="Times New Roman" w:hAnsi="Times New Roman" w:eastAsia="Calibri"/>
          <w:color w:val="0d0d0d"/>
          <w:sz w:val="22"/>
          <w:szCs w:val="22"/>
        </w:rPr>
        <w:t xml:space="preserve"> 8», ранее установленного на компьютере Заказчика, должно включать в  себя:</w:t>
      </w:r>
      <w:r>
        <w:rPr>
          <w:rFonts w:ascii="Times New Roman" w:hAnsi="Times New Roman" w:eastAsia="Calibri"/>
          <w:color w:val="0d0d0d"/>
          <w:sz w:val="22"/>
          <w:szCs w:val="22"/>
        </w:rPr>
      </w:r>
      <w:r>
        <w:rPr>
          <w:rFonts w:ascii="Times New Roman" w:hAnsi="Times New Roman" w:eastAsia="Calibri"/>
          <w:color w:val="0d0d0d"/>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Обеспечение автоматизации бухгалтерского учета государственных бюджетных учреждений, финансируемых из федерального, регионального</w:t>
      </w:r>
      <w:r>
        <w:rPr>
          <w:rFonts w:ascii="Times New Roman" w:hAnsi="Times New Roman"/>
          <w:sz w:val="22"/>
          <w:szCs w:val="22"/>
        </w:rPr>
        <w:t xml:space="preserve"> (субъектов Российской Федерации) или местного бюджетов, а также из бюджета государственного внебюджетного фонда на основании бюджетной сметы и ведущих учет по Плану счетов бюджетного учета в соответствии с нормативными документами по бухгалтерскому учету.</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быть предна</w:t>
      </w:r>
      <w:r>
        <w:rPr>
          <w:rFonts w:ascii="Times New Roman" w:hAnsi="Times New Roman"/>
          <w:sz w:val="22"/>
          <w:szCs w:val="22"/>
        </w:rPr>
        <w:t xml:space="preserve">значен для получателей, главных распорядителей, распорядителей средств федерального бюджета, главных администраторов, администраторов доходов, администрируемых ФНС России, главных администраторов, администраторов источников финансирования дефицита бюджета;</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 ведение учета как одного учреждения, так и группы учреж</w:t>
      </w:r>
      <w:r>
        <w:rPr>
          <w:rFonts w:ascii="Times New Roman" w:hAnsi="Times New Roman"/>
          <w:sz w:val="22"/>
          <w:szCs w:val="22"/>
        </w:rPr>
        <w:t xml:space="preserve">дений (структурных подразделений учреждения) в единой информационной базе (централизованная бухгалтерия). При этом используются общие государственные классификаторы, ведутся общие списки контрагентов, номенклатуры материальных запасов, статей затрат и т.д.</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Главная книга и баланс должны формироваться консолидировано для группы учреждений либо раздельно по учреждениям и структурным подразделениям;</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поддерживаться в рамках одного бюджетного учреждения ведение обособленного учета по видам средств (балансам) с получением обособленной отчетности;</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быть разработан в соответствии с требованиями и положениями действующих норм</w:t>
      </w:r>
      <w:r>
        <w:rPr>
          <w:rFonts w:ascii="Times New Roman" w:hAnsi="Times New Roman"/>
          <w:sz w:val="22"/>
          <w:szCs w:val="22"/>
        </w:rPr>
        <w:t xml:space="preserve">ативных документов Министерства финансов Российской Федерации, Федерального казначейства по ведению бюджетного учета, исполнению бюджета и реализует методологию учета для бюджетных учреждений в соответствии с текущим законодательством Российской Федерации;</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sz w:val="22"/>
          <w:szCs w:val="22"/>
        </w:rPr>
        <w:t xml:space="preserve">Должен обеспечить ведение учета по плану счетов бюджетного учета: по действующей бюджетной классификации Российской Федерации, в разрезе видов деятельности - бюджетная деятельность, приносящая </w:t>
      </w:r>
      <w:r>
        <w:rPr>
          <w:rFonts w:ascii="Times New Roman" w:hAnsi="Times New Roman"/>
          <w:sz w:val="22"/>
          <w:szCs w:val="22"/>
        </w:rPr>
        <w:t xml:space="preserve">доход деятельность, деятельность со средствами, находящимися во временном распоряжении, в разрезе операций сектора государственного управления, в разрезе учреждений (структурных подразделений, выделенных на самостоятельный баланс), в разрезе видов средств.</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b/>
          <w:sz w:val="22"/>
          <w:szCs w:val="22"/>
        </w:rPr>
      </w:pPr>
      <w:r>
        <w:rPr>
          <w:rFonts w:ascii="Times New Roman" w:hAnsi="Times New Roman" w:eastAsia="Times New Roman"/>
          <w:sz w:val="22"/>
          <w:szCs w:val="22"/>
        </w:rPr>
        <w:t xml:space="preserve">Ведение учета казенных, бюджетных и автономных учреждений.</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431" w:left="788"/>
        <w:jc w:val="both"/>
        <w:rPr>
          <w:rFonts w:ascii="Times New Roman" w:hAnsi="Times New Roman"/>
          <w:b/>
          <w:sz w:val="22"/>
          <w:szCs w:val="22"/>
        </w:rPr>
      </w:pPr>
      <w:r>
        <w:rPr>
          <w:rFonts w:ascii="Times New Roman" w:hAnsi="Times New Roman" w:eastAsia="Times New Roman"/>
          <w:sz w:val="22"/>
          <w:szCs w:val="22"/>
        </w:rPr>
        <w:t xml:space="preserve">Ведение учета деятельности группы учреждений в единой информационной базе (Централизованный учет).</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Ведение обособленного учета по источникам финансового обеспечения.</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eastAsia="Times New Roman"/>
          <w:sz w:val="22"/>
          <w:szCs w:val="22"/>
        </w:rPr>
        <w:t xml:space="preserve">Обособленный учет операций по переданным полномочиям.</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Ввод и хранение информации в объеме, необходимом для оформления первичных учетных документов и формирования регистров бухгалтерского учета;</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Ведение бухгалтерского документооборота с регистрацией операции на счетах Рабочего плана счетов бухгалтерского учета; </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Регистрация входящих первичных учетных документов; </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Оформление исходящих первичных учетных документов (формирование в бумажном и/или электронном виде);</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Хранение сформированных первичных документов в электронном виде в информационной базе;</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по учетным данным с получением твердых копий на бумажном носителе на типовых бланках; </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регистров учета, стандартных и специализированных отчетов с различной группировкой и иерархией представления данных;</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Формирование регламентированной бухгалтерской, налоговой и статистической отчетности.</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Должен поддерживать единый методически выверенный взаимосвязанный технологический процесс ведения учета, который предусматривает получение всех необходимых первичных документов и регистров учета. </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проверка информационной базы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w:t>
      </w:r>
      <w:r>
        <w:rPr>
          <w:rFonts w:ascii="Times New Roman" w:hAnsi="Times New Roman"/>
          <w:sz w:val="22"/>
          <w:szCs w:val="22"/>
        </w:rPr>
        <w:t xml:space="preserve">ФСИН  на</w:t>
      </w:r>
      <w:r>
        <w:rPr>
          <w:rFonts w:ascii="Times New Roman" w:hAnsi="Times New Roman"/>
          <w:sz w:val="22"/>
          <w:szCs w:val="22"/>
        </w:rPr>
        <w:t xml:space="preserve"> наличие ошибок и рекомендации по их исправлению;</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sz w:val="22"/>
          <w:szCs w:val="22"/>
        </w:rPr>
        <w:t xml:space="preserve">настройка программного продукта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 без потери доработок;</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консультирование  по</w:t>
      </w:r>
      <w:r>
        <w:rPr>
          <w:rFonts w:ascii="Times New Roman" w:hAnsi="Times New Roman" w:eastAsia="Calibri"/>
          <w:color w:val="0d0d0d"/>
          <w:sz w:val="22"/>
          <w:szCs w:val="22"/>
        </w:rPr>
        <w:t xml:space="preserve"> вопросам ведения учета в  программном продукте для ведения бухгалтерского учета с дополнительным функционалом расчета заработной платы всех категорий сотрудников, а также со специализированными доработками для учреждений ФСИН;</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предоставление методических материалов в электронном виде по участкам программного продукта;</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предоставление обучающих видео-роликов по </w:t>
      </w:r>
      <w:r>
        <w:rPr>
          <w:rFonts w:ascii="Times New Roman" w:hAnsi="Times New Roman" w:eastAsia="Calibri"/>
          <w:color w:val="0d0d0d"/>
          <w:sz w:val="22"/>
          <w:szCs w:val="22"/>
        </w:rPr>
        <w:t xml:space="preserve">участкам  программного</w:t>
      </w:r>
      <w:r>
        <w:rPr>
          <w:rFonts w:ascii="Times New Roman" w:hAnsi="Times New Roman" w:eastAsia="Calibri"/>
          <w:color w:val="0d0d0d"/>
          <w:sz w:val="22"/>
          <w:szCs w:val="22"/>
        </w:rPr>
        <w:t xml:space="preserve"> продукта;</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hanging="636" w:left="993"/>
        <w:jc w:val="both"/>
        <w:rPr>
          <w:rFonts w:ascii="Times New Roman" w:hAnsi="Times New Roman"/>
          <w:b/>
          <w:sz w:val="22"/>
          <w:szCs w:val="22"/>
        </w:rPr>
      </w:pPr>
      <w:r>
        <w:rPr>
          <w:rFonts w:ascii="Times New Roman" w:hAnsi="Times New Roman" w:eastAsia="Calibri"/>
          <w:color w:val="0d0d0d"/>
          <w:sz w:val="22"/>
          <w:szCs w:val="22"/>
        </w:rPr>
        <w:t xml:space="preserve">предоставление информации при выходе нового релиза о том, что нового появилось в программном продукте, что </w:t>
      </w:r>
      <w:r>
        <w:rPr>
          <w:rFonts w:ascii="Times New Roman" w:hAnsi="Times New Roman" w:eastAsia="Calibri"/>
          <w:color w:val="0d0d0d"/>
          <w:sz w:val="22"/>
          <w:szCs w:val="22"/>
        </w:rPr>
        <w:t xml:space="preserve">изменилось  в</w:t>
      </w:r>
      <w:r>
        <w:rPr>
          <w:rFonts w:ascii="Times New Roman" w:hAnsi="Times New Roman" w:eastAsia="Calibri"/>
          <w:color w:val="0d0d0d"/>
          <w:sz w:val="22"/>
          <w:szCs w:val="22"/>
        </w:rPr>
        <w:t xml:space="preserve"> виде электронного письма , а также отражением данной информации в самом программном продукте.</w:t>
      </w:r>
      <w:r>
        <w:rPr>
          <w:rFonts w:ascii="Times New Roman" w:hAnsi="Times New Roman"/>
          <w:b/>
          <w:sz w:val="22"/>
          <w:szCs w:val="22"/>
        </w:rPr>
      </w:r>
      <w:r>
        <w:rPr>
          <w:rFonts w:ascii="Times New Roman" w:hAnsi="Times New Roman"/>
          <w:b/>
          <w:sz w:val="22"/>
          <w:szCs w:val="22"/>
        </w:rPr>
      </w:r>
    </w:p>
    <w:p>
      <w:pPr>
        <w:pBdr/>
        <w:spacing/>
        <w:ind/>
        <w:jc w:val="both"/>
        <w:rPr>
          <w:rFonts w:ascii="Times New Roman" w:hAnsi="Times New Roman" w:eastAsia="Calibri"/>
          <w:color w:val="0d0d0d"/>
          <w:sz w:val="22"/>
          <w:szCs w:val="22"/>
        </w:rPr>
      </w:pPr>
      <w:r>
        <w:rPr>
          <w:rFonts w:ascii="Times New Roman" w:hAnsi="Times New Roman" w:eastAsia="Calibri"/>
          <w:color w:val="0d0d0d"/>
          <w:sz w:val="22"/>
          <w:szCs w:val="22"/>
        </w:rPr>
      </w:r>
      <w:r>
        <w:rPr>
          <w:rFonts w:ascii="Times New Roman" w:hAnsi="Times New Roman" w:eastAsia="Calibri"/>
          <w:color w:val="0d0d0d"/>
          <w:sz w:val="22"/>
          <w:szCs w:val="22"/>
        </w:rPr>
      </w:r>
      <w:r>
        <w:rPr>
          <w:rFonts w:ascii="Times New Roman" w:hAnsi="Times New Roman" w:eastAsia="Calibri"/>
          <w:color w:val="0d0d0d"/>
          <w:sz w:val="22"/>
          <w:szCs w:val="22"/>
        </w:rPr>
      </w:r>
    </w:p>
    <w:p>
      <w:pPr>
        <w:pBdr/>
        <w:tabs>
          <w:tab w:val="left" w:leader="none" w:pos="993"/>
        </w:tabs>
        <w:spacing/>
        <w:ind w:firstLine="567"/>
        <w:jc w:val="both"/>
        <w:rPr>
          <w:rFonts w:ascii="Times New Roman" w:hAnsi="Times New Roman" w:eastAsia="Calibri"/>
          <w:color w:val="000000"/>
          <w:sz w:val="22"/>
          <w:szCs w:val="22"/>
        </w:rPr>
      </w:pPr>
      <w:r>
        <w:rPr>
          <w:rFonts w:ascii="Times New Roman" w:hAnsi="Times New Roman" w:eastAsia="Calibri"/>
          <w:b/>
          <w:bCs/>
          <w:color w:val="000000"/>
          <w:sz w:val="22"/>
          <w:szCs w:val="22"/>
        </w:rPr>
        <w:t xml:space="preserve">Учет рабочего времени и выполненных работ</w:t>
      </w:r>
      <w:r>
        <w:rPr>
          <w:rFonts w:ascii="Times New Roman" w:hAnsi="Times New Roman" w:eastAsia="Calibri"/>
          <w:color w:val="000000"/>
          <w:sz w:val="22"/>
          <w:szCs w:val="22"/>
        </w:rPr>
        <w:t xml:space="preserve"> должен вестись путем составления Листа учета рабочего времени (далее – ЛУРВ) – включенный в Программный продукт отчет, доступный для редактирования с</w:t>
      </w:r>
      <w:r>
        <w:rPr>
          <w:rFonts w:ascii="Times New Roman" w:hAnsi="Times New Roman" w:eastAsia="Calibri"/>
          <w:color w:val="000000"/>
          <w:sz w:val="22"/>
          <w:szCs w:val="22"/>
        </w:rPr>
        <w:t xml:space="preserve">пециалистам Исполнителя, доступный для просмотра специалистам Государственного заказчика, в котором указывается дата оказания услуг, Ф.И.О. специалиста Исполнителя, оказывающего услуги по удаленному обслуживанию Государственному заказчику, стоимость услуг </w:t>
      </w:r>
      <w:r>
        <w:rPr>
          <w:rFonts w:ascii="Times New Roman" w:hAnsi="Times New Roman" w:eastAsia="Calibri"/>
          <w:b/>
          <w:color w:val="000000"/>
          <w:sz w:val="22"/>
          <w:szCs w:val="22"/>
        </w:rPr>
        <w:t xml:space="preserve">(поминутная тарификация)</w:t>
      </w:r>
      <w:r>
        <w:rPr>
          <w:rFonts w:ascii="Times New Roman" w:hAnsi="Times New Roman" w:eastAsia="Calibri"/>
          <w:color w:val="000000"/>
          <w:sz w:val="22"/>
          <w:szCs w:val="22"/>
        </w:rPr>
        <w:t xml:space="preserve">, оказанных данным специалистом Исполнителя за указанное в ЛУР</w:t>
      </w:r>
      <w:r>
        <w:rPr>
          <w:rFonts w:ascii="Times New Roman" w:hAnsi="Times New Roman" w:eastAsia="Calibri"/>
          <w:color w:val="000000"/>
          <w:sz w:val="22"/>
          <w:szCs w:val="22"/>
        </w:rPr>
        <w:t xml:space="preserve">В время. В ЛУРВ также указываются задания, поставленные специалистом Исполнителя специалистам Государственного заказчика, и сроки исполнения заданий специалистами Государственного заказчика.  Сотрудник Исполнителя заполняет ЛУРВ после каждого этапа работ. </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Bdr/>
        <w:spacing/>
        <w:ind w:firstLine="567"/>
        <w:jc w:val="both"/>
        <w:rPr>
          <w:rFonts w:ascii="Times New Roman" w:hAnsi="Times New Roman" w:eastAsia="Calibri"/>
          <w:color w:val="0d0d0d"/>
          <w:sz w:val="22"/>
          <w:szCs w:val="22"/>
        </w:rPr>
      </w:pPr>
      <w:r>
        <w:rPr>
          <w:rFonts w:ascii="Times New Roman" w:hAnsi="Times New Roman"/>
          <w:sz w:val="22"/>
          <w:szCs w:val="22"/>
        </w:rPr>
        <w:t xml:space="preserve">Информационно-консультационное обслуживание программного продукта «Конфигурация для учреждений ФСИН для 1</w:t>
      </w:r>
      <w:r>
        <w:rPr>
          <w:rFonts w:ascii="Times New Roman" w:hAnsi="Times New Roman"/>
          <w:sz w:val="22"/>
          <w:szCs w:val="22"/>
        </w:rPr>
        <w:t xml:space="preserve">С:Предприятие</w:t>
      </w:r>
      <w:r>
        <w:rPr>
          <w:rFonts w:ascii="Times New Roman" w:hAnsi="Times New Roman"/>
          <w:sz w:val="22"/>
          <w:szCs w:val="22"/>
        </w:rPr>
        <w:t xml:space="preserve"> 8» должно проводиться по следующим участкам, входящих в состав программного продукта, ранее установленного на компьютере Заказчика:</w:t>
      </w:r>
      <w:r>
        <w:rPr>
          <w:rFonts w:ascii="Times New Roman" w:hAnsi="Times New Roman" w:eastAsia="Calibri"/>
          <w:color w:val="0d0d0d"/>
          <w:sz w:val="22"/>
          <w:szCs w:val="22"/>
        </w:rPr>
      </w:r>
      <w:r>
        <w:rPr>
          <w:rFonts w:ascii="Times New Roman" w:hAnsi="Times New Roman" w:eastAsia="Calibri"/>
          <w:color w:val="0d0d0d"/>
          <w:sz w:val="22"/>
          <w:szCs w:val="22"/>
        </w:rPr>
      </w:r>
    </w:p>
    <w:p>
      <w:pPr>
        <w:pBdr/>
        <w:spacing/>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bl>
      <w:tblPr>
        <w:tblInd w:w="113" w:type="dxa"/>
        <w:tblW w:w="9345" w:type="dxa"/>
        <w:tblBorders/>
        <w:tblLayout w:type="fixed"/>
        <w:tblLook w:val="04A0" w:firstRow="1" w:lastRow="0" w:firstColumn="1" w:lastColumn="0" w:noHBand="0" w:noVBand="1"/>
        <w:tblStyle w:val="976"/>
      </w:tblPr>
      <w:tblGrid>
        <w:gridCol w:w="560"/>
        <w:gridCol w:w="2410"/>
        <w:gridCol w:w="6375"/>
      </w:tblGrid>
      <w:tr>
        <w:trPr/>
        <w:tc>
          <w:tcPr>
            <w:shd w:val="clear" w:color="auto" w:fill="f2f2f2" w:themeFill="background1" w:themeFillShade="F2"/>
            <w:tcBorders/>
            <w:tcW w:w="56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2410"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Участок бухгалтерского учета</w:t>
            </w:r>
            <w:r>
              <w:rPr>
                <w:rFonts w:ascii="Times New Roman" w:hAnsi="Times New Roman"/>
                <w:b/>
                <w:sz w:val="22"/>
                <w:szCs w:val="22"/>
              </w:rPr>
            </w:r>
            <w:r>
              <w:rPr>
                <w:rFonts w:ascii="Times New Roman" w:hAnsi="Times New Roman"/>
                <w:b/>
                <w:sz w:val="22"/>
                <w:szCs w:val="22"/>
              </w:rPr>
            </w:r>
          </w:p>
        </w:tc>
        <w:tc>
          <w:tcPr>
            <w:shd w:val="clear" w:color="auto" w:fill="f2f2f2" w:themeFill="background1" w:themeFillShade="F2"/>
            <w:tcBorders/>
            <w:tcW w:w="6375" w:type="dxa"/>
            <w:vAlign w:val="center"/>
            <w:textDirection w:val="lrTb"/>
            <w:noWrap w:val="false"/>
          </w:tcPr>
          <w:p>
            <w:pPr>
              <w:pBdr/>
              <w:spacing/>
              <w:ind/>
              <w:jc w:val="center"/>
              <w:rPr>
                <w:rFonts w:ascii="Times New Roman" w:hAnsi="Times New Roman"/>
                <w:b/>
                <w:sz w:val="22"/>
                <w:szCs w:val="22"/>
              </w:rPr>
            </w:pPr>
            <w:r>
              <w:rPr>
                <w:rFonts w:ascii="Times New Roman" w:hAnsi="Times New Roman"/>
                <w:b/>
                <w:sz w:val="22"/>
                <w:szCs w:val="22"/>
              </w:rPr>
              <w:t xml:space="preserve">Описание автоматизированных функций участка</w:t>
            </w:r>
            <w:r>
              <w:rPr>
                <w:rFonts w:ascii="Times New Roman" w:hAnsi="Times New Roman"/>
                <w:b/>
                <w:sz w:val="22"/>
                <w:szCs w:val="22"/>
              </w:rPr>
            </w:r>
            <w:r>
              <w:rPr>
                <w:rFonts w:ascii="Times New Roman" w:hAnsi="Times New Roman"/>
                <w:b/>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лиц, отбывающих наказание в ИУ (осужденных) и содержащихся в СИЗО (в том числе количественный) и их личных денег.</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w:t>
            </w:r>
            <w:r>
              <w:rPr>
                <w:rFonts w:ascii="Times New Roman" w:hAnsi="Times New Roman" w:eastAsia="Times New Roman"/>
                <w:color w:val="000000"/>
                <w:sz w:val="22"/>
                <w:szCs w:val="22"/>
                <w:shd w:val="clear" w:color="auto" w:fill="ffffff"/>
              </w:rPr>
              <w:t xml:space="preserve">перации </w:t>
            </w:r>
            <w:r>
              <w:rPr>
                <w:rFonts w:ascii="Times New Roman" w:hAnsi="Times New Roman"/>
                <w:sz w:val="22"/>
                <w:szCs w:val="22"/>
              </w:rPr>
              <w:t xml:space="preserve">регистрации поступления, перемещения и выбытия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«Попутных ведомостей», «Финансовых справок»,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4"/>
              <w:numPr>
                <w:ilvl w:val="0"/>
                <w:numId w:val="1"/>
              </w:numPr>
              <w:pBdr/>
              <w:spacing/>
              <w:ind/>
              <w:rPr>
                <w:rFonts w:ascii="Times New Roman" w:hAnsi="Times New Roman"/>
                <w:sz w:val="22"/>
                <w:szCs w:val="22"/>
              </w:rPr>
            </w:pPr>
            <w:r>
              <w:rPr>
                <w:rFonts w:ascii="Times New Roman" w:hAnsi="Times New Roman"/>
                <w:sz w:val="22"/>
                <w:szCs w:val="22"/>
              </w:rPr>
              <w:t xml:space="preserve">операции регистрации исполнительных листов, их погашения и отзыва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w:t>
            </w:r>
            <w:r>
              <w:rPr>
                <w:rFonts w:ascii="Times New Roman" w:hAnsi="Times New Roman" w:eastAsia="Times New Roman"/>
                <w:color w:val="000000"/>
                <w:sz w:val="22"/>
                <w:szCs w:val="22"/>
                <w:shd w:val="clear" w:color="auto" w:fill="ffffff"/>
              </w:rPr>
              <w:t xml:space="preserve">еют печатные формы «Бланков почтовых переводов», «Реестр почтовых переводов», «Списки на выплаты через кассу, на перевод по почте и на перечисление в банк»,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4"/>
              <w:numPr>
                <w:ilvl w:val="0"/>
                <w:numId w:val="1"/>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личных денег, а именно их поступление, удержания и ограничения лимитов </w:t>
            </w:r>
            <w:r>
              <w:rPr>
                <w:rFonts w:ascii="Times New Roman" w:hAnsi="Times New Roman" w:eastAsia="Times New Roman"/>
                <w:color w:val="000000"/>
                <w:sz w:val="22"/>
                <w:szCs w:val="22"/>
                <w:shd w:val="clear" w:color="auto" w:fill="ffffff"/>
              </w:rPr>
              <w:t xml:space="preserve">расходования, которые можно оформить документами,</w:t>
            </w:r>
            <w:r>
              <w:rPr>
                <w:rFonts w:ascii="Times New Roman" w:hAnsi="Times New Roman"/>
                <w:sz w:val="22"/>
                <w:szCs w:val="22"/>
              </w:rPr>
            </w:r>
            <w:r>
              <w:rPr>
                <w:rFonts w:ascii="Times New Roman" w:hAnsi="Times New Roman"/>
                <w:sz w:val="22"/>
                <w:szCs w:val="22"/>
              </w:rPr>
            </w:r>
          </w:p>
          <w:p>
            <w:pPr>
              <w:pStyle w:val="974"/>
              <w:numPr>
                <w:ilvl w:val="0"/>
                <w:numId w:val="1"/>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w:t>
            </w:r>
            <w:r>
              <w:rPr>
                <w:rFonts w:ascii="Times New Roman" w:hAnsi="Times New Roman"/>
                <w:sz w:val="22"/>
                <w:szCs w:val="22"/>
              </w:rPr>
              <w:t xml:space="preserve">по личным деньгам, исполнительным листам и численности осужденных</w:t>
            </w:r>
            <w:r>
              <w:rPr>
                <w:rFonts w:ascii="Times New Roman" w:hAnsi="Times New Roman"/>
                <w:color w:val="000000"/>
                <w:sz w:val="22"/>
                <w:szCs w:val="22"/>
                <w:shd w:val="clear" w:color="auto" w:fill="ffffff"/>
              </w:rPr>
              <w:t xml:space="preserve"> (в том числе среднесписочной численности).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72"/>
              <w:pBdr/>
              <w:spacing/>
              <w:ind/>
              <w:rPr>
                <w:rFonts w:ascii="Times New Roman" w:hAnsi="Times New Roman" w:cs="Times New Roman"/>
                <w:color w:val="000000"/>
                <w:sz w:val="22"/>
                <w:szCs w:val="22"/>
                <w:shd w:val="clear" w:color="auto" w:fill="ffffff"/>
              </w:rPr>
            </w:pPr>
            <w:r>
              <w:rPr>
                <w:rFonts w:ascii="Times New Roman" w:hAnsi="Times New Roman" w:eastAsia="Calibri" w:cs="Times New Roman"/>
                <w:color w:val="000000"/>
                <w:sz w:val="22"/>
                <w:szCs w:val="22"/>
                <w:shd w:val="clear" w:color="auto" w:fill="ffffff"/>
                <w:lang w:eastAsia="en-US"/>
              </w:rPr>
              <w:t xml:space="preserve">Учет молодняка и животных на выращивании и откорме.</w:t>
            </w:r>
            <w:r>
              <w:rPr>
                <w:rFonts w:ascii="Times New Roman" w:hAnsi="Times New Roman" w:cs="Times New Roman"/>
                <w:color w:val="000000"/>
                <w:sz w:val="22"/>
                <w:szCs w:val="22"/>
                <w:shd w:val="clear" w:color="auto" w:fill="ffffff"/>
              </w:rPr>
            </w:r>
            <w:r>
              <w:rPr>
                <w:rFonts w:ascii="Times New Roman" w:hAnsi="Times New Roman" w:cs="Times New Roman"/>
                <w:color w:val="000000"/>
                <w:sz w:val="22"/>
                <w:szCs w:val="22"/>
                <w:shd w:val="clear" w:color="auto" w:fill="ffffff"/>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2"/>
              </w:numPr>
              <w:pBdr/>
              <w:spacing/>
              <w:ind/>
              <w:rPr>
                <w:rFonts w:ascii="Times New Roman" w:hAnsi="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молодняка и животных – </w:t>
            </w:r>
            <w:r>
              <w:rPr>
                <w:rFonts w:ascii="Times New Roman" w:hAnsi="Times New Roman"/>
                <w:sz w:val="22"/>
                <w:szCs w:val="22"/>
              </w:rPr>
              <w:t xml:space="preserve">привес, приплод, забой, падеж, перевод животных в другую возрастную группу, перевод животных в или из основного стада, поступление излишков в результате инвентаризации</w:t>
            </w:r>
            <w:r>
              <w:rPr>
                <w:rFonts w:ascii="Times New Roman" w:hAnsi="Times New Roman" w:eastAsia="Times New Roman"/>
                <w:color w:val="000000"/>
                <w:sz w:val="22"/>
                <w:szCs w:val="22"/>
                <w:shd w:val="clear" w:color="auto" w:fill="ffffff"/>
              </w:rPr>
              <w:t xml:space="preserve"> (операции должны оформляться документами, которые имеют печатные формы «СП-39», «СП-47», «СП-54», «Акт на выбраковку животных из основного стада»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справочник возрастных групп,</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2"/>
              </w:num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 по </w:t>
            </w:r>
            <w:r>
              <w:rPr>
                <w:rFonts w:ascii="Times New Roman" w:hAnsi="Times New Roman"/>
                <w:sz w:val="22"/>
                <w:szCs w:val="22"/>
              </w:rPr>
              <w:t xml:space="preserve">форме СП-51</w:t>
            </w:r>
            <w:r>
              <w:rPr>
                <w:rFonts w:ascii="Times New Roman" w:hAnsi="Times New Roman"/>
                <w:color w:val="000000"/>
                <w:sz w:val="22"/>
                <w:szCs w:val="22"/>
                <w:shd w:val="clear" w:color="auto" w:fill="ffffff"/>
              </w:rPr>
              <w:t xml:space="preserve">.</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Учет </w:t>
            </w:r>
            <w:r>
              <w:rPr>
                <w:rFonts w:ascii="Times New Roman" w:hAnsi="Times New Roman"/>
                <w:sz w:val="22"/>
                <w:szCs w:val="22"/>
              </w:rPr>
              <w:t xml:space="preserve">давальческого сырья у переработчика</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давальческого сырья, а именно </w:t>
            </w:r>
            <w:r>
              <w:rPr>
                <w:rFonts w:ascii="Times New Roman" w:hAnsi="Times New Roman"/>
                <w:sz w:val="22"/>
                <w:szCs w:val="22"/>
              </w:rPr>
              <w:t xml:space="preserve">по поступлению, возврату, внутреннему перемещению, отпуску сырья в переработку и выдачи продукции заказчику (</w:t>
            </w:r>
            <w:r>
              <w:rPr>
                <w:rFonts w:ascii="Times New Roman" w:hAnsi="Times New Roman" w:eastAsia="Times New Roman"/>
                <w:color w:val="000000"/>
                <w:sz w:val="22"/>
                <w:szCs w:val="22"/>
                <w:shd w:val="clear" w:color="auto" w:fill="ffffff"/>
              </w:rPr>
              <w:t xml:space="preserve">операц</w:t>
            </w:r>
            <w:r>
              <w:rPr>
                <w:rFonts w:ascii="Times New Roman" w:hAnsi="Times New Roman" w:eastAsia="Times New Roman"/>
                <w:color w:val="000000"/>
                <w:sz w:val="22"/>
                <w:szCs w:val="22"/>
                <w:shd w:val="clear" w:color="auto" w:fill="ffffff"/>
              </w:rPr>
              <w:t xml:space="preserve">ии должны оформляться документами, которые имеют печатные формы «Акт списания сырья», «Акт приема-передачи», «Акт об оказании услуг», «Акт выполненных работ»,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3"/>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«Отчет переработчика», «Сверка с поставщиком»</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ценностей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eastAsia="Calibri"/>
                <w:sz w:val="22"/>
                <w:szCs w:val="22"/>
              </w:rPr>
            </w:pPr>
            <w:r>
              <w:rPr>
                <w:rFonts w:ascii="Times New Roman" w:hAnsi="Times New Roman"/>
                <w:color w:val="000000"/>
                <w:sz w:val="22"/>
                <w:szCs w:val="22"/>
                <w:shd w:val="clear" w:color="auto" w:fill="ffffff"/>
              </w:rPr>
              <w:t xml:space="preserve">Участок должен быть предназначен для автоматизированного оперативного и бухгалтерского учета </w:t>
            </w:r>
            <w:r>
              <w:rPr>
                <w:rFonts w:ascii="Times New Roman" w:hAnsi="Times New Roman" w:eastAsia="Calibri"/>
                <w:sz w:val="22"/>
                <w:szCs w:val="22"/>
              </w:rPr>
              <w:t xml:space="preserve">ценностей, которые поступают в учреждения на время заключения осужденного.</w:t>
            </w:r>
            <w:r>
              <w:rPr>
                <w:rFonts w:ascii="Times New Roman" w:hAnsi="Times New Roman" w:eastAsia="Calibri"/>
                <w:sz w:val="22"/>
                <w:szCs w:val="22"/>
              </w:rPr>
            </w:r>
            <w:r>
              <w:rPr>
                <w:rFonts w:ascii="Times New Roman" w:hAnsi="Times New Roman" w:eastAsia="Calibri"/>
                <w:sz w:val="22"/>
                <w:szCs w:val="22"/>
              </w:rPr>
            </w:r>
          </w:p>
          <w:p>
            <w:p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осужденных</w:t>
            </w:r>
            <w:r>
              <w:rPr>
                <w:rFonts w:ascii="Times New Roman" w:hAnsi="Times New Roman"/>
                <w:color w:val="000000"/>
                <w:sz w:val="22"/>
                <w:szCs w:val="22"/>
                <w:shd w:val="clear" w:color="auto" w:fill="ffffff"/>
              </w:rPr>
              <w:t xml:space="preserve">, а именно по оформлению поступления, переоценки, перемещения и возврата ценностей осужденных, Отчет кассира по ценностям осужденных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ценностей», «Сопроводительная ведомость», «Опись вложения», и при проведении документов должны формироваться соответствующие проводки по бухгалтерскому учету</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eastAsia="Times New Roman"/>
                <w:color w:val="000000"/>
                <w:sz w:val="22"/>
                <w:szCs w:val="22"/>
                <w:shd w:val="clear" w:color="auto" w:fill="ffffff"/>
              </w:rPr>
              <w:t xml:space="preserve">операции по учету ценностей осужденного в пакете, с возможностью поиска пакета по штрих коду и печатью «Этикетки для пакета ценностей с формированием штрих кода»,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4"/>
              </w:numPr>
              <w:pBdr/>
              <w:spacing/>
              <w:ind/>
              <w:rPr>
                <w:rFonts w:ascii="Times New Roman" w:hAnsi="Times New Roman" w:eastAsia="Times New Roman"/>
                <w:color w:val="000000"/>
                <w:sz w:val="22"/>
                <w:szCs w:val="22"/>
                <w:shd w:val="clear" w:color="auto" w:fill="ffffff"/>
              </w:rPr>
            </w:pPr>
            <w:r>
              <w:rPr>
                <w:rFonts w:ascii="Times New Roman" w:hAnsi="Times New Roman"/>
                <w:color w:val="000000"/>
                <w:sz w:val="22"/>
                <w:szCs w:val="22"/>
                <w:shd w:val="clear" w:color="auto" w:fill="ffffff"/>
              </w:rPr>
              <w:t xml:space="preserve">отчеты «Книга учета ценностей осужденных», «Кассовая книга по учету ценностей осужденных», «</w:t>
            </w:r>
            <w:r>
              <w:rPr>
                <w:rFonts w:ascii="Times New Roman" w:hAnsi="Times New Roman" w:eastAsia="Calibri"/>
                <w:sz w:val="22"/>
                <w:szCs w:val="22"/>
              </w:rPr>
              <w:t xml:space="preserve">Журнал регистрации кассовых ордеров по ценностям осужденных</w:t>
            </w:r>
            <w:r>
              <w:rPr>
                <w:rFonts w:ascii="Times New Roman" w:hAnsi="Times New Roman"/>
                <w:color w:val="000000"/>
                <w:sz w:val="22"/>
                <w:szCs w:val="22"/>
                <w:shd w:val="clear" w:color="auto" w:fill="ffffff"/>
              </w:rPr>
              <w:t xml:space="preserve">».</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расхода ГСМ и путевых листов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информации по автотранспорту, в том числе по типу автотранспортных средств (легковые, грузовые, мотолодки), по применяемому для данного </w:t>
            </w:r>
            <w:r>
              <w:rPr>
                <w:rFonts w:ascii="Times New Roman" w:hAnsi="Times New Roman"/>
                <w:sz w:val="22"/>
                <w:szCs w:val="22"/>
              </w:rPr>
              <w:t xml:space="preserve">автотранспорта типу и нормам расхода топлива, масла, видам коэффициентов расхода топлива, показаний спидометра, пробегу автомобиля,</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справочник, который предназначен для отражения мест отправления/назначения, в том числе расстояний между местом отправления и местом назначения, времени проезда, дорожного коэффициента,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документ, являющи</w:t>
            </w:r>
            <w:r>
              <w:rPr>
                <w:rFonts w:ascii="Times New Roman" w:hAnsi="Times New Roman"/>
                <w:sz w:val="22"/>
                <w:szCs w:val="22"/>
              </w:rPr>
              <w:t xml:space="preserve">йся первичным документом для учета пробега, маршрута автомобиля, расхода ГСМ, а также основанием для списания ГСМ. Документ должен формировать и отражать в учете проводки по списанию ГСМ, производить расчет расхода ГСМ на определенном маршруте по типам авт</w:t>
            </w:r>
            <w:r>
              <w:rPr>
                <w:rFonts w:ascii="Times New Roman" w:hAnsi="Times New Roman"/>
                <w:sz w:val="22"/>
                <w:szCs w:val="22"/>
              </w:rPr>
              <w:t xml:space="preserve">отранспортных средств с учетом различных коэффициентов расхода. Данный документ должен быть основанием для автоматического заполнения документа по покупке материальных запасов», а также должен иметь печатную форму «Путевой лист автотранспортного средства»,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p>
            <w:pPr>
              <w:pStyle w:val="974"/>
              <w:numPr>
                <w:ilvl w:val="0"/>
                <w:numId w:val="5"/>
              </w:numPr>
              <w:pBdr/>
              <w:spacing/>
              <w:ind/>
              <w:rPr>
                <w:rFonts w:ascii="Times New Roman" w:hAnsi="Times New Roman" w:eastAsia="Times New Roman"/>
                <w:color w:val="000000"/>
                <w:sz w:val="22"/>
                <w:szCs w:val="22"/>
                <w:shd w:val="clear" w:color="auto" w:fill="ffffff"/>
              </w:rPr>
            </w:pPr>
            <w:r>
              <w:rPr>
                <w:rFonts w:ascii="Times New Roman" w:hAnsi="Times New Roman"/>
                <w:sz w:val="22"/>
                <w:szCs w:val="22"/>
              </w:rPr>
              <w:t xml:space="preserve">отчет, который предназначен для формирования печатной формы акта на списание горюче-смазочных </w:t>
            </w:r>
            <w:r>
              <w:rPr>
                <w:rFonts w:ascii="Times New Roman" w:hAnsi="Times New Roman"/>
                <w:sz w:val="22"/>
                <w:szCs w:val="22"/>
              </w:rPr>
              <w:t xml:space="preserve">материалов. Отчет должен отражать следующую информацию: тип автомобиля, вид ГСМ, пробег, остаток топлива на определенную дату, приход топлива, расход топлива по норме, фактический расход топлива, остаток топлива на определенное число, показания спидометра.</w:t>
            </w:r>
            <w:r>
              <w:rPr>
                <w:rFonts w:ascii="Times New Roman" w:hAnsi="Times New Roman" w:eastAsia="Times New Roman"/>
                <w:color w:val="000000"/>
                <w:sz w:val="22"/>
                <w:szCs w:val="22"/>
                <w:shd w:val="clear" w:color="auto" w:fill="ffffff"/>
              </w:rPr>
            </w:r>
            <w:r>
              <w:rPr>
                <w:rFonts w:ascii="Times New Roman" w:hAnsi="Times New Roman" w:eastAsia="Times New Roman"/>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вещевого обеспечения осужденных и сотрудников ФСИН.</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В его состав должны входить:</w:t>
            </w:r>
            <w:r>
              <w:rPr>
                <w:rFonts w:ascii="Times New Roman" w:hAnsi="Times New Roman"/>
                <w:color w:val="000000"/>
                <w:sz w:val="22"/>
                <w:szCs w:val="22"/>
                <w:shd w:val="clear" w:color="auto" w:fill="ffffff"/>
              </w:rPr>
            </w:r>
            <w:r>
              <w:rPr>
                <w:rFonts w:ascii="Times New Roman" w:hAnsi="Times New Roman"/>
                <w:color w:val="000000"/>
                <w:sz w:val="22"/>
                <w:szCs w:val="22"/>
                <w:shd w:val="clear" w:color="auto" w:fill="ffffff"/>
              </w:rPr>
            </w:r>
          </w:p>
          <w:p>
            <w:pPr>
              <w:pStyle w:val="974"/>
              <w:numPr>
                <w:ilvl w:val="0"/>
                <w:numId w:val="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вещевого обеспечения – установка норм, регистрация, получение у контрагента, выдача, приостановление и возобновление срока носки, возврат, внутреннее перемещение, списание (операции должны оформляться докумен</w:t>
            </w:r>
            <w:r>
              <w:rPr>
                <w:rFonts w:ascii="Times New Roman" w:hAnsi="Times New Roman" w:eastAsia="Times New Roman"/>
                <w:color w:val="000000"/>
                <w:sz w:val="22"/>
                <w:szCs w:val="22"/>
                <w:shd w:val="clear" w:color="auto" w:fill="ffffff"/>
              </w:rPr>
              <w:t xml:space="preserve">тами, которые имеют печатные формы «Раздаточная (сдаточная) ведомость», «Приложение к акту списания», «Акт об утилизации мягкого и хозяйственного инвентаря»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r>
            <w:r>
              <w:rPr>
                <w:rFonts w:ascii="Times New Roman" w:hAnsi="Times New Roman"/>
                <w:sz w:val="22"/>
                <w:szCs w:val="22"/>
              </w:rPr>
            </w:r>
          </w:p>
          <w:p>
            <w:pPr>
              <w:pStyle w:val="974"/>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справочники для ведения «Типов вещевого обеспечения» и «Норм в</w:t>
            </w:r>
            <w:r>
              <w:rPr>
                <w:rFonts w:ascii="Times New Roman" w:hAnsi="Times New Roman"/>
                <w:color w:val="000000"/>
                <w:sz w:val="22"/>
                <w:szCs w:val="22"/>
                <w:shd w:val="clear" w:color="auto" w:fill="ffffff"/>
              </w:rPr>
              <w:t xml:space="preserve">ещевого обеспечения» с указанием размера денежных компенсаций, способа учета на счетах бухгалтерского учета, порядка взаиморасчетов за выданное вещевое обеспечение и возможностью указания списка замен для отсутствующего в наличии типа вещевого обеспечения,</w:t>
            </w:r>
            <w:r>
              <w:rPr>
                <w:rFonts w:ascii="Times New Roman" w:hAnsi="Times New Roman"/>
                <w:sz w:val="22"/>
                <w:szCs w:val="22"/>
              </w:rPr>
            </w:r>
            <w:r>
              <w:rPr>
                <w:rFonts w:ascii="Times New Roman" w:hAnsi="Times New Roman"/>
                <w:sz w:val="22"/>
                <w:szCs w:val="22"/>
              </w:rPr>
            </w:r>
          </w:p>
          <w:p>
            <w:pPr>
              <w:pStyle w:val="974"/>
              <w:numPr>
                <w:ilvl w:val="0"/>
                <w:numId w:val="6"/>
              </w:numPr>
              <w:pBdr/>
              <w:spacing/>
              <w:ind/>
              <w:rPr>
                <w:rFonts w:ascii="Times New Roman" w:hAnsi="Times New Roman"/>
                <w:sz w:val="22"/>
                <w:szCs w:val="22"/>
              </w:rPr>
            </w:pPr>
            <w:r>
              <w:rPr>
                <w:rFonts w:ascii="Times New Roman" w:hAnsi="Times New Roman"/>
                <w:color w:val="000000"/>
                <w:sz w:val="22"/>
                <w:szCs w:val="22"/>
                <w:shd w:val="clear" w:color="auto" w:fill="ffffff"/>
              </w:rPr>
              <w:t xml:space="preserve">отчеты «Б/у вещевое обеспечение на скла</w:t>
            </w:r>
            <w:r>
              <w:rPr>
                <w:rFonts w:ascii="Times New Roman" w:hAnsi="Times New Roman"/>
                <w:color w:val="000000"/>
                <w:sz w:val="22"/>
                <w:szCs w:val="22"/>
                <w:shd w:val="clear" w:color="auto" w:fill="ffffff"/>
              </w:rPr>
              <w:t xml:space="preserve">де», «Вещевое обеспечение, выданное сотрудникам», «Расчеты с сотрудниками», «Арматурная карточка», «Карточка (книга) учета выдачи имущества в пользование», «Взаиморасчеты за вещевое обеспечение», «Лицевой счет по обеспечению предметами вещевого имущества».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питания осужденных</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4"/>
              <w:numPr>
                <w:ilvl w:val="0"/>
                <w:numId w:val="7"/>
              </w:numPr>
              <w:pBdr/>
              <w:spacing/>
              <w:ind/>
              <w:rPr>
                <w:rFonts w:ascii="Times New Roman" w:hAnsi="Times New Roman"/>
                <w:sz w:val="22"/>
                <w:szCs w:val="22"/>
              </w:rPr>
            </w:pPr>
            <w:r>
              <w:rPr>
                <w:rFonts w:ascii="Times New Roman" w:hAnsi="Times New Roman"/>
                <w:sz w:val="22"/>
                <w:szCs w:val="22"/>
              </w:rPr>
              <w:t xml:space="preserve">операции по регистрации категорий довольствующихся и их количества по учреждению, перемещения и списания продуктов питания в соответствии с нормами в разрезе категорий довольствующихся с возможность замены продуктов по коэффициентам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w:t>
            </w:r>
            <w:r>
              <w:rPr>
                <w:rFonts w:ascii="Times New Roman" w:hAnsi="Times New Roman" w:eastAsia="Times New Roman"/>
                <w:color w:val="000000"/>
                <w:sz w:val="22"/>
                <w:szCs w:val="22"/>
                <w:shd w:val="clear" w:color="auto" w:fill="ffffff"/>
              </w:rPr>
              <w:t xml:space="preserve">формы «</w:t>
            </w:r>
            <w:r>
              <w:rPr>
                <w:rFonts w:ascii="Times New Roman" w:hAnsi="Times New Roman"/>
                <w:sz w:val="22"/>
                <w:szCs w:val="22"/>
              </w:rPr>
              <w:t xml:space="preserve">Меню-требование с возможностью вывода в разрезе приемов пищи</w:t>
            </w:r>
            <w:r>
              <w:rPr>
                <w:rFonts w:ascii="Times New Roman" w:hAnsi="Times New Roman" w:eastAsia="Times New Roman"/>
                <w:color w:val="000000"/>
                <w:sz w:val="22"/>
                <w:szCs w:val="22"/>
                <w:shd w:val="clear" w:color="auto" w:fill="ffffff"/>
              </w:rPr>
              <w:t xml:space="preserve">», «</w:t>
            </w:r>
            <w:r>
              <w:rPr>
                <w:rFonts w:ascii="Times New Roman" w:hAnsi="Times New Roman"/>
                <w:sz w:val="22"/>
                <w:szCs w:val="22"/>
              </w:rPr>
              <w:t xml:space="preserve">Котловой ордер</w:t>
            </w:r>
            <w:r>
              <w:rPr>
                <w:rFonts w:ascii="Times New Roman" w:hAnsi="Times New Roman" w:eastAsia="Times New Roman"/>
                <w:color w:val="000000"/>
                <w:sz w:val="22"/>
                <w:szCs w:val="22"/>
                <w:shd w:val="clear" w:color="auto" w:fill="ffffff"/>
              </w:rPr>
              <w:t xml:space="preserve">», «Таблица замен продуктов питания»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4"/>
              <w:numPr>
                <w:ilvl w:val="0"/>
                <w:numId w:val="7"/>
              </w:numPr>
              <w:pBdr/>
              <w:spacing/>
              <w:ind/>
              <w:rPr>
                <w:rFonts w:ascii="Times New Roman" w:hAnsi="Times New Roman"/>
                <w:sz w:val="22"/>
                <w:szCs w:val="22"/>
              </w:rPr>
            </w:pPr>
            <w:r>
              <w:rPr>
                <w:rFonts w:ascii="Times New Roman" w:hAnsi="Times New Roman"/>
                <w:sz w:val="22"/>
                <w:szCs w:val="22"/>
              </w:rPr>
              <w:t xml:space="preserve">возможность составления раскладок вариантов меню как списку продуктов питания, так и по списку готовых блюд.</w:t>
            </w:r>
            <w:r>
              <w:rPr>
                <w:rFonts w:ascii="Times New Roman" w:hAnsi="Times New Roman"/>
                <w:sz w:val="22"/>
                <w:szCs w:val="22"/>
              </w:rPr>
            </w:r>
            <w:r>
              <w:rPr>
                <w:rFonts w:ascii="Times New Roman" w:hAnsi="Times New Roman"/>
                <w:sz w:val="22"/>
                <w:szCs w:val="22"/>
              </w:rPr>
            </w:r>
          </w:p>
          <w:p>
            <w:pPr>
              <w:pStyle w:val="974"/>
              <w:numPr>
                <w:ilvl w:val="0"/>
                <w:numId w:val="7"/>
              </w:numPr>
              <w:pBdr/>
              <w:spacing/>
              <w:ind/>
              <w:rPr>
                <w:rFonts w:ascii="Times New Roman" w:hAnsi="Times New Roman"/>
                <w:sz w:val="22"/>
                <w:szCs w:val="22"/>
              </w:rPr>
            </w:pPr>
            <w:r>
              <w:rPr>
                <w:rFonts w:ascii="Times New Roman" w:hAnsi="Times New Roman"/>
                <w:sz w:val="22"/>
                <w:szCs w:val="22"/>
              </w:rPr>
              <w:t xml:space="preserve">справочники «Приемы пищи», «Варианты меню», «Категории довольствующихся» с указанием нормы потребления (как еженедельной, так и ежедневной).</w:t>
            </w:r>
            <w:r>
              <w:rPr>
                <w:rFonts w:ascii="Times New Roman" w:hAnsi="Times New Roman"/>
                <w:sz w:val="22"/>
                <w:szCs w:val="22"/>
              </w:rPr>
            </w:r>
            <w:r>
              <w:rPr>
                <w:rFonts w:ascii="Times New Roman" w:hAnsi="Times New Roman"/>
                <w:sz w:val="22"/>
                <w:szCs w:val="22"/>
              </w:rPr>
            </w:r>
          </w:p>
          <w:p>
            <w:pPr>
              <w:pStyle w:val="974"/>
              <w:numPr>
                <w:ilvl w:val="0"/>
                <w:numId w:val="7"/>
              </w:numPr>
              <w:pBdr/>
              <w:spacing/>
              <w:ind/>
              <w:rPr>
                <w:rFonts w:ascii="Times New Roman" w:hAnsi="Times New Roman"/>
                <w:sz w:val="22"/>
                <w:szCs w:val="22"/>
              </w:rPr>
            </w:pPr>
            <w:r>
              <w:rPr>
                <w:rFonts w:ascii="Times New Roman" w:hAnsi="Times New Roman"/>
                <w:sz w:val="22"/>
                <w:szCs w:val="22"/>
              </w:rPr>
              <w:t xml:space="preserve">отчеты «Отчет п</w:t>
            </w:r>
            <w:r>
              <w:rPr>
                <w:rFonts w:ascii="Times New Roman" w:hAnsi="Times New Roman"/>
                <w:sz w:val="22"/>
                <w:szCs w:val="22"/>
              </w:rPr>
              <w:t xml:space="preserve">о замене продуктов», «Накопительная ведомость по приходу продуктов питания (ф. 0504037)», «Накопительная ведомость по расходу продуктов питания (ф.0504038)», «Поступление продуктов питания по поставщикам», «Расход продуктов по категориям довольствующихся».</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комиссионных товаров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4"/>
              <w:numPr>
                <w:ilvl w:val="0"/>
                <w:numId w:val="8"/>
              </w:numPr>
              <w:pBdr/>
              <w:spacing/>
              <w:ind/>
              <w:jc w:val="both"/>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комиссионных товаров, а именно </w:t>
            </w:r>
            <w:r>
              <w:rPr>
                <w:rFonts w:ascii="Times New Roman" w:hAnsi="Times New Roman"/>
                <w:sz w:val="22"/>
                <w:szCs w:val="22"/>
              </w:rPr>
              <w:t xml:space="preserve">поступление комиссионных товаров, внутреннее перемещение, возврат и реализация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об оказании услуг комитенту», «КОМИС-4»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eastAsia="Times New Roman"/>
                <w:color w:val="000000"/>
                <w:sz w:val="22"/>
                <w:szCs w:val="22"/>
                <w:shd w:val="clear" w:color="auto" w:fill="ffffff"/>
              </w:rPr>
              <w:t xml:space="preserve">,</w:t>
            </w:r>
            <w:r>
              <w:rPr>
                <w:rFonts w:ascii="Times New Roman" w:hAnsi="Times New Roman"/>
                <w:sz w:val="22"/>
                <w:szCs w:val="22"/>
              </w:rPr>
            </w:r>
            <w:r>
              <w:rPr>
                <w:rFonts w:ascii="Times New Roman" w:hAnsi="Times New Roman"/>
                <w:sz w:val="22"/>
                <w:szCs w:val="22"/>
              </w:rPr>
            </w:r>
          </w:p>
          <w:p>
            <w:pPr>
              <w:pStyle w:val="974"/>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реализации комиссионных товаров формировать проводки как по списанию комиссионных товаров, так и по расчетам с комитентом.</w:t>
            </w:r>
            <w:r>
              <w:rPr>
                <w:rFonts w:ascii="Times New Roman" w:hAnsi="Times New Roman"/>
                <w:sz w:val="22"/>
                <w:szCs w:val="22"/>
              </w:rPr>
            </w:r>
            <w:r>
              <w:rPr>
                <w:rFonts w:ascii="Times New Roman" w:hAnsi="Times New Roman"/>
                <w:sz w:val="22"/>
                <w:szCs w:val="22"/>
              </w:rPr>
            </w:r>
          </w:p>
          <w:p>
            <w:pPr>
              <w:pStyle w:val="974"/>
              <w:numPr>
                <w:ilvl w:val="0"/>
                <w:numId w:val="8"/>
              </w:numPr>
              <w:pBdr/>
              <w:spacing/>
              <w:ind/>
              <w:jc w:val="both"/>
              <w:rPr>
                <w:rFonts w:ascii="Times New Roman" w:hAnsi="Times New Roman"/>
                <w:sz w:val="22"/>
                <w:szCs w:val="22"/>
              </w:rPr>
            </w:pPr>
            <w:r>
              <w:rPr>
                <w:rFonts w:ascii="Times New Roman" w:hAnsi="Times New Roman"/>
                <w:sz w:val="22"/>
                <w:szCs w:val="22"/>
              </w:rPr>
              <w:t xml:space="preserve">возможность на основании документов по учету комиссионных товаров формировать отчет комиссионера за определенный период, а также «Карточка учета товаров и расчетов по договору комиссии» по форме КОМИС-6.</w:t>
            </w:r>
            <w:r>
              <w:rPr>
                <w:rFonts w:ascii="Times New Roman" w:hAnsi="Times New Roman"/>
                <w:sz w:val="22"/>
                <w:szCs w:val="22"/>
              </w:rPr>
            </w:r>
            <w:r>
              <w:rPr>
                <w:rFonts w:ascii="Times New Roman" w:hAnsi="Times New Roman"/>
                <w:sz w:val="22"/>
                <w:szCs w:val="22"/>
              </w:rPr>
            </w:r>
          </w:p>
          <w:p>
            <w:pPr>
              <w:pBdr/>
              <w:spacing/>
              <w:ind/>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производственной деятельности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по учету производства, а именно выпуск продукции, отнесение затрат на ее изготовлен</w:t>
            </w:r>
            <w:r>
              <w:rPr>
                <w:rFonts w:ascii="Times New Roman" w:hAnsi="Times New Roman"/>
                <w:sz w:val="22"/>
                <w:szCs w:val="22"/>
              </w:rPr>
              <w:t xml:space="preserve">ие, учет услуг, закрытие производственных счетов с корректировкой плановой стоимости продукции до фактической, чтобы эти операции можно было оформить документами, которые имеют печатные формы, и при их проведении были сформированы соответствующие проводки.</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автоматизированная цепочка производственных операций по учету готовых блюд, продукции и списания сырья на их изготовление,</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закрытия производственных счетов по конкретному источнику финансового обеспечения (далее - ИФО), по-пустому ИФО, по всем ИФО.</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одним документом списывать сырье на несколько видов продукции,</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проведение реализации продукции по нескольким направлениям деятельности (аналитике счета доходов) одним документом,</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ведение калькуляции себестоимости реализованной продукции с возможность ввода начальных остатков для учета себестоимости реализованной продукции </w:t>
            </w:r>
            <w:r>
              <w:rPr>
                <w:rFonts w:ascii="Times New Roman" w:hAnsi="Times New Roman"/>
                <w:sz w:val="22"/>
                <w:szCs w:val="22"/>
              </w:rPr>
              <w:t xml:space="preserve">отдельным документом,</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возможность распределения косвенных затрат на незавершенное производство разными способами (пропорционально выпускам продукции и услугам, пропорционально затратам) и формирования Ведомости остатков незавершенного производства,</w:t>
            </w:r>
            <w:r>
              <w:rPr>
                <w:rFonts w:ascii="Times New Roman" w:hAnsi="Times New Roman"/>
                <w:sz w:val="22"/>
                <w:szCs w:val="22"/>
              </w:rPr>
            </w:r>
            <w:r>
              <w:rPr>
                <w:rFonts w:ascii="Times New Roman" w:hAnsi="Times New Roman"/>
                <w:sz w:val="22"/>
                <w:szCs w:val="22"/>
              </w:rPr>
            </w:r>
          </w:p>
          <w:p>
            <w:pPr>
              <w:pStyle w:val="974"/>
              <w:numPr>
                <w:ilvl w:val="0"/>
                <w:numId w:val="9"/>
              </w:numPr>
              <w:pBdr/>
              <w:spacing/>
              <w:ind/>
              <w:jc w:val="both"/>
              <w:rPr>
                <w:rFonts w:ascii="Times New Roman" w:hAnsi="Times New Roman"/>
                <w:sz w:val="22"/>
                <w:szCs w:val="22"/>
              </w:rPr>
            </w:pPr>
            <w:r>
              <w:rPr>
                <w:rFonts w:ascii="Times New Roman" w:hAnsi="Times New Roman"/>
                <w:sz w:val="22"/>
                <w:szCs w:val="22"/>
              </w:rPr>
              <w:t xml:space="preserve">учет материалов в производстве (с возможностью ввода остатков материалов в производстве отдельным документом и дальнейшим автоматическим заполнением данных при инвентаризация незавершенного производства).</w:t>
            </w:r>
            <w:r>
              <w:rPr>
                <w:rFonts w:ascii="Times New Roman" w:hAnsi="Times New Roman"/>
                <w:sz w:val="22"/>
                <w:szCs w:val="22"/>
              </w:rPr>
            </w:r>
            <w:r>
              <w:rPr>
                <w:rFonts w:ascii="Times New Roman" w:hAnsi="Times New Roman"/>
                <w:sz w:val="22"/>
                <w:szCs w:val="22"/>
              </w:rPr>
            </w:r>
          </w:p>
          <w:p>
            <w:pPr>
              <w:pBdr/>
              <w:spacing/>
              <w:ind/>
              <w:jc w:val="both"/>
              <w:rPr>
                <w:rFonts w:ascii="Times New Roman" w:hAnsi="Times New Roman"/>
                <w:sz w:val="22"/>
                <w:szCs w:val="22"/>
              </w:rPr>
            </w:pPr>
            <w:r>
              <w:rPr>
                <w:rFonts w:ascii="Times New Roman" w:hAnsi="Times New Roman"/>
                <w:sz w:val="22"/>
                <w:szCs w:val="22"/>
              </w:rPr>
              <w:t xml:space="preserve">Также в состав участка должны входить:</w:t>
            </w:r>
            <w:r>
              <w:rPr>
                <w:rFonts w:ascii="Times New Roman" w:hAnsi="Times New Roman"/>
                <w:sz w:val="22"/>
                <w:szCs w:val="22"/>
              </w:rPr>
            </w:r>
            <w:r>
              <w:rPr>
                <w:rFonts w:ascii="Times New Roman" w:hAnsi="Times New Roman"/>
                <w:sz w:val="22"/>
                <w:szCs w:val="22"/>
              </w:rPr>
            </w:r>
          </w:p>
          <w:p>
            <w:pPr>
              <w:pStyle w:val="974"/>
              <w:numPr>
                <w:ilvl w:val="0"/>
                <w:numId w:val="10"/>
              </w:numPr>
              <w:pBdr/>
              <w:spacing/>
              <w:ind/>
              <w:jc w:val="both"/>
              <w:rPr>
                <w:rFonts w:ascii="Times New Roman" w:hAnsi="Times New Roman"/>
                <w:sz w:val="22"/>
                <w:szCs w:val="22"/>
              </w:rPr>
            </w:pPr>
            <w:r>
              <w:rPr>
                <w:rFonts w:ascii="Times New Roman" w:hAnsi="Times New Roman"/>
                <w:sz w:val="22"/>
                <w:szCs w:val="22"/>
              </w:rPr>
              <w:t xml:space="preserve">отчеты (по калькуляции произведенной и реализованной продукции),</w:t>
            </w:r>
            <w:r>
              <w:rPr>
                <w:rFonts w:ascii="Times New Roman" w:hAnsi="Times New Roman"/>
                <w:sz w:val="22"/>
                <w:szCs w:val="22"/>
              </w:rPr>
            </w:r>
            <w:r>
              <w:rPr>
                <w:rFonts w:ascii="Times New Roman" w:hAnsi="Times New Roman"/>
                <w:sz w:val="22"/>
                <w:szCs w:val="22"/>
              </w:rPr>
            </w:r>
          </w:p>
          <w:p>
            <w:pPr>
              <w:pStyle w:val="974"/>
              <w:numPr>
                <w:ilvl w:val="0"/>
                <w:numId w:val="10"/>
              </w:numPr>
              <w:pBdr/>
              <w:spacing/>
              <w:ind/>
              <w:jc w:val="both"/>
              <w:rPr>
                <w:rFonts w:ascii="Times New Roman" w:hAnsi="Times New Roman"/>
                <w:sz w:val="22"/>
                <w:szCs w:val="22"/>
              </w:rPr>
            </w:pPr>
            <w:r>
              <w:rPr>
                <w:rFonts w:ascii="Times New Roman" w:hAnsi="Times New Roman"/>
                <w:sz w:val="22"/>
                <w:szCs w:val="22"/>
              </w:rPr>
              <w:t xml:space="preserve">документ «Калькуляция блюд», формирующий печатную форму «Калькуляционная карточка» и документы списания и внутреннего перемещения материалов,</w:t>
            </w:r>
            <w:r>
              <w:rPr>
                <w:rFonts w:ascii="Times New Roman" w:hAnsi="Times New Roman"/>
                <w:sz w:val="22"/>
                <w:szCs w:val="22"/>
              </w:rPr>
            </w:r>
            <w:r>
              <w:rPr>
                <w:rFonts w:ascii="Times New Roman" w:hAnsi="Times New Roman"/>
                <w:sz w:val="22"/>
                <w:szCs w:val="22"/>
              </w:rPr>
            </w:r>
          </w:p>
          <w:p>
            <w:pPr>
              <w:pStyle w:val="974"/>
              <w:numPr>
                <w:ilvl w:val="0"/>
                <w:numId w:val="10"/>
              </w:numPr>
              <w:pBdr/>
              <w:spacing/>
              <w:ind/>
              <w:jc w:val="both"/>
              <w:rPr>
                <w:rFonts w:ascii="Times New Roman" w:hAnsi="Times New Roman"/>
                <w:sz w:val="22"/>
                <w:szCs w:val="22"/>
              </w:rPr>
            </w:pPr>
            <w:r>
              <w:rPr>
                <w:rFonts w:ascii="Times New Roman" w:hAnsi="Times New Roman"/>
                <w:sz w:val="22"/>
                <w:szCs w:val="22"/>
              </w:rPr>
              <w:t xml:space="preserve">справочник «Технологических карт» (с указанием сборника рецептур, номера рецептуры и технологии приготовления) с возможность вывода печатной формы «Технологической карты».</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Учетная политика учреждения</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На основании настроек и да</w:t>
            </w:r>
            <w:r>
              <w:rPr>
                <w:rFonts w:ascii="Times New Roman" w:hAnsi="Times New Roman"/>
                <w:sz w:val="22"/>
                <w:szCs w:val="22"/>
              </w:rPr>
              <w:t xml:space="preserve">нных, имеющихся в информационной базе программного продукта (а также путем ответов на дополнительные вопросы) должна иметься возможность формирования приказа об учетной политике учреждения для дальнейшего вывода на печать и заверения ответственными лицами.</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Инструменты контроля за соответствием кассовых и фактических расходов и отображением ошибок по бухгалтерскому учету в разрезе участков учета и пользователей информационной базы</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4"/>
              <w:numPr>
                <w:ilvl w:val="0"/>
                <w:numId w:val="14"/>
              </w:numPr>
              <w:pBdr/>
              <w:spacing/>
              <w:ind/>
              <w:jc w:val="both"/>
              <w:rPr>
                <w:rFonts w:ascii="Times New Roman" w:hAnsi="Times New Roman"/>
                <w:sz w:val="22"/>
                <w:szCs w:val="22"/>
              </w:rPr>
            </w:pPr>
            <w:r>
              <w:rPr>
                <w:rFonts w:ascii="Times New Roman" w:hAnsi="Times New Roman" w:eastAsia="Tahoma"/>
                <w:sz w:val="22"/>
                <w:szCs w:val="22"/>
              </w:rPr>
              <w:t xml:space="preserve">о</w:t>
            </w:r>
            <w:r>
              <w:rPr>
                <w:rFonts w:ascii="Times New Roman" w:hAnsi="Times New Roman"/>
                <w:sz w:val="22"/>
                <w:szCs w:val="22"/>
              </w:rPr>
              <w:t xml:space="preserve">тчет по контролю соответствия касс</w:t>
            </w:r>
            <w:r>
              <w:rPr>
                <w:rFonts w:ascii="Times New Roman" w:hAnsi="Times New Roman"/>
                <w:sz w:val="22"/>
                <w:szCs w:val="22"/>
              </w:rPr>
              <w:t xml:space="preserve">овых и фактических расходов», предназначенный для проверки целевого использования средств в учреждениях ФСИН, выявления возможных ошибок в цепочке операций от кассовых до фактических расходов, связанных с неверными проводками, пересортицей по КПС и КЭК. От</w:t>
            </w:r>
            <w:r>
              <w:rPr>
                <w:rFonts w:ascii="Times New Roman" w:hAnsi="Times New Roman"/>
                <w:sz w:val="22"/>
                <w:szCs w:val="22"/>
              </w:rPr>
              <w:t xml:space="preserve">чет должен формироваться за определенный период по кодам финансового обеспечения, по организациям, по КПС, по КЭК, по источникам финансового обеспечения. Отчет должен выводить данные по остаткам на начало периода, оборотам за период, на конец периода долже</w:t>
            </w:r>
            <w:r>
              <w:rPr>
                <w:rFonts w:ascii="Times New Roman" w:hAnsi="Times New Roman"/>
                <w:sz w:val="22"/>
                <w:szCs w:val="22"/>
              </w:rPr>
              <w:t xml:space="preserve">н анализировать данные по кассовым расходам, фактическим расходам, выявлять суммы предполагаемой ошибки и причины отклонений, а также давать комментарии, за счет чего возникли отклонения.  Каждая ячейка в данном отчете должна расшифровывать значение суммы;</w:t>
            </w:r>
            <w:r>
              <w:rPr>
                <w:rFonts w:ascii="Times New Roman" w:hAnsi="Times New Roman"/>
                <w:sz w:val="22"/>
                <w:szCs w:val="22"/>
              </w:rPr>
            </w:r>
            <w:r>
              <w:rPr>
                <w:rFonts w:ascii="Times New Roman" w:hAnsi="Times New Roman"/>
                <w:sz w:val="22"/>
                <w:szCs w:val="22"/>
              </w:rPr>
            </w:r>
          </w:p>
          <w:p>
            <w:pPr>
              <w:pStyle w:val="974"/>
              <w:numPr>
                <w:ilvl w:val="0"/>
                <w:numId w:val="14"/>
              </w:numPr>
              <w:pBdr/>
              <w:spacing/>
              <w:ind/>
              <w:jc w:val="both"/>
              <w:rPr>
                <w:rFonts w:ascii="Times New Roman" w:hAnsi="Times New Roman"/>
                <w:sz w:val="22"/>
                <w:szCs w:val="22"/>
              </w:rPr>
            </w:pPr>
            <w:r>
              <w:rPr>
                <w:rFonts w:ascii="Times New Roman" w:hAnsi="Times New Roman"/>
                <w:sz w:val="22"/>
                <w:szCs w:val="22"/>
              </w:rPr>
              <w:t xml:space="preserve">отчет с выводом ошибок по бухгалтерскому учету в разрезе участков и исполнителей, предназначенный для выявления ошибок в разрезе ИФО учреждения, совершаемых при ведении учета в учреждениях ФСИН, с указанием бухгалтера, совершившего ошибку, по:</w:t>
            </w:r>
            <w:r>
              <w:rPr>
                <w:rFonts w:ascii="Times New Roman" w:hAnsi="Times New Roman"/>
                <w:sz w:val="22"/>
                <w:szCs w:val="22"/>
              </w:rPr>
            </w:r>
            <w:r>
              <w:rPr>
                <w:rFonts w:ascii="Times New Roman" w:hAnsi="Times New Roman"/>
                <w:sz w:val="22"/>
                <w:szCs w:val="22"/>
              </w:rPr>
            </w:r>
          </w:p>
          <w:p>
            <w:pPr>
              <w:pStyle w:val="974"/>
              <w:numPr>
                <w:ilvl w:val="0"/>
                <w:numId w:val="11"/>
              </w:numPr>
              <w:pBdr/>
              <w:spacing/>
              <w:ind/>
              <w:jc w:val="both"/>
              <w:rPr>
                <w:rFonts w:ascii="Times New Roman" w:hAnsi="Times New Roman"/>
                <w:sz w:val="22"/>
                <w:szCs w:val="22"/>
              </w:rPr>
            </w:pPr>
            <w:r>
              <w:rPr>
                <w:rFonts w:ascii="Times New Roman" w:hAnsi="Times New Roman"/>
                <w:sz w:val="22"/>
                <w:szCs w:val="22"/>
              </w:rPr>
              <w:t xml:space="preserve">неправильному использованию расходного и доходного КПС;</w:t>
            </w:r>
            <w:r>
              <w:rPr>
                <w:rFonts w:ascii="Times New Roman" w:hAnsi="Times New Roman"/>
                <w:sz w:val="22"/>
                <w:szCs w:val="22"/>
              </w:rPr>
            </w:r>
            <w:r>
              <w:rPr>
                <w:rFonts w:ascii="Times New Roman" w:hAnsi="Times New Roman"/>
                <w:sz w:val="22"/>
                <w:szCs w:val="22"/>
              </w:rPr>
            </w:r>
          </w:p>
          <w:p>
            <w:pPr>
              <w:pStyle w:val="974"/>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с использованием счета 106;</w:t>
            </w:r>
            <w:r>
              <w:rPr>
                <w:rFonts w:ascii="Times New Roman" w:hAnsi="Times New Roman"/>
                <w:sz w:val="22"/>
                <w:szCs w:val="22"/>
              </w:rPr>
            </w:r>
            <w:r>
              <w:rPr>
                <w:rFonts w:ascii="Times New Roman" w:hAnsi="Times New Roman"/>
                <w:sz w:val="22"/>
                <w:szCs w:val="22"/>
              </w:rPr>
            </w:r>
          </w:p>
          <w:p>
            <w:pPr>
              <w:pStyle w:val="974"/>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начисления по счетам 303, 304.02, 304.03, в которых неверно применяется КЭК по корсчету;</w:t>
            </w:r>
            <w:r>
              <w:rPr>
                <w:rFonts w:ascii="Times New Roman" w:hAnsi="Times New Roman"/>
                <w:sz w:val="22"/>
                <w:szCs w:val="22"/>
              </w:rPr>
            </w:r>
            <w:r>
              <w:rPr>
                <w:rFonts w:ascii="Times New Roman" w:hAnsi="Times New Roman"/>
                <w:sz w:val="22"/>
                <w:szCs w:val="22"/>
              </w:rPr>
            </w:r>
          </w:p>
          <w:p>
            <w:pPr>
              <w:pStyle w:val="974"/>
              <w:numPr>
                <w:ilvl w:val="0"/>
                <w:numId w:val="11"/>
              </w:numPr>
              <w:pBdr/>
              <w:spacing/>
              <w:ind/>
              <w:jc w:val="both"/>
              <w:rPr>
                <w:rFonts w:ascii="Times New Roman" w:hAnsi="Times New Roman"/>
                <w:sz w:val="22"/>
                <w:szCs w:val="22"/>
              </w:rPr>
            </w:pPr>
            <w:r>
              <w:rPr>
                <w:rFonts w:ascii="Times New Roman" w:hAnsi="Times New Roman"/>
                <w:sz w:val="22"/>
                <w:szCs w:val="22"/>
              </w:rPr>
              <w:t xml:space="preserve">проводкам, в которых КПС и КЭК по счету 401.10 и 401.20, 17.1 неверные;</w:t>
            </w:r>
            <w:r>
              <w:rPr>
                <w:rFonts w:ascii="Times New Roman" w:hAnsi="Times New Roman"/>
                <w:sz w:val="22"/>
                <w:szCs w:val="22"/>
              </w:rPr>
            </w:r>
            <w:r>
              <w:rPr>
                <w:rFonts w:ascii="Times New Roman" w:hAnsi="Times New Roman"/>
                <w:sz w:val="22"/>
                <w:szCs w:val="22"/>
              </w:rPr>
            </w:r>
          </w:p>
          <w:p>
            <w:pPr>
              <w:pStyle w:val="974"/>
              <w:numPr>
                <w:ilvl w:val="0"/>
                <w:numId w:val="11"/>
              </w:numPr>
              <w:pBdr/>
              <w:spacing/>
              <w:ind/>
              <w:jc w:val="both"/>
              <w:rPr>
                <w:rFonts w:ascii="Times New Roman" w:hAnsi="Times New Roman"/>
                <w:sz w:val="22"/>
                <w:szCs w:val="22"/>
              </w:rPr>
            </w:pPr>
            <w:r>
              <w:rPr>
                <w:rFonts w:ascii="Times New Roman" w:hAnsi="Times New Roman"/>
                <w:sz w:val="22"/>
                <w:szCs w:val="22"/>
              </w:rPr>
              <w:t xml:space="preserve">ОС отражаются ошибки, а именно:</w:t>
            </w:r>
            <w:r>
              <w:rPr>
                <w:rFonts w:ascii="Times New Roman" w:hAnsi="Times New Roman"/>
                <w:sz w:val="22"/>
                <w:szCs w:val="22"/>
              </w:rPr>
            </w:r>
            <w:r>
              <w:rPr>
                <w:rFonts w:ascii="Times New Roman" w:hAnsi="Times New Roman"/>
                <w:sz w:val="22"/>
                <w:szCs w:val="22"/>
              </w:rPr>
            </w:r>
          </w:p>
          <w:p>
            <w:pPr>
              <w:pStyle w:val="973"/>
              <w:pBdr/>
              <w:spacing/>
              <w:ind w:left="1418"/>
              <w:jc w:val="both"/>
              <w:rPr>
                <w:sz w:val="22"/>
                <w:szCs w:val="22"/>
              </w:rPr>
            </w:pPr>
            <w:r>
              <w:rPr>
                <w:sz w:val="22"/>
                <w:szCs w:val="22"/>
              </w:rPr>
              <w:t xml:space="preserve">а) по которым ведется учет не по одному КПС;</w:t>
            </w:r>
            <w:r>
              <w:rPr>
                <w:sz w:val="22"/>
                <w:szCs w:val="22"/>
              </w:rPr>
            </w:r>
            <w:r>
              <w:rPr>
                <w:sz w:val="22"/>
                <w:szCs w:val="22"/>
              </w:rPr>
            </w:r>
          </w:p>
          <w:p>
            <w:pPr>
              <w:pStyle w:val="973"/>
              <w:pBdr/>
              <w:spacing/>
              <w:ind w:left="1418"/>
              <w:jc w:val="both"/>
              <w:rPr>
                <w:sz w:val="22"/>
                <w:szCs w:val="22"/>
              </w:rPr>
            </w:pPr>
            <w:r>
              <w:rPr>
                <w:sz w:val="22"/>
                <w:szCs w:val="22"/>
              </w:rPr>
              <w:t xml:space="preserve">б) учета амортизации и балансовой стоимости в карточке ОС на счетах бухгалтерского учет</w:t>
            </w:r>
            <w:r>
              <w:rPr>
                <w:sz w:val="22"/>
                <w:szCs w:val="22"/>
              </w:rPr>
            </w:r>
            <w:r>
              <w:rPr>
                <w:sz w:val="22"/>
                <w:szCs w:val="22"/>
              </w:rPr>
            </w:r>
          </w:p>
          <w:p>
            <w:pPr>
              <w:pStyle w:val="973"/>
              <w:pBdr/>
              <w:spacing/>
              <w:ind w:left="1418"/>
              <w:jc w:val="both"/>
              <w:rPr>
                <w:sz w:val="22"/>
                <w:szCs w:val="22"/>
              </w:rPr>
            </w:pPr>
            <w:r>
              <w:rPr>
                <w:sz w:val="22"/>
                <w:szCs w:val="22"/>
              </w:rPr>
              <w:t xml:space="preserve">в) расчета начисленной амортизации.</w:t>
            </w:r>
            <w:r>
              <w:rPr>
                <w:sz w:val="22"/>
                <w:szCs w:val="22"/>
              </w:rPr>
            </w:r>
            <w:r>
              <w:rPr>
                <w:sz w:val="22"/>
                <w:szCs w:val="22"/>
              </w:rPr>
            </w:r>
          </w:p>
          <w:p>
            <w:pPr>
              <w:pStyle w:val="973"/>
              <w:numPr>
                <w:ilvl w:val="0"/>
                <w:numId w:val="12"/>
              </w:numPr>
              <w:pBdr/>
              <w:spacing/>
              <w:ind w:hanging="357" w:left="1139"/>
              <w:jc w:val="both"/>
              <w:rPr>
                <w:sz w:val="22"/>
                <w:szCs w:val="22"/>
              </w:rPr>
            </w:pPr>
            <w:r>
              <w:rPr>
                <w:sz w:val="22"/>
                <w:szCs w:val="22"/>
              </w:rPr>
              <w:t xml:space="preserve">операциям учета НДС;</w:t>
            </w:r>
            <w:r>
              <w:rPr>
                <w:sz w:val="22"/>
                <w:szCs w:val="22"/>
              </w:rPr>
            </w:r>
            <w:r>
              <w:rPr>
                <w:sz w:val="22"/>
                <w:szCs w:val="22"/>
              </w:rPr>
            </w:r>
          </w:p>
          <w:p>
            <w:pPr>
              <w:pStyle w:val="973"/>
              <w:numPr>
                <w:ilvl w:val="0"/>
                <w:numId w:val="12"/>
              </w:numPr>
              <w:pBdr/>
              <w:spacing/>
              <w:ind w:hanging="357" w:left="1139"/>
              <w:jc w:val="both"/>
              <w:rPr>
                <w:sz w:val="22"/>
                <w:szCs w:val="22"/>
              </w:rPr>
            </w:pPr>
            <w:r>
              <w:rPr>
                <w:sz w:val="22"/>
                <w:szCs w:val="22"/>
              </w:rPr>
              <w:t xml:space="preserve">операциям учета МЗ по фактической стоимости;</w:t>
            </w:r>
            <w:r>
              <w:rPr>
                <w:sz w:val="22"/>
                <w:szCs w:val="22"/>
              </w:rPr>
            </w:r>
            <w:r>
              <w:rPr>
                <w:sz w:val="22"/>
                <w:szCs w:val="22"/>
              </w:rPr>
            </w:r>
          </w:p>
          <w:p>
            <w:pPr>
              <w:pStyle w:val="973"/>
              <w:numPr>
                <w:ilvl w:val="0"/>
                <w:numId w:val="12"/>
              </w:numPr>
              <w:pBdr/>
              <w:spacing/>
              <w:ind w:hanging="357" w:left="1139"/>
              <w:jc w:val="both"/>
              <w:rPr>
                <w:sz w:val="22"/>
                <w:szCs w:val="22"/>
              </w:rPr>
            </w:pPr>
            <w:r>
              <w:rPr>
                <w:sz w:val="22"/>
                <w:szCs w:val="22"/>
              </w:rPr>
              <w:t xml:space="preserve">операциям, в которых отражается списание просроченной задолженности.</w:t>
            </w:r>
            <w:r>
              <w:rPr>
                <w:sz w:val="22"/>
                <w:szCs w:val="22"/>
              </w:rPr>
            </w:r>
            <w:r>
              <w:rPr>
                <w:sz w:val="22"/>
                <w:szCs w:val="22"/>
              </w:rPr>
            </w:r>
          </w:p>
          <w:p>
            <w:pPr>
              <w:pStyle w:val="973"/>
              <w:pBdr/>
              <w:spacing/>
              <w:ind w:left="1139"/>
              <w:jc w:val="both"/>
              <w:rPr>
                <w:sz w:val="22"/>
                <w:szCs w:val="22"/>
              </w:rPr>
            </w:pPr>
            <w:r>
              <w:rPr>
                <w:sz w:val="22"/>
                <w:szCs w:val="22"/>
              </w:rPr>
              <w:t xml:space="preserve">Отчет должен формироваться за необходимый период. Каждая строка в данном отчете должна раскрываться на документ, где была допущена ошибка.</w:t>
            </w:r>
            <w:r>
              <w:rPr>
                <w:sz w:val="22"/>
                <w:szCs w:val="22"/>
              </w:rPr>
            </w:r>
            <w:r>
              <w:rPr>
                <w:sz w:val="22"/>
                <w:szCs w:val="22"/>
              </w:rPr>
            </w:r>
          </w:p>
          <w:p>
            <w:pPr>
              <w:pStyle w:val="973"/>
              <w:numPr>
                <w:ilvl w:val="0"/>
                <w:numId w:val="13"/>
              </w:numPr>
              <w:pBdr/>
              <w:spacing/>
              <w:ind/>
              <w:jc w:val="both"/>
              <w:rPr>
                <w:sz w:val="22"/>
                <w:szCs w:val="22"/>
              </w:rPr>
            </w:pPr>
            <w:r>
              <w:rPr>
                <w:rFonts w:eastAsia="Arial"/>
                <w:sz w:val="22"/>
                <w:szCs w:val="22"/>
              </w:rPr>
              <w:t xml:space="preserve">отчет «Анализ исполнения договоров с поставщиками», в котором д</w:t>
            </w:r>
            <w:r>
              <w:rPr>
                <w:sz w:val="22"/>
                <w:szCs w:val="22"/>
              </w:rPr>
              <w:t xml:space="preserve">анные выводятся в разрезе по контрагентам, договорам, КФО, КПС, КЭК. В этом от</w:t>
            </w:r>
            <w:r>
              <w:rPr>
                <w:sz w:val="22"/>
                <w:szCs w:val="22"/>
              </w:rPr>
              <w:t xml:space="preserve">чете должна отражаться информация о принятых бюджетных обязательствах, принятых денежных обязательствах, начальных и конечных остатках выданных авансов; должны видны быть полученные суммы, суммы, оплаченные поставщику, начальное и конечное сальдо расчетов.</w:t>
            </w:r>
            <w:r>
              <w:rPr>
                <w:sz w:val="22"/>
                <w:szCs w:val="22"/>
              </w:rPr>
            </w:r>
            <w:r>
              <w:rPr>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администрирования доходов</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jc w:val="both"/>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формат обмена с ОФК (УФК) АДБ для загрузки «Выписки из лицевого счета администратора доходов бюджета». В выписке из лицевого счета должны отражаться документы посту</w:t>
            </w:r>
            <w:r>
              <w:rPr>
                <w:rFonts w:ascii="Times New Roman" w:hAnsi="Times New Roman" w:eastAsia="Tahoma"/>
                <w:color w:val="000000"/>
                <w:sz w:val="22"/>
                <w:szCs w:val="22"/>
                <w:shd w:val="clear" w:color="auto" w:fill="ffffff"/>
              </w:rPr>
              <w:t xml:space="preserve">пления денежных средств (документы кассовых поступлений), суммы поступлений, возвратов и зачетов, неисполненные операции, служебные отметки. При проведении документа кассового поступления должны формироваться проводки в дебет выбранного счета и кредит 205,</w:t>
            </w:r>
            <w:r>
              <w:rPr>
                <w:rFonts w:ascii="Times New Roman" w:hAnsi="Times New Roman"/>
                <w:sz w:val="22"/>
                <w:szCs w:val="22"/>
              </w:rPr>
            </w:r>
            <w:r>
              <w:rPr>
                <w:rFonts w:ascii="Times New Roman" w:hAnsi="Times New Roman"/>
                <w:sz w:val="22"/>
                <w:szCs w:val="22"/>
              </w:rPr>
            </w:r>
          </w:p>
          <w:p>
            <w:pPr>
              <w:pStyle w:val="97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загрузка начисленных платежей должна осуществляться специальной обработкой в документ реализация услуг. Для этого в документе должен быть добавлен вид операции «Начисление АДБ» для формирования проводок в дебет счета 205,</w:t>
            </w:r>
            <w:r>
              <w:rPr>
                <w:rFonts w:ascii="Times New Roman" w:hAnsi="Times New Roman"/>
                <w:sz w:val="22"/>
                <w:szCs w:val="22"/>
              </w:rPr>
            </w:r>
            <w:r>
              <w:rPr>
                <w:rFonts w:ascii="Times New Roman" w:hAnsi="Times New Roman"/>
                <w:sz w:val="22"/>
                <w:szCs w:val="22"/>
              </w:rPr>
            </w:r>
          </w:p>
          <w:p>
            <w:pPr>
              <w:pStyle w:val="97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расширенная загрузка документов из органа Федерального казначейства, а именно – информация о плательщиках, ОКАТО платежа,</w:t>
            </w:r>
            <w:r>
              <w:rPr>
                <w:rFonts w:ascii="Times New Roman" w:hAnsi="Times New Roman"/>
                <w:sz w:val="22"/>
                <w:szCs w:val="22"/>
              </w:rPr>
            </w:r>
            <w:r>
              <w:rPr>
                <w:rFonts w:ascii="Times New Roman" w:hAnsi="Times New Roman"/>
                <w:sz w:val="22"/>
                <w:szCs w:val="22"/>
              </w:rPr>
            </w:r>
          </w:p>
          <w:p>
            <w:pPr>
              <w:pStyle w:val="97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в документе «Извещение» должна быть добавлена операция «Передача АДБ» для использования в случае передачи платежей подведомственными учреждениям для автоматического заполнения документа «Извещение» по ОКАТМО подведомственного/иного учреждения (проводка </w:t>
            </w:r>
            <w:r>
              <w:rPr>
                <w:rFonts w:ascii="Times New Roman" w:hAnsi="Times New Roman" w:eastAsia="Tahoma"/>
                <w:color w:val="000000"/>
                <w:sz w:val="22"/>
                <w:szCs w:val="22"/>
                <w:shd w:val="clear" w:color="auto" w:fill="ffffff"/>
              </w:rPr>
              <w:t xml:space="preserve">Дт</w:t>
            </w:r>
            <w:r>
              <w:rPr>
                <w:rFonts w:ascii="Times New Roman" w:hAnsi="Times New Roman" w:eastAsia="Tahoma"/>
                <w:color w:val="000000"/>
                <w:sz w:val="22"/>
                <w:szCs w:val="22"/>
                <w:shd w:val="clear" w:color="auto" w:fill="ffffff"/>
              </w:rPr>
              <w:t xml:space="preserve"> 205 </w:t>
            </w:r>
            <w:r>
              <w:rPr>
                <w:rFonts w:ascii="Times New Roman" w:hAnsi="Times New Roman" w:eastAsia="Tahoma"/>
                <w:color w:val="000000"/>
                <w:sz w:val="22"/>
                <w:szCs w:val="22"/>
                <w:shd w:val="clear" w:color="auto" w:fill="ffffff"/>
              </w:rPr>
              <w:t xml:space="preserve">Кт</w:t>
            </w:r>
            <w:r>
              <w:rPr>
                <w:rFonts w:ascii="Times New Roman" w:hAnsi="Times New Roman" w:eastAsia="Tahoma"/>
                <w:color w:val="000000"/>
                <w:sz w:val="22"/>
                <w:szCs w:val="22"/>
                <w:shd w:val="clear" w:color="auto" w:fill="ffffff"/>
              </w:rPr>
              <w:t xml:space="preserve"> 304.04),</w:t>
            </w:r>
            <w:r>
              <w:rPr>
                <w:rFonts w:ascii="Times New Roman" w:hAnsi="Times New Roman"/>
                <w:sz w:val="22"/>
                <w:szCs w:val="22"/>
              </w:rPr>
            </w:r>
            <w:r>
              <w:rPr>
                <w:rFonts w:ascii="Times New Roman" w:hAnsi="Times New Roman"/>
                <w:sz w:val="22"/>
                <w:szCs w:val="22"/>
              </w:rPr>
            </w:r>
          </w:p>
          <w:p>
            <w:pPr>
              <w:pStyle w:val="974"/>
              <w:numPr>
                <w:ilvl w:val="0"/>
                <w:numId w:val="13"/>
              </w:numPr>
              <w:pBdr/>
              <w:spacing/>
              <w:ind/>
              <w:jc w:val="both"/>
              <w:rPr>
                <w:rFonts w:ascii="Times New Roman" w:hAnsi="Times New Roman"/>
                <w:sz w:val="22"/>
                <w:szCs w:val="22"/>
              </w:rPr>
            </w:pPr>
            <w:r>
              <w:rPr>
                <w:rFonts w:ascii="Times New Roman" w:hAnsi="Times New Roman" w:eastAsia="Tahoma"/>
                <w:color w:val="000000"/>
                <w:sz w:val="22"/>
                <w:szCs w:val="22"/>
                <w:shd w:val="clear" w:color="auto" w:fill="ffffff"/>
              </w:rPr>
              <w:t xml:space="preserve">отчеты по сопоставлению начисленных сумм и сумм поступившей оплаты (по наименованию Контрагента).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Формирование бухгалтерской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Style w:val="973"/>
              <w:pBdr/>
              <w:spacing/>
              <w:ind/>
              <w:jc w:val="both"/>
              <w:rPr>
                <w:sz w:val="22"/>
                <w:szCs w:val="22"/>
              </w:rPr>
            </w:pPr>
            <w:r>
              <w:rPr>
                <w:sz w:val="22"/>
                <w:szCs w:val="22"/>
              </w:rPr>
              <w:t xml:space="preserve">В программном продукте</w:t>
            </w:r>
            <w:r>
              <w:rPr>
                <w:b/>
                <w:bCs/>
                <w:sz w:val="22"/>
                <w:szCs w:val="22"/>
              </w:rPr>
              <w:t xml:space="preserve"> </w:t>
            </w:r>
            <w:r>
              <w:rPr>
                <w:rFonts w:eastAsia="Tahoma"/>
                <w:sz w:val="22"/>
                <w:szCs w:val="22"/>
              </w:rPr>
              <w:t xml:space="preserve">должен быть</w:t>
            </w:r>
            <w:r>
              <w:rPr>
                <w:sz w:val="22"/>
                <w:szCs w:val="22"/>
              </w:rPr>
              <w:t xml:space="preserve"> реализован «Помощник формирования бухгалтерской отчетности», который должен быть предназначен для автоматического заполнения регламентированной бухгалтерской отчетности.</w:t>
            </w:r>
            <w:r>
              <w:rPr>
                <w:sz w:val="22"/>
                <w:szCs w:val="22"/>
              </w:rPr>
            </w:r>
            <w:r>
              <w:rPr>
                <w:sz w:val="22"/>
                <w:szCs w:val="22"/>
              </w:rPr>
            </w:r>
          </w:p>
          <w:p>
            <w:pPr>
              <w:pBdr/>
              <w:tabs>
                <w:tab w:val="left" w:leader="none" w:pos="690"/>
              </w:tabs>
              <w:spacing/>
              <w:ind w:hanging="255"/>
              <w:jc w:val="both"/>
              <w:rPr>
                <w:rFonts w:ascii="Times New Roman" w:hAnsi="Times New Roman" w:eastAsia="Tahoma"/>
                <w:color w:val="000000"/>
                <w:sz w:val="22"/>
                <w:szCs w:val="22"/>
                <w:shd w:val="clear" w:color="auto" w:fill="ffffff"/>
              </w:rPr>
            </w:pPr>
            <w:r>
              <w:rPr>
                <w:rFonts w:ascii="Times New Roman" w:hAnsi="Times New Roman" w:eastAsia="Tahoma"/>
                <w:color w:val="000000"/>
                <w:sz w:val="22"/>
                <w:szCs w:val="22"/>
                <w:shd w:val="clear" w:color="auto" w:fill="ffffff"/>
              </w:rPr>
              <w:tab/>
              <w:t xml:space="preserve">Благодаря помощнику (максимум за 5 шагов) должен выгружаться необходимый комплект готовых отчетов, а именно:</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выбор отчетов, которые входят в состав комплекта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готовности данных в базе к формированию отчетов с выводом ошибок;</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формирование отчетов согласно заданному комплекту отчетности;</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проверка контрольных соотношений;</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p>
            <w:pPr>
              <w:pStyle w:val="974"/>
              <w:numPr>
                <w:ilvl w:val="0"/>
                <w:numId w:val="15"/>
              </w:numPr>
              <w:pBdr/>
              <w:tabs>
                <w:tab w:val="left" w:leader="none" w:pos="690"/>
              </w:tabs>
              <w:spacing/>
              <w:ind w:hanging="357" w:left="714"/>
              <w:jc w:val="both"/>
              <w:rPr>
                <w:rFonts w:ascii="Times New Roman" w:hAnsi="Times New Roman" w:eastAsia="Tahoma"/>
                <w:color w:val="000000"/>
                <w:sz w:val="22"/>
                <w:szCs w:val="22"/>
                <w:shd w:val="clear" w:color="auto" w:fill="ffffff"/>
              </w:rPr>
            </w:pPr>
            <w:r>
              <w:rPr>
                <w:rFonts w:ascii="Times New Roman" w:hAnsi="Times New Roman"/>
                <w:sz w:val="22"/>
                <w:szCs w:val="22"/>
              </w:rPr>
              <w:t xml:space="preserve">печать и выгрузка отчетов.</w:t>
            </w:r>
            <w:r>
              <w:rPr>
                <w:rFonts w:ascii="Times New Roman" w:hAnsi="Times New Roman" w:eastAsia="Tahoma"/>
                <w:color w:val="000000"/>
                <w:sz w:val="22"/>
                <w:szCs w:val="22"/>
                <w:shd w:val="clear" w:color="auto" w:fill="ffffff"/>
              </w:rPr>
            </w:r>
            <w:r>
              <w:rPr>
                <w:rFonts w:ascii="Times New Roman" w:hAnsi="Times New Roman" w:eastAsia="Tahoma"/>
                <w:color w:val="000000"/>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Учет бланков строгой отчетности</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w:t>
            </w:r>
            <w:r>
              <w:rPr>
                <w:rFonts w:ascii="Times New Roman" w:hAnsi="Times New Roman"/>
                <w:sz w:val="22"/>
                <w:szCs w:val="22"/>
              </w:rPr>
            </w:r>
            <w:r>
              <w:rPr>
                <w:rFonts w:ascii="Times New Roman" w:hAnsi="Times New Roman"/>
                <w:sz w:val="22"/>
                <w:szCs w:val="22"/>
              </w:rPr>
            </w:r>
          </w:p>
          <w:p>
            <w:pPr>
              <w:pStyle w:val="974"/>
              <w:numPr>
                <w:ilvl w:val="0"/>
                <w:numId w:val="16"/>
              </w:numPr>
              <w:pBdr/>
              <w:spacing/>
              <w:ind/>
              <w:rPr>
                <w:rFonts w:ascii="Times New Roman" w:hAnsi="Times New Roman"/>
                <w:sz w:val="22"/>
                <w:szCs w:val="22"/>
              </w:rPr>
            </w:pPr>
            <w:r>
              <w:rPr>
                <w:rFonts w:ascii="Times New Roman" w:hAnsi="Times New Roman" w:eastAsia="Times New Roman"/>
                <w:color w:val="000000"/>
                <w:sz w:val="22"/>
                <w:szCs w:val="22"/>
                <w:shd w:val="clear" w:color="auto" w:fill="ffffff"/>
              </w:rPr>
              <w:t xml:space="preserve">операции по учету бланков строгой отчетности, а именно </w:t>
            </w:r>
            <w:r>
              <w:rPr>
                <w:rFonts w:ascii="Times New Roman" w:hAnsi="Times New Roman"/>
                <w:sz w:val="22"/>
                <w:szCs w:val="22"/>
              </w:rPr>
              <w:t xml:space="preserve">поступление, внутреннее перемещение, списание и инвентаризация (</w:t>
            </w:r>
            <w:r>
              <w:rPr>
                <w:rFonts w:ascii="Times New Roman" w:hAnsi="Times New Roman" w:eastAsia="Times New Roman"/>
                <w:color w:val="000000"/>
                <w:sz w:val="22"/>
                <w:szCs w:val="22"/>
                <w:shd w:val="clear" w:color="auto" w:fill="ffffff"/>
              </w:rPr>
              <w:t xml:space="preserve">операции должны оформляться документами, которые имеют печатные формы «Акт приема БСО», «Акт списания БСО» и при проведении документов должны формироваться соответствующие проводки по бухгалтерскому учету</w:t>
            </w:r>
            <w:r>
              <w:rPr>
                <w:rFonts w:ascii="Times New Roman" w:hAnsi="Times New Roman"/>
                <w:sz w:val="22"/>
                <w:szCs w:val="22"/>
              </w:rPr>
              <w:t xml:space="preserve">)</w:t>
            </w:r>
            <w:r>
              <w:rPr>
                <w:rFonts w:ascii="Times New Roman" w:hAnsi="Times New Roman"/>
                <w:sz w:val="22"/>
                <w:szCs w:val="22"/>
              </w:rPr>
            </w:r>
            <w:r>
              <w:rPr>
                <w:rFonts w:ascii="Times New Roman" w:hAnsi="Times New Roman"/>
                <w:sz w:val="22"/>
                <w:szCs w:val="22"/>
              </w:rPr>
            </w:r>
          </w:p>
          <w:p>
            <w:pPr>
              <w:pStyle w:val="974"/>
              <w:numPr>
                <w:ilvl w:val="0"/>
                <w:numId w:val="16"/>
              </w:numPr>
              <w:pBdr/>
              <w:spacing/>
              <w:ind/>
              <w:rPr>
                <w:rFonts w:ascii="Times New Roman" w:hAnsi="Times New Roman"/>
                <w:sz w:val="22"/>
                <w:szCs w:val="22"/>
              </w:rPr>
            </w:pPr>
            <w:r>
              <w:rPr>
                <w:rFonts w:ascii="Times New Roman" w:hAnsi="Times New Roman" w:eastAsia="Tahoma"/>
                <w:sz w:val="22"/>
                <w:szCs w:val="22"/>
              </w:rPr>
              <w:t xml:space="preserve">возможность вести учет бланков строгой отчетности, </w:t>
            </w:r>
            <w:r>
              <w:rPr>
                <w:rFonts w:ascii="Times New Roman" w:hAnsi="Times New Roman"/>
                <w:sz w:val="22"/>
                <w:szCs w:val="22"/>
              </w:rPr>
              <w:t xml:space="preserve">либо по условной оценке – один бланк, один рубль, либо, в случаях установленной учреждением в рамках формирования учетной политики, по стоимости приобретения бланков.</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Bdr/>
              <w:spacing/>
              <w:ind/>
              <w:rPr>
                <w:rFonts w:ascii="Times New Roman" w:hAnsi="Times New Roman"/>
                <w:sz w:val="22"/>
                <w:szCs w:val="22"/>
              </w:rPr>
            </w:pPr>
            <w:r>
              <w:rPr>
                <w:rFonts w:ascii="Times New Roman" w:hAnsi="Times New Roman"/>
                <w:sz w:val="22"/>
                <w:szCs w:val="22"/>
                <w:shd w:val="clear" w:color="auto" w:fill="ffffff"/>
              </w:rPr>
              <w:t xml:space="preserve">Учет расчета и начисления заработной платы сотрудникам и осужденным, а также ведение кадрового учета и получения регламентированной отчетности в налоговые органы и Пенсионный фонд.</w:t>
            </w:r>
            <w:r>
              <w:rPr>
                <w:rFonts w:ascii="Times New Roman" w:hAnsi="Times New Roman"/>
                <w:sz w:val="22"/>
                <w:szCs w:val="22"/>
              </w:rPr>
            </w:r>
            <w:r>
              <w:rPr>
                <w:rFonts w:ascii="Times New Roman" w:hAnsi="Times New Roman"/>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w:t>
            </w:r>
            <w:r>
              <w:rPr>
                <w:rFonts w:ascii="Times New Roman" w:hAnsi="Times New Roman" w:eastAsia="Times New Roman"/>
                <w:sz w:val="22"/>
                <w:szCs w:val="22"/>
                <w:lang w:eastAsia="ru-RU"/>
              </w:rPr>
              <w:t xml:space="preserve">многофирменный</w:t>
            </w:r>
            <w:r>
              <w:rPr>
                <w:rFonts w:ascii="Times New Roman" w:hAnsi="Times New Roman" w:eastAsia="Times New Roman"/>
                <w:sz w:val="22"/>
                <w:szCs w:val="22"/>
                <w:lang w:eastAsia="ru-RU"/>
              </w:rPr>
              <w:t xml:space="preserve"> учет: расчет и учет зарплаты сотрудников, работающих в нескольких учреждениях;</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оформление документов приема, перемещения и увольнения сотрудников в соответствии со штатным расписанием учреждения, составление графика отпусков, приказов о поощрении, взыскании;</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кадровый учет государственных служащих по группам и категориям;</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любой вид трудового стажа каждого сотрудника, в том числе стаж государственной (муниципальной) службы;</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начислять государственным служащим оклад в соответствии с присвоенным классным чином, а также все необходимые ежемесячные и иные дополнительные выплаты;</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зарплату с учетом новых систем оплаты труда работников федеральных бюджетных учреждений;</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вести табель учета рабочего времени в часах и минутах, в табеле можно учитывать сверхурочное, вечернее, ночное время работы;</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все необходимые бюджетные формы документов (0504403, 0504401, 0504417, 0504425, 0504421);</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рассчитывать и начислять зарплату по каждому сотруднику с учетом КБК, источников финансирования, статей затрат;</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проводить расчет всех видов налогов, отчислений во внебюджетные фонды и сборов, предусмотренных законодательством, как по каждому сотруднику, так и в целом по учреждению;</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контролировать изменения начислений в предыдущих периодах, с возможностью автоматического перерасчета </w:t>
            </w:r>
            <w:r>
              <w:rPr>
                <w:rFonts w:ascii="Times New Roman" w:hAnsi="Times New Roman" w:eastAsia="Times New Roman"/>
                <w:sz w:val="22"/>
                <w:szCs w:val="22"/>
                <w:lang w:eastAsia="ru-RU"/>
              </w:rPr>
              <w:t xml:space="preserve">налогов;</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перерасчет ранее сформированных документов - табеля, больничного, отпуска;</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формировать различные виды выходных документов: расчетные листки, своды, ведомости, карточки, справки о доходах, налоговые карточки, отчеты в налоговые органы и в пенсионный фонд как в бумажном, так и в электронном виде;</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проводки по бухгалтерскому учету на основании документов по расчету заработной платы, которые должны отражаться в 6 журнале, в главной книге и в балансе;</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sz w:val="22"/>
                <w:szCs w:val="22"/>
              </w:rPr>
              <w:t xml:space="preserve">формировать денежный аттестат при увольнении сотрудников;</w:t>
            </w:r>
            <w:r>
              <w:rPr>
                <w:rFonts w:ascii="Times New Roman" w:hAnsi="Times New Roman"/>
                <w:sz w:val="22"/>
                <w:szCs w:val="22"/>
              </w:rPr>
            </w:r>
            <w:r>
              <w:rPr>
                <w:rFonts w:ascii="Times New Roman" w:hAnsi="Times New Roman"/>
                <w:sz w:val="22"/>
                <w:szCs w:val="22"/>
              </w:rPr>
            </w:r>
          </w:p>
          <w:p>
            <w:pPr>
              <w:pStyle w:val="974"/>
              <w:numPr>
                <w:ilvl w:val="0"/>
                <w:numId w:val="17"/>
              </w:numPr>
              <w:pBdr/>
              <w:spacing/>
              <w:ind/>
              <w:rPr>
                <w:rFonts w:ascii="Times New Roman" w:hAnsi="Times New Roman"/>
                <w:sz w:val="22"/>
                <w:szCs w:val="22"/>
              </w:rPr>
            </w:pPr>
            <w:r>
              <w:rPr>
                <w:rFonts w:ascii="Times New Roman" w:hAnsi="Times New Roman" w:eastAsia="Times New Roman"/>
                <w:sz w:val="22"/>
                <w:szCs w:val="22"/>
                <w:lang w:eastAsia="ru-RU"/>
              </w:rPr>
              <w:t xml:space="preserve">производить выгрузку данных в ЕГИСЗ;</w:t>
            </w:r>
            <w:r>
              <w:rPr>
                <w:rFonts w:ascii="Times New Roman" w:hAnsi="Times New Roman"/>
                <w:sz w:val="22"/>
                <w:szCs w:val="22"/>
              </w:rPr>
            </w:r>
            <w:r>
              <w:rPr>
                <w:rFonts w:ascii="Times New Roman" w:hAnsi="Times New Roman"/>
                <w:sz w:val="22"/>
                <w:szCs w:val="22"/>
              </w:rPr>
            </w:r>
          </w:p>
          <w:p>
            <w:pPr>
              <w:numPr>
                <w:ilvl w:val="0"/>
                <w:numId w:val="17"/>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своды, ведомости, карточки, справки, расчетные листки;</w:t>
            </w:r>
            <w:r>
              <w:rPr>
                <w:rFonts w:ascii="Times New Roman" w:hAnsi="Times New Roman" w:eastAsia="Times New Roman"/>
                <w:sz w:val="22"/>
                <w:szCs w:val="22"/>
                <w:lang w:eastAsia="ru-RU"/>
              </w:rPr>
            </w:r>
            <w:r>
              <w:rPr>
                <w:rFonts w:ascii="Times New Roman" w:hAnsi="Times New Roman" w:eastAsia="Times New Roman"/>
                <w:sz w:val="22"/>
                <w:szCs w:val="22"/>
              </w:rPr>
            </w:r>
          </w:p>
          <w:p>
            <w:pPr>
              <w:numPr>
                <w:ilvl w:val="0"/>
                <w:numId w:val="17"/>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справки о доходах физического лица по форме № 2-НДФЛ; 6-НДФЛ</w:t>
            </w:r>
            <w:r>
              <w:rPr>
                <w:rFonts w:ascii="Times New Roman" w:hAnsi="Times New Roman" w:eastAsia="Times New Roman"/>
                <w:sz w:val="22"/>
                <w:szCs w:val="22"/>
                <w:lang w:eastAsia="ru-RU"/>
              </w:rPr>
            </w:r>
            <w:r>
              <w:rPr>
                <w:rFonts w:ascii="Times New Roman" w:hAnsi="Times New Roman" w:eastAsia="Times New Roman"/>
                <w:sz w:val="22"/>
                <w:szCs w:val="22"/>
              </w:rPr>
            </w:r>
          </w:p>
          <w:p>
            <w:pPr>
              <w:numPr>
                <w:ilvl w:val="0"/>
                <w:numId w:val="17"/>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получать отчеты о сведениях в Пенсионный фонд РФ по формам: АДВ-1,2,3, АДВ-6-2, СЗВ-6-1,2, ДСВ-1,3);</w:t>
            </w:r>
            <w:r>
              <w:rPr>
                <w:rFonts w:ascii="Times New Roman" w:hAnsi="Times New Roman" w:eastAsia="Times New Roman"/>
                <w:sz w:val="22"/>
                <w:szCs w:val="22"/>
                <w:lang w:eastAsia="ru-RU"/>
              </w:rPr>
            </w:r>
            <w:r>
              <w:rPr>
                <w:rFonts w:ascii="Times New Roman" w:hAnsi="Times New Roman" w:eastAsia="Times New Roman"/>
                <w:sz w:val="22"/>
                <w:szCs w:val="22"/>
              </w:rPr>
            </w:r>
          </w:p>
          <w:p>
            <w:pPr>
              <w:numPr>
                <w:ilvl w:val="0"/>
                <w:numId w:val="17"/>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формировать отчет-расчет по начисленным и уплаченным страховым взносам РСВ-1 ПФР;</w:t>
            </w:r>
            <w:r>
              <w:rPr>
                <w:rFonts w:ascii="Times New Roman" w:hAnsi="Times New Roman" w:eastAsia="Times New Roman"/>
                <w:sz w:val="22"/>
                <w:szCs w:val="22"/>
                <w:lang w:eastAsia="ru-RU"/>
              </w:rPr>
            </w:r>
            <w:r>
              <w:rPr>
                <w:rFonts w:ascii="Times New Roman" w:hAnsi="Times New Roman" w:eastAsia="Times New Roman"/>
                <w:sz w:val="22"/>
                <w:szCs w:val="22"/>
              </w:rPr>
            </w:r>
          </w:p>
          <w:p>
            <w:pPr>
              <w:numPr>
                <w:ilvl w:val="0"/>
                <w:numId w:val="17"/>
              </w:numPr>
              <w:pBdr/>
              <w:spacing w:afterAutospacing="1"/>
              <w:ind/>
              <w:rPr>
                <w:rFonts w:ascii="Tahoma" w:hAnsi="Tahoma" w:eastAsia="Times New Roman" w:cs="Tahoma"/>
                <w:color w:val="333333"/>
                <w:sz w:val="22"/>
                <w:szCs w:val="22"/>
              </w:rPr>
            </w:pPr>
            <w:r>
              <w:rPr>
                <w:rFonts w:ascii="Times New Roman" w:hAnsi="Times New Roman" w:eastAsia="Times New Roman"/>
                <w:sz w:val="22"/>
                <w:szCs w:val="22"/>
                <w:lang w:eastAsia="ru-RU"/>
              </w:rPr>
              <w:t xml:space="preserve">выводить расчетную ведомость по средствам социального страхования РФ (4-ФСС).</w:t>
            </w:r>
            <w:r>
              <w:rPr>
                <w:rFonts w:ascii="Tahoma" w:hAnsi="Tahoma" w:eastAsia="Times New Roman" w:cs="Tahoma"/>
                <w:color w:val="333333"/>
                <w:sz w:val="22"/>
                <w:szCs w:val="22"/>
                <w:lang w:eastAsia="ru-RU"/>
              </w:rPr>
            </w:r>
            <w:r>
              <w:rPr>
                <w:rFonts w:ascii="Tahoma" w:hAnsi="Tahoma" w:eastAsia="Times New Roman" w:cs="Tahoma"/>
                <w:color w:val="333333"/>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16</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санкционирования расходов</w:t>
            </w:r>
            <w:r>
              <w:rPr>
                <w:rFonts w:ascii="Times New Roman" w:hAnsi="Times New Roman" w:eastAsia="Times New Roman" w:cs="Times New Roman"/>
                <w:color w:val="003399"/>
                <w:sz w:val="22"/>
                <w:szCs w:val="22"/>
                <w:lang w:eastAsia="ru-RU"/>
              </w:rPr>
            </w:r>
            <w:r>
              <w:rPr>
                <w:rFonts w:ascii="Times New Roman" w:hAnsi="Times New Roman" w:eastAsia="Times New Roman" w:cs="Times New Roman"/>
                <w:color w:val="003399"/>
                <w:sz w:val="22"/>
                <w:szCs w:val="22"/>
              </w:rPr>
            </w:r>
          </w:p>
        </w:tc>
        <w:tc>
          <w:tcPr>
            <w:tcBorders/>
            <w:tcW w:w="6375" w:type="dxa"/>
            <w:textDirection w:val="lrTb"/>
            <w:noWrap w:val="false"/>
          </w:tcPr>
          <w:p>
            <w:pPr>
              <w:pBdr/>
              <w:spacing w:after="45" w:beforeAutospacing="1"/>
              <w:ind/>
              <w:rPr>
                <w:rFonts w:ascii="Times New Roman" w:hAnsi="Times New Roman"/>
                <w:sz w:val="22"/>
                <w:szCs w:val="22"/>
              </w:rPr>
            </w:pPr>
            <w:r>
              <w:rPr>
                <w:rFonts w:ascii="Times New Roman" w:hAnsi="Times New Roman"/>
                <w:sz w:val="22"/>
                <w:szCs w:val="22"/>
              </w:rPr>
              <w:t xml:space="preserve">Автоматизация должна обеспечивать:</w:t>
            </w:r>
            <w:r>
              <w:rPr>
                <w:rFonts w:ascii="Times New Roman" w:hAnsi="Times New Roman"/>
                <w:sz w:val="22"/>
                <w:szCs w:val="22"/>
              </w:rPr>
            </w:r>
            <w:r>
              <w:rPr>
                <w:rFonts w:ascii="Times New Roman" w:hAnsi="Times New Roman"/>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полученных лимитов бюджетных обязательств, ассигнований, предельных объемов финансирования, далее – бюджетных данных,</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(Приложение № 2 к Приказу Минфина РФ от 30.09.2008 № 104н) бюджетополучателем для представления в Федеральное казначейство,</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в учете сумм бюджетных данных, доведенных до распорядителя бюджетных средств (ГРБС), подлежащих дальнейшему распределению по подведомственным учреждениям,</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Расходных расписаний ф. 0531722 для передачи в органы казначейства и формирования бухгалтерских записей по распределению бюджетных данных подведомственным получателям бюджетных средств, в том числе себе как получателю,</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сметных (плановых) назначений,</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отчета "План финансово-хозяйственной деятельности" по форме</w:t>
            </w:r>
            <w:r>
              <w:rPr>
                <w:rFonts w:ascii="Times New Roman" w:hAnsi="Times New Roman" w:eastAsia="Times New Roman"/>
                <w:color w:val="000000"/>
                <w:sz w:val="22"/>
                <w:szCs w:val="22"/>
                <w:lang w:eastAsia="ru-RU"/>
              </w:rPr>
              <w:t xml:space="preserve">, приведенной в Приложении к Порядку составления и утверждения плана финансово-хозяйственной деятельности государственных бюджетных учреждений, находящихся в ведении Министерства финансов Российской Федерации (утв. Приказом Минфина РФ от 30.08.2010 № 422),</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и экспорт Сведений об операциях с целевыми субсидиями, предоставленными государственному (муниципальному) учреждению (ф. 0501016) в </w:t>
            </w:r>
            <w:r>
              <w:rPr>
                <w:rFonts w:ascii="Times New Roman" w:hAnsi="Times New Roman" w:eastAsia="Times New Roman"/>
                <w:color w:val="000000"/>
                <w:sz w:val="22"/>
                <w:szCs w:val="22"/>
                <w:lang w:eastAsia="ru-RU"/>
              </w:rPr>
              <w:t xml:space="preserve">соответствии с Требованиями к плану финансово-хозяйственной деятельности государственного (муниципального) учреждения, утвержденными Приказом Минфина России от 28.07.2010 № 81н,</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Регистрацию и учет принятых обязательств, в том числе автоматический ввод денежных обязательств в соответствии с заданными настройками автоматического ввода денежных обязательств из документов приобретения НФА и услуг,</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при</w:t>
            </w:r>
            <w:r>
              <w:rPr>
                <w:rFonts w:ascii="Times New Roman" w:hAnsi="Times New Roman" w:eastAsia="Times New Roman"/>
                <w:color w:val="000000"/>
                <w:sz w:val="22"/>
                <w:szCs w:val="22"/>
                <w:lang w:eastAsia="ru-RU"/>
              </w:rPr>
              <w:t xml:space="preserve">нятия обязательств в пределах лимитов бюджетных обязательств, сметных (плановых) назначений, доведенных (утвержденных) по кодам классификации расходов соответствующего бюджета (ведомственной классификации), и с учетом принятых и неисполненных обязательств,</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доведенными лимитами бюджетных обязательств (ассигнованиями) и при необходимости предельными объемами финансирования расходов,</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выплат по источникам финансирования дефицита бюджета над доведенными бюджетными ассигнованиями,</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контроль </w:t>
            </w:r>
            <w:r>
              <w:rPr>
                <w:rFonts w:ascii="Times New Roman" w:hAnsi="Times New Roman" w:eastAsia="Times New Roman"/>
                <w:color w:val="000000"/>
                <w:sz w:val="22"/>
                <w:szCs w:val="22"/>
                <w:lang w:eastAsia="ru-RU"/>
              </w:rPr>
              <w:t xml:space="preserve">непревышения</w:t>
            </w:r>
            <w:r>
              <w:rPr>
                <w:rFonts w:ascii="Times New Roman" w:hAnsi="Times New Roman" w:eastAsia="Times New Roman"/>
                <w:color w:val="000000"/>
                <w:sz w:val="22"/>
                <w:szCs w:val="22"/>
                <w:lang w:eastAsia="ru-RU"/>
              </w:rPr>
              <w:t xml:space="preserve"> кассовых расходов над утвержденными сметными (плановыми) назначениями,</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18"/>
              </w:numPr>
              <w:pBdr/>
              <w:spacing w:after="45"/>
              <w:ind w:hanging="357" w:left="714"/>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перенос показателей по соответствующим аналитическим счетам с</w:t>
            </w:r>
            <w:r>
              <w:rPr>
                <w:rFonts w:ascii="Times New Roman" w:hAnsi="Times New Roman" w:eastAsia="Times New Roman"/>
                <w:color w:val="000000"/>
                <w:sz w:val="22"/>
                <w:szCs w:val="22"/>
                <w:lang w:eastAsia="ru-RU"/>
              </w:rPr>
              <w:t xml:space="preserve">анкционирования расходов, сформированных в отчетном финансовом году за первый, второй годы, следующие за текущим (очередным) финансовым годом (далее – показатели по санкционированию) на аналитические счета санкционирования расходов бюджета следующего года.</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17</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операций доведения бюджетных данных и кассового исполнения</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tc>
        <w:tc>
          <w:tcPr>
            <w:tcBorders/>
            <w:tcW w:w="6375" w:type="dxa"/>
            <w:textDirection w:val="lrTb"/>
            <w:noWrap w:val="false"/>
          </w:tcPr>
          <w:p>
            <w:p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 программном продукте должны быть предусмотрены оформление, печать, выгрузка в электронном виде в актуальных форматах Федерального казначейства, следующих документов:</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(ф. 0531801);</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кассовый расход (сокращенная) (ф. 0531851);</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Сводная заявка на кассовый расход (ф. 0531860);</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денег (ф. 0531802);</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получение наличных (банковская карта) (ф. 0531844);</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Заявка на возврат (ф. 0531803);</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аннулирование заявки (ф. 0531807);</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Уведомление об уточнении вида и принадлежности платежа (ф. 0531809);</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Платежное поручение (ф. 0401060);</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открытие лицевого счета (ф. 0510021);</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переоформление лицевого счета (ф. 0510025);</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Заявления на закрытие лицевого счета (ф. 0510026);</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19"/>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Заявление на получение денежных чековых книжек (ф. 0531242) и др.</w:t>
            </w:r>
            <w:r>
              <w:rPr>
                <w:rFonts w:ascii="Times New Roman" w:hAnsi="Times New Roman" w:eastAsia="Times New Roman"/>
                <w:sz w:val="22"/>
                <w:szCs w:val="22"/>
                <w:lang w:eastAsia="ru-RU"/>
              </w:rPr>
            </w:r>
            <w:r>
              <w:rPr>
                <w:rFonts w:ascii="Times New Roman" w:hAnsi="Times New Roman" w:eastAsia="Times New Roman"/>
                <w:sz w:val="22"/>
                <w:szCs w:val="22"/>
              </w:rPr>
            </w:r>
          </w:p>
          <w:p>
            <w:p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Должно быть предусмотрено проведение расчетно-платежных документов и формирование бухгалтерских записей, которые отражаются в Журнале операций с безналичными денежными </w:t>
            </w:r>
            <w:r>
              <w:rPr>
                <w:rFonts w:ascii="Times New Roman" w:hAnsi="Times New Roman" w:eastAsia="Times New Roman"/>
                <w:sz w:val="22"/>
                <w:szCs w:val="22"/>
                <w:lang w:eastAsia="ru-RU"/>
              </w:rPr>
              <w:t xml:space="preserve">средствами № 2 (ф. 0504071).</w:t>
            </w:r>
            <w:r>
              <w:rPr>
                <w:rFonts w:ascii="Times New Roman" w:hAnsi="Times New Roman" w:eastAsia="Times New Roman"/>
                <w:sz w:val="22"/>
                <w:szCs w:val="22"/>
                <w:lang w:eastAsia="ru-RU"/>
              </w:rPr>
            </w:r>
            <w:r>
              <w:rPr>
                <w:rFonts w:ascii="Times New Roman" w:hAnsi="Times New Roman" w:eastAsia="Times New Roman"/>
                <w:sz w:val="22"/>
                <w:szCs w:val="22"/>
              </w:rPr>
            </w:r>
          </w:p>
          <w:p>
            <w:p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Также необходима загрузка в электронном виде в форматах Федерального казначейства, формирование и печать следующих документов:</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0"/>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Протокол органа казначейства (ф. 0531805);</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0"/>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Расходное расписание (ф. 0531722);</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0"/>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Запрос на выяснение принадлежности платежа (ф. 0531808);</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0"/>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Выписка из лицевого счета (различных видов). При загрузке Выписок формируются документы для отражения кассового поступления, кассового выбытия и проводятся соответствующие расчетно-платежные д</w:t>
            </w:r>
            <w:r>
              <w:rPr>
                <w:rFonts w:ascii="Times New Roman" w:hAnsi="Times New Roman" w:eastAsia="Times New Roman"/>
                <w:sz w:val="22"/>
                <w:szCs w:val="22"/>
                <w:lang w:eastAsia="ru-RU"/>
              </w:rPr>
              <w:t xml:space="preserve">окументы для отражения кассовой выплаты. В документы, отражающие кассовые выплаты (поступления), загружаются данные документов-оснований отражения операций на л/с учреждения (платежные поручения и др. документы, сформированные органом ФК или плательщиком).</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0"/>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Отчет о состоянии лицевого счета (различных видов).</w:t>
            </w:r>
            <w:r>
              <w:rPr>
                <w:rFonts w:ascii="Times New Roman" w:hAnsi="Times New Roman" w:eastAsia="Times New Roman"/>
                <w:sz w:val="22"/>
                <w:szCs w:val="22"/>
                <w:lang w:eastAsia="ru-RU"/>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18</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наличных денежных средств и денежных документов</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Требования к составу автоматизированных функций участка:</w:t>
            </w:r>
            <w:r>
              <w:rPr>
                <w:rFonts w:ascii="Times New Roman" w:hAnsi="Times New Roman"/>
                <w:sz w:val="22"/>
                <w:szCs w:val="22"/>
              </w:rPr>
            </w:r>
            <w:r>
              <w:rPr>
                <w:rFonts w:ascii="Times New Roman" w:hAnsi="Times New Roman"/>
                <w:sz w:val="22"/>
                <w:szCs w:val="22"/>
              </w:rPr>
            </w:r>
          </w:p>
          <w:p>
            <w:pPr>
              <w:pStyle w:val="97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приходные и расходные кассовые ордера (ф. № КО-1 и № КО-2), объявления на взнос наличными (ф. 0402001) офо</w:t>
            </w:r>
            <w:r>
              <w:rPr>
                <w:rFonts w:ascii="Times New Roman" w:hAnsi="Times New Roman" w:eastAsia="Times New Roman"/>
                <w:color w:val="000000"/>
                <w:sz w:val="22"/>
                <w:szCs w:val="22"/>
                <w:lang w:eastAsia="ru-RU"/>
              </w:rPr>
              <w:t xml:space="preserve">рмляются по типовым унифицированным формам. Кассовые ордера можно оформлять как в рублях, так и в любой иностранной валюте. При проведении документов формируются бухгалтерские записи, которые отражаются в Журнале операций по счету "Касса" № 1 (ф. 0504071),</w:t>
            </w:r>
            <w:r>
              <w:rPr>
                <w:rFonts w:ascii="Times New Roman" w:hAnsi="Times New Roman"/>
                <w:sz w:val="22"/>
                <w:szCs w:val="22"/>
              </w:rPr>
            </w:r>
            <w:r>
              <w:rPr>
                <w:rFonts w:ascii="Times New Roman" w:hAnsi="Times New Roman"/>
                <w:sz w:val="22"/>
                <w:szCs w:val="22"/>
              </w:rPr>
            </w:r>
          </w:p>
          <w:p>
            <w:pPr>
              <w:pStyle w:val="97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кассовые ордера также можно оформлять по денежным документам. При формировании кассовых ордеров по денежным документам на них делается надпечатка "Фондовый". Движения денежных документов регистрируются на счетах бухгалтерского учета,</w:t>
            </w:r>
            <w:r>
              <w:rPr>
                <w:rFonts w:ascii="Times New Roman" w:hAnsi="Times New Roman"/>
                <w:sz w:val="22"/>
                <w:szCs w:val="22"/>
              </w:rPr>
            </w:r>
            <w:r>
              <w:rPr>
                <w:rFonts w:ascii="Times New Roman" w:hAnsi="Times New Roman"/>
                <w:sz w:val="22"/>
                <w:szCs w:val="22"/>
              </w:rPr>
            </w:r>
          </w:p>
          <w:p>
            <w:pPr>
              <w:pStyle w:val="97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ведение Журнала регистрации приходных и расходных ордеров" (ф. № КО-3) и Кассовой книги по форме № 0504514.</w:t>
            </w:r>
            <w:r>
              <w:rPr>
                <w:rFonts w:ascii="Times New Roman" w:hAnsi="Times New Roman"/>
                <w:sz w:val="22"/>
                <w:szCs w:val="22"/>
              </w:rPr>
            </w:r>
            <w:r>
              <w:rPr>
                <w:rFonts w:ascii="Times New Roman" w:hAnsi="Times New Roman"/>
                <w:sz w:val="22"/>
                <w:szCs w:val="22"/>
              </w:rPr>
            </w:r>
          </w:p>
          <w:p>
            <w:pPr>
              <w:pStyle w:val="974"/>
              <w:numPr>
                <w:ilvl w:val="0"/>
                <w:numId w:val="21"/>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кассовой книги должно быть реализовано по наличным денежным средствам и денежным документам. При этом необходимо предусмотреть два способа ведения кассовой книги:</w:t>
            </w:r>
            <w:r>
              <w:rPr>
                <w:rFonts w:ascii="Times New Roman" w:hAnsi="Times New Roman"/>
                <w:sz w:val="22"/>
                <w:szCs w:val="22"/>
              </w:rPr>
            </w:r>
            <w:r>
              <w:rPr>
                <w:rFonts w:ascii="Times New Roman" w:hAnsi="Times New Roman"/>
                <w:sz w:val="22"/>
                <w:szCs w:val="22"/>
              </w:rPr>
            </w:r>
          </w:p>
          <w:p>
            <w:pPr>
              <w:pStyle w:val="974"/>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единой кассовой книги (ф. 0504514) по наличным денежным средствам и денежным документам с единой последовательной нумерацией обычных листов кассовой книги и листов с отметкой (штампом) "Фондовый";</w:t>
            </w:r>
            <w:r>
              <w:rPr>
                <w:rFonts w:ascii="Times New Roman" w:hAnsi="Times New Roman"/>
                <w:sz w:val="22"/>
                <w:szCs w:val="22"/>
              </w:rPr>
            </w:r>
            <w:r>
              <w:rPr>
                <w:rFonts w:ascii="Times New Roman" w:hAnsi="Times New Roman"/>
                <w:sz w:val="22"/>
                <w:szCs w:val="22"/>
              </w:rPr>
            </w:r>
          </w:p>
          <w:p>
            <w:pPr>
              <w:pStyle w:val="974"/>
              <w:numPr>
                <w:ilvl w:val="0"/>
                <w:numId w:val="22"/>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формирование отдельной кассовой книги по форме 0504510 "Кассовая книга Фондовая" по операциям с денежными документами.</w:t>
            </w:r>
            <w:r>
              <w:rPr>
                <w:rFonts w:ascii="Times New Roman" w:hAnsi="Times New Roman"/>
                <w:sz w:val="22"/>
                <w:szCs w:val="22"/>
              </w:rPr>
            </w:r>
            <w:r>
              <w:rPr>
                <w:rFonts w:ascii="Times New Roman" w:hAnsi="Times New Roman"/>
                <w:sz w:val="22"/>
                <w:szCs w:val="22"/>
              </w:rPr>
            </w:r>
          </w:p>
          <w:p>
            <w:pPr>
              <w:pStyle w:val="97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должны быть учтены особенности наличного обращения при расчетах через органы Федерального казначейства, в том числе особенности осуществления операций по обеспечению наличными деньгами получателей средств бюджетов, </w:t>
            </w:r>
            <w:r>
              <w:rPr>
                <w:rFonts w:ascii="Times New Roman" w:hAnsi="Times New Roman" w:eastAsia="Times New Roman"/>
                <w:color w:val="000000"/>
                <w:sz w:val="22"/>
                <w:szCs w:val="22"/>
                <w:lang w:eastAsia="ru-RU"/>
              </w:rPr>
              <w:t xml:space="preserve">неучастников</w:t>
            </w:r>
            <w:r>
              <w:rPr>
                <w:rFonts w:ascii="Times New Roman" w:hAnsi="Times New Roman" w:eastAsia="Times New Roman"/>
                <w:color w:val="000000"/>
                <w:sz w:val="22"/>
                <w:szCs w:val="22"/>
                <w:lang w:eastAsia="ru-RU"/>
              </w:rPr>
              <w:t xml:space="preserve"> бюджетного процесса и уполномоченных подразделений с использованием карт,</w:t>
            </w:r>
            <w:r>
              <w:rPr>
                <w:rFonts w:ascii="Times New Roman" w:hAnsi="Times New Roman"/>
                <w:sz w:val="22"/>
                <w:szCs w:val="22"/>
              </w:rPr>
            </w:r>
            <w:r>
              <w:rPr>
                <w:rFonts w:ascii="Times New Roman" w:hAnsi="Times New Roman"/>
                <w:sz w:val="22"/>
                <w:szCs w:val="22"/>
              </w:rPr>
            </w:r>
          </w:p>
          <w:p>
            <w:pPr>
              <w:pStyle w:val="97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оформление Заявления на получение </w:t>
            </w:r>
            <w:r>
              <w:rPr>
                <w:rFonts w:ascii="Times New Roman" w:hAnsi="Times New Roman" w:eastAsia="Times New Roman"/>
                <w:color w:val="000000"/>
                <w:sz w:val="22"/>
                <w:szCs w:val="22"/>
                <w:lang w:eastAsia="ru-RU"/>
              </w:rPr>
              <w:t xml:space="preserve">денежных чековых книжек в органах Федерального казначейства (ф. 0531242), За</w:t>
            </w:r>
            <w:r>
              <w:rPr>
                <w:rFonts w:ascii="Times New Roman" w:hAnsi="Times New Roman" w:eastAsia="Times New Roman"/>
                <w:color w:val="000000"/>
                <w:sz w:val="22"/>
                <w:szCs w:val="22"/>
                <w:lang w:eastAsia="ru-RU"/>
              </w:rPr>
              <w:t xml:space="preserve">явки на получение наличных денежных средств, перечисляемых на карту (ф. 0531243) (Приложения № 2, 3 к Правилам обеспечения наличными денежными средствами организаций, лицевые счета которым открыты в территориальных органах Федерального казначейства, финанс</w:t>
            </w:r>
            <w:r>
              <w:rPr>
                <w:rFonts w:ascii="Times New Roman" w:hAnsi="Times New Roman" w:eastAsia="Times New Roman"/>
                <w:color w:val="000000"/>
                <w:sz w:val="22"/>
                <w:szCs w:val="22"/>
                <w:lang w:eastAsia="ru-RU"/>
              </w:rPr>
              <w:t xml:space="preserve">овых органах субъектов Российской Федерации (муниципальных образований), утвержденных Приказом Казначейства России от 30.06.2014 № 10н, и отражение на счетах учета операций при использовании счета № 40116 "Средства для выплаты наличных денег организациям",</w:t>
            </w:r>
            <w:r>
              <w:rPr>
                <w:rFonts w:ascii="Times New Roman" w:hAnsi="Times New Roman"/>
                <w:sz w:val="22"/>
                <w:szCs w:val="22"/>
              </w:rPr>
            </w:r>
            <w:r>
              <w:rPr>
                <w:rFonts w:ascii="Times New Roman" w:hAnsi="Times New Roman"/>
                <w:sz w:val="22"/>
                <w:szCs w:val="22"/>
              </w:rPr>
            </w:r>
          </w:p>
          <w:p>
            <w:pPr>
              <w:pStyle w:val="97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получение информации по движению наличных денежных средств за любой период в разрезе учреждений, источников и видов финансового обеспечения деятельности учреждения, классификационных признаков счетов, кодов экономической классификации,</w:t>
            </w:r>
            <w:r>
              <w:rPr>
                <w:rFonts w:ascii="Times New Roman" w:hAnsi="Times New Roman"/>
                <w:sz w:val="22"/>
                <w:szCs w:val="22"/>
              </w:rPr>
            </w:r>
            <w:r>
              <w:rPr>
                <w:rFonts w:ascii="Times New Roman" w:hAnsi="Times New Roman"/>
                <w:sz w:val="22"/>
                <w:szCs w:val="22"/>
              </w:rPr>
            </w:r>
          </w:p>
          <w:p>
            <w:pPr>
              <w:pStyle w:val="97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предусмотрено формирование Инвентаризационных описей (сличительных ведомостей) ф. 0504086 и Акта инвентаризации наличных денежных средств по форме № ИНВ-15 и документирование результатов инвентариза</w:t>
            </w:r>
            <w:r>
              <w:rPr>
                <w:rFonts w:ascii="Times New Roman" w:hAnsi="Times New Roman" w:eastAsia="Times New Roman"/>
                <w:color w:val="000000"/>
                <w:sz w:val="22"/>
                <w:szCs w:val="22"/>
                <w:lang w:eastAsia="ru-RU"/>
              </w:rPr>
              <w:t xml:space="preserve">ции наличных денежных средств и денежных документов.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4"/>
              <w:numPr>
                <w:ilvl w:val="0"/>
                <w:numId w:val="23"/>
              </w:numPr>
              <w:pBdr/>
              <w:spacing/>
              <w:ind/>
              <w:rPr>
                <w:rFonts w:ascii="Times New Roman" w:hAnsi="Times New Roman"/>
                <w:sz w:val="22"/>
                <w:szCs w:val="22"/>
              </w:rPr>
            </w:pPr>
            <w:r>
              <w:rPr>
                <w:rFonts w:ascii="Times New Roman" w:hAnsi="Times New Roman" w:eastAsia="Times New Roman"/>
                <w:color w:val="000000"/>
                <w:sz w:val="22"/>
                <w:szCs w:val="22"/>
                <w:lang w:eastAsia="ru-RU"/>
              </w:rPr>
              <w:t xml:space="preserve">поддержка использования контрольно-кассовой техники при выполнении кассовых операций.</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19</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003399"/>
                <w:sz w:val="22"/>
                <w:szCs w:val="22"/>
              </w:rPr>
            </w:pPr>
            <w:r>
              <w:rPr>
                <w:rFonts w:ascii="Times New Roman" w:hAnsi="Times New Roman" w:cs="Times New Roman"/>
                <w:color w:val="auto"/>
                <w:sz w:val="22"/>
                <w:szCs w:val="22"/>
              </w:rPr>
              <w:t xml:space="preserve">Учет нефинансовых активов</w:t>
            </w:r>
            <w:r>
              <w:rPr>
                <w:rFonts w:ascii="Times New Roman" w:hAnsi="Times New Roman" w:eastAsia="Times New Roman" w:cs="Times New Roman"/>
                <w:color w:val="003399"/>
                <w:sz w:val="22"/>
                <w:szCs w:val="22"/>
                <w:lang w:eastAsia="ru-RU"/>
              </w:rPr>
            </w:r>
            <w:r>
              <w:rPr>
                <w:rFonts w:ascii="Times New Roman" w:hAnsi="Times New Roman" w:eastAsia="Times New Roman" w:cs="Times New Roman"/>
                <w:color w:val="003399"/>
                <w:sz w:val="22"/>
                <w:szCs w:val="22"/>
              </w:rPr>
            </w:r>
          </w:p>
        </w:tc>
        <w:tc>
          <w:tcPr>
            <w:tcBorders/>
            <w:tcW w:w="6375" w:type="dxa"/>
            <w:textDirection w:val="lrTb"/>
            <w:noWrap w:val="false"/>
          </w:tcPr>
          <w:p>
            <w:pPr>
              <w:pBdr/>
              <w:spacing/>
              <w:ind/>
              <w:rPr>
                <w:rFonts w:ascii="Times New Roman" w:hAnsi="Times New Roman"/>
                <w:sz w:val="22"/>
                <w:szCs w:val="22"/>
              </w:rPr>
            </w:pPr>
            <w:r>
              <w:rPr>
                <w:rFonts w:ascii="Times New Roman" w:hAnsi="Times New Roman"/>
                <w:sz w:val="22"/>
                <w:szCs w:val="22"/>
              </w:rPr>
              <w:t xml:space="preserve">В его состав должны входить возможности:</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нефинансовых активов по номенклатуре, инвентарным объектам, материально ответственным лицам и местам хранения,</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предварительной калькуляции фактической стоимости на счете 010600000 "Вложения в нефинансовые активы", начисление амортизации в зависимости от стоимости основного средства, его назначения и срока использования,</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группового учета</w:t>
            </w:r>
            <w:r>
              <w:rPr>
                <w:rFonts w:ascii="Times New Roman" w:hAnsi="Times New Roman" w:eastAsia="Times New Roman"/>
                <w:sz w:val="22"/>
                <w:szCs w:val="22"/>
                <w:lang w:eastAsia="ru-RU"/>
              </w:rPr>
              <w:t xml:space="preserve"> инвентарных объектов с формированием инвентарных карточек группового учета основных средств (ф. 0504032), актов о приеме-передаче объектов нефинансовых активов (ф. 0504101), списании объектов нефинансовых активов (кроме транспортных средств) (ф. 0504104).</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хранение информации, необходимой для внесения сведений в реестр федерального имущества (постановление Правительства от 16.07.2007 № 447).</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учета драгоценных металлов, входящих в состав основных средств, материалов, оборудования.</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списания на расходы основные средства стоимостью до 3 000 руб. включительно (кроме основных средств, не списываемых при вводе в эксплуатацию, например, библиотечного фонда) или начислить 100 % амортизацию для основных средств стоимостью от 3 000 </w:t>
            </w:r>
            <w:r>
              <w:rPr>
                <w:rFonts w:ascii="Times New Roman" w:hAnsi="Times New Roman" w:eastAsia="Times New Roman"/>
                <w:sz w:val="22"/>
                <w:szCs w:val="22"/>
                <w:lang w:eastAsia="ru-RU"/>
              </w:rPr>
              <w:t xml:space="preserve">руб. до 40 000 руб. включительно.</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по основным средствам и нематериальным активам стоимостью более 40 000 руб. ежемесячно начислять амортизацию, как в бухгалтерском, так и в налоговом учете с помощью регламентных документов.</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централизованное снабжение, внутриведомственное перемещение, получение от учредителя, изготовление собственными силами, реконструкция (модернизация), реализация излишних нефинансовых активов.</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автомати</w:t>
            </w:r>
            <w:r>
              <w:rPr>
                <w:rFonts w:ascii="Times New Roman" w:hAnsi="Times New Roman" w:eastAsia="Times New Roman"/>
                <w:sz w:val="22"/>
                <w:szCs w:val="22"/>
                <w:lang w:eastAsia="ru-RU"/>
              </w:rPr>
              <w:t xml:space="preserve">зированного оформления возврата материалов поставщику и от покупателя, формирование Акт приемки материалов (материальных ценностей) по форме 0504220 для документального оформления претензий поставщикам в случае недостач нефинансовых активов при их приемке,</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ведения списков постоянно действующих комиссий – по инвентаризации, по поступлению и выбытию НФА и т. п. – для отражения в актах на прием, передачу, списание НФА, в инвентаризационных описях и т.п.</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договоров об индивидуальной и бригадной материальной ответственности,</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ввода на основании документов по поступлению НФА вводятся документы вида "Счет-фактура полученный" для регистрации счета-фактуры поставщика с целью формирования Книги покупок.</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отражения движения нефи</w:t>
            </w:r>
            <w:r>
              <w:rPr>
                <w:rFonts w:ascii="Times New Roman" w:hAnsi="Times New Roman" w:eastAsia="Times New Roman"/>
                <w:sz w:val="22"/>
                <w:szCs w:val="22"/>
                <w:lang w:eastAsia="ru-RU"/>
              </w:rPr>
              <w:t xml:space="preserve">нансовых активов в Журнале операций по выбытию и перемещению нефинансовых активов № 7 (ф. 0504071), Оборотной ведомости по нефинансовым активам (ф. 0504035), Карточках количественно-суммового учета материальных ценностей (0504041) и других регистрах учета.</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формирования инвентаризационных описей (сличительных ведомостей) и регистрация результатов инвентаризации с помощью специализированных документов. Это позволяет хранить в про</w:t>
            </w:r>
            <w:r>
              <w:rPr>
                <w:rFonts w:ascii="Times New Roman" w:hAnsi="Times New Roman" w:eastAsia="Times New Roman"/>
                <w:sz w:val="22"/>
                <w:szCs w:val="22"/>
                <w:lang w:eastAsia="ru-RU"/>
              </w:rPr>
              <w:t xml:space="preserve">грамме всю информацию о проведенных инвентаризациях. На основании документов, в которых зафиксировано расхождение фактических данных с учетными, можно ввести приходные документы – для оприходования излишков и расходные документы – для регистрации недостач.</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использовать терминалы сбора данных при проведении и оформлении результатов инвентаризации основных средств.</w:t>
            </w:r>
            <w:r>
              <w:rPr>
                <w:rFonts w:ascii="Times New Roman" w:hAnsi="Times New Roman"/>
                <w:sz w:val="22"/>
                <w:szCs w:val="22"/>
              </w:rPr>
            </w:r>
            <w:r>
              <w:rPr>
                <w:rFonts w:ascii="Times New Roman" w:hAnsi="Times New Roman"/>
                <w:sz w:val="22"/>
                <w:szCs w:val="22"/>
              </w:rPr>
            </w:r>
          </w:p>
          <w:p>
            <w:pPr>
              <w:pStyle w:val="974"/>
              <w:numPr>
                <w:ilvl w:val="0"/>
                <w:numId w:val="24"/>
              </w:numPr>
              <w:pBdr/>
              <w:spacing/>
              <w:ind/>
              <w:rPr>
                <w:rFonts w:ascii="Times New Roman" w:hAnsi="Times New Roman"/>
                <w:sz w:val="22"/>
                <w:szCs w:val="22"/>
              </w:rPr>
            </w:pPr>
            <w:r>
              <w:rPr>
                <w:rFonts w:ascii="Times New Roman" w:hAnsi="Times New Roman" w:eastAsia="Times New Roman"/>
                <w:sz w:val="22"/>
                <w:szCs w:val="22"/>
                <w:lang w:eastAsia="ru-RU"/>
              </w:rPr>
              <w:t xml:space="preserve">оформления операции по движению нефинансовых активов, учитываемых на забалансовых счетах. Оформляется поступление, внутреннее перемещение и списание таких объектов по унифицированным формам, проводится инвентаризация, формируются регистры учета.</w:t>
            </w:r>
            <w:r>
              <w:rPr>
                <w:rFonts w:ascii="Times New Roman" w:hAnsi="Times New Roman"/>
                <w:sz w:val="22"/>
                <w:szCs w:val="22"/>
              </w:rPr>
            </w:r>
            <w:r>
              <w:rPr>
                <w:rFonts w:ascii="Times New Roman" w:hAnsi="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20</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поставщиками и подрядчиками</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tc>
        <w:tc>
          <w:tcPr>
            <w:tcBorders/>
            <w:tcW w:w="6375"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учет расчетов с поставщиками и подрядчиками в разрезе договоров (оснований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особенности учета расчетов с поставщиками и подрядчиками в зависимости от очередности расчетов – </w:t>
            </w:r>
            <w:r>
              <w:rPr>
                <w:rFonts w:ascii="Times New Roman" w:hAnsi="Times New Roman" w:eastAsia="Times New Roman"/>
                <w:sz w:val="22"/>
                <w:szCs w:val="22"/>
                <w:lang w:eastAsia="ru-RU"/>
              </w:rPr>
              <w:t xml:space="preserve">предварительная оплата или предварительная поставка товаров, работ, услуг. Должен быть предусмотрен автоматический зачет авансов, регистрация счета-фактуры поставщика и ведение Книги покупок.</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формирование журнала операций расчетов с поставщиками и подрядчиками № 4 (ф. 0504071) и другие отчеты. Также необходимо формирование актов сверки расчетов с контрагентами и проведение инвентаризации расчетов.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5"/>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возможность непосредственно из программы можно проверить ИНН и КПП контрагентов через веб-сервис ФНС, а также автоматически заполнить реквизиты контрагентов по их ИНН.</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21</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подотчетными лицами</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6"/>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аналитический учет расчетов с подотчетными лицами ведется </w:t>
            </w:r>
            <w:r>
              <w:rPr>
                <w:rFonts w:ascii="Times New Roman" w:hAnsi="Times New Roman" w:eastAsia="Times New Roman"/>
                <w:sz w:val="22"/>
                <w:szCs w:val="22"/>
                <w:lang w:eastAsia="ru-RU"/>
              </w:rPr>
              <w:t xml:space="preserve">по каждому подотчетному лицу в разрезе выданных им авансов и видов расчетов (расчеты по выданным денежным средствам, расчеты по полученным денежным документам). При этом один аванс, выданный подотчетному лицу, можно закрыть несколькими авансовыми отчетами,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6"/>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расчеты с подотчетными лицами документируются с помощью</w:t>
            </w:r>
            <w:r>
              <w:rPr>
                <w:rFonts w:ascii="Times New Roman" w:hAnsi="Times New Roman" w:eastAsia="Times New Roman"/>
                <w:sz w:val="22"/>
                <w:szCs w:val="22"/>
                <w:lang w:eastAsia="ru-RU"/>
              </w:rPr>
              <w:t xml:space="preserve"> соответствующих документов. Предусмотрено оформление заявления на выдачу подотчетной суммы, отражение в учете представленного в бухгалтерию авансового отчета, оформление Авансового отчета (ф. 0504505) на основании представленных оправдательных документов,</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6"/>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оформление данных инвентаризации расчетов с подотчетными лицами, формирование Инвентаризационной описи расчетов с покупателями, поставщиками и прочими дебиторами, и кредиторами (ф. 0504089),</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6"/>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выписка доверенности на получение товарно-материальных ценностей по унифицированной форме № М-2,</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6"/>
              </w:numPr>
              <w:pBdr/>
              <w:spacing/>
              <w:ind/>
              <w:rPr>
                <w:rFonts w:ascii="Times New Roman" w:hAnsi="Times New Roman"/>
                <w:sz w:val="22"/>
                <w:szCs w:val="22"/>
                <w:shd w:val="clear" w:color="auto" w:fill="ffffff"/>
              </w:rPr>
            </w:pPr>
            <w:r>
              <w:rPr>
                <w:rFonts w:ascii="Times New Roman" w:hAnsi="Times New Roman" w:eastAsia="Times New Roman"/>
                <w:sz w:val="22"/>
                <w:szCs w:val="22"/>
                <w:lang w:eastAsia="ru-RU"/>
              </w:rPr>
              <w:t xml:space="preserve">Регистры учета по расчетам с подотчетными лицами – Журнал операций расчетов с подотчетными лицами № 3 (ф. 0504071), Карточка учета средств и расчетов (ф. 0504051) и их формирование как выходных форм с помощью одноименных отчетов.</w:t>
            </w:r>
            <w:r>
              <w:rPr>
                <w:rFonts w:ascii="Times New Roman" w:hAnsi="Times New Roman"/>
                <w:sz w:val="22"/>
                <w:szCs w:val="22"/>
                <w:shd w:val="clear" w:color="auto" w:fill="ffffff"/>
              </w:rPr>
            </w:r>
            <w:r>
              <w:rPr>
                <w:rFonts w:ascii="Times New Roman" w:hAnsi="Times New Roman"/>
                <w:sz w:val="22"/>
                <w:szCs w:val="22"/>
                <w:shd w:val="clear" w:color="auto" w:fill="ffffff"/>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22</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расчетов с покупателями и заказчиками</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7"/>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начисления дебиторской задолженности </w:t>
            </w:r>
            <w:r>
              <w:rPr>
                <w:rFonts w:ascii="Times New Roman" w:hAnsi="Times New Roman" w:eastAsia="Times New Roman"/>
                <w:color w:val="000000"/>
                <w:sz w:val="22"/>
                <w:szCs w:val="22"/>
                <w:lang w:eastAsia="ru-RU"/>
              </w:rPr>
              <w:t xml:space="preserve">по оказанным учреждением</w:t>
            </w:r>
            <w:r>
              <w:rPr>
                <w:rFonts w:ascii="Times New Roman" w:hAnsi="Times New Roman" w:eastAsia="Times New Roman"/>
                <w:color w:val="000000"/>
                <w:sz w:val="22"/>
                <w:szCs w:val="22"/>
                <w:lang w:eastAsia="ru-RU"/>
              </w:rPr>
              <w:t xml:space="preserve"> услугам по основной и предпринимательской деятельности, в том числе по предоставлению в аренду имущества, по расчетам с родителями за содержание детей в детском учреждении, по дополнительному образованию,</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7"/>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учет выполненных учреждением работ (НИР, ОКР). Работы могут быть многоэтапными. Предусмотрено оформление Актов сдачи-приемки работ, как по каждому этапу, так и по завершении работы в целом.</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7"/>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оформление счетов-фактур и автоматическое формирование Книги продаж согласно НК РФ и Правилам заполнения (ведения) документов, применяемых при расчетах по налогу на добавленную стоимость (утв. Постановлением Правительства РФ от 26.12.2011 № 1137),</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7"/>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выставление счетов на оплату, автоматическое списание прямых и накладных затрат по услугам (работам) на текущий финансовый результат,</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7"/>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операции по зачету полученных авансов,</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7"/>
              </w:numPr>
              <w:pBdr/>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регистры учета по расчетам с дебиторами – Журнал операций расчетов с дебиторами по доходам № 5, Карточка учета средств и расчетов (ф. 0504051).</w:t>
            </w:r>
            <w:r>
              <w:rPr>
                <w:rFonts w:ascii="Verdana" w:hAnsi="Verdana" w:eastAsia="Times New Roman"/>
                <w:color w:val="000000"/>
                <w:sz w:val="22"/>
                <w:szCs w:val="22"/>
                <w:lang w:eastAsia="ru-RU"/>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23</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Учет НДС</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tc>
        <w:tc>
          <w:tcPr>
            <w:tcBorders/>
            <w:tcW w:w="6375" w:type="dxa"/>
            <w:textDirection w:val="lrTb"/>
            <w:noWrap w:val="false"/>
          </w:tcPr>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t xml:space="preserve">В его состав должны входить возможности:</w:t>
            </w:r>
            <w:r>
              <w:rPr>
                <w:rFonts w:ascii="Times New Roman" w:hAnsi="Times New Roman"/>
                <w:sz w:val="22"/>
                <w:szCs w:val="22"/>
                <w:shd w:val="clear" w:color="auto" w:fill="ffffff"/>
              </w:rPr>
            </w:r>
            <w:r>
              <w:rPr>
                <w:rFonts w:ascii="Times New Roman" w:hAnsi="Times New Roman"/>
                <w:sz w:val="22"/>
                <w:szCs w:val="22"/>
                <w:shd w:val="clear" w:color="auto" w:fill="ffffff"/>
              </w:rPr>
            </w:r>
          </w:p>
          <w:p>
            <w:pPr>
              <w:pStyle w:val="974"/>
              <w:numPr>
                <w:ilvl w:val="0"/>
                <w:numId w:val="28"/>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учета НДС как налогоплательщика, так и налогового агента. Поддерживаться операции по ставке 0 %, учет НДС со строительно-монтажных работ, выполненных для собственного потребления хозяйственным способом, согласно НК РФ,</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8"/>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раздельного учета сумм НДС, предъявле</w:t>
            </w:r>
            <w:r>
              <w:rPr>
                <w:rFonts w:ascii="Times New Roman" w:hAnsi="Times New Roman" w:eastAsia="Times New Roman"/>
                <w:sz w:val="22"/>
                <w:szCs w:val="22"/>
                <w:lang w:eastAsia="ru-RU"/>
              </w:rPr>
              <w:t xml:space="preserve">нных налогоплательщику по товарам (работам, услугам), в том числе основным средствам и нематериальным активам, имущественным правам, используемым для осуществления операций, не облагаемых налогом на добавленную стоимость согласно п. 4 ст. 170 гл. 21 НК РФ,</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8"/>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оформления счет-фактуры как на один документ поступления, так и на несколько документов поступления при многократных поставках от одного поставщика в течение дня, месяца,</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8"/>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автоматической регистрации счетов-фактур по полученным авансам за заданный период,</w:t>
            </w:r>
            <w:r>
              <w:rPr>
                <w:rFonts w:ascii="Times New Roman" w:hAnsi="Times New Roman" w:eastAsia="Times New Roman"/>
                <w:sz w:val="22"/>
                <w:szCs w:val="22"/>
                <w:lang w:eastAsia="ru-RU"/>
              </w:rPr>
            </w:r>
            <w:r>
              <w:rPr>
                <w:rFonts w:ascii="Times New Roman" w:hAnsi="Times New Roman" w:eastAsia="Times New Roman"/>
                <w:sz w:val="22"/>
                <w:szCs w:val="22"/>
              </w:rPr>
            </w:r>
          </w:p>
          <w:p>
            <w:pPr>
              <w:pStyle w:val="974"/>
              <w:numPr>
                <w:ilvl w:val="0"/>
                <w:numId w:val="28"/>
              </w:numPr>
              <w:pBdr/>
              <w:spacing/>
              <w:ind/>
              <w:rPr>
                <w:rFonts w:ascii="Times New Roman" w:hAnsi="Times New Roman" w:eastAsia="Times New Roman"/>
                <w:sz w:val="22"/>
                <w:szCs w:val="22"/>
              </w:rPr>
            </w:pPr>
            <w:r>
              <w:rPr>
                <w:rFonts w:ascii="Times New Roman" w:hAnsi="Times New Roman" w:eastAsia="Times New Roman"/>
                <w:sz w:val="22"/>
                <w:szCs w:val="22"/>
                <w:lang w:eastAsia="ru-RU"/>
              </w:rPr>
              <w:t xml:space="preserve">автоматического формирования Книги продаж, Книги покупок и Журнала учета полученных, выставленных счетов-фактур в соответствии с НК РФ и Правилам заполнения (ведения) документов, применяемых при расчетах по нал</w:t>
            </w:r>
            <w:r>
              <w:rPr>
                <w:rFonts w:ascii="Times New Roman" w:hAnsi="Times New Roman" w:eastAsia="Times New Roman"/>
                <w:sz w:val="22"/>
                <w:szCs w:val="22"/>
                <w:lang w:eastAsia="ru-RU"/>
              </w:rPr>
              <w:t xml:space="preserve">огу на добавленную стоимость (утв. Постановлением Правительства РФ от 26.12.2011 N 1137). Должно быть реализовано формирование дополнительных листов Книги покупок и Книги продаж, учтены особенности отражения корректировочных и исправительных счетов-фактур.</w:t>
            </w:r>
            <w:r>
              <w:rPr>
                <w:rFonts w:ascii="Times New Roman" w:hAnsi="Times New Roman" w:eastAsia="Times New Roman"/>
                <w:sz w:val="22"/>
                <w:szCs w:val="22"/>
                <w:lang w:eastAsia="ru-RU"/>
              </w:rPr>
            </w:r>
            <w:r>
              <w:rPr>
                <w:rFonts w:ascii="Times New Roman" w:hAnsi="Times New Roman" w:eastAsia="Times New Roman"/>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24</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Налоговый учет налога на прибыль по приносящей доход деятельности в соответствии с гл. 25 НК РФ</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eastAsia="Times New Roman"/>
                <w:color w:val="000000"/>
                <w:sz w:val="22"/>
                <w:szCs w:val="22"/>
              </w:rPr>
            </w:pPr>
            <w:r>
              <w:rPr>
                <w:rFonts w:ascii="Times New Roman" w:hAnsi="Times New Roman"/>
                <w:sz w:val="22"/>
                <w:szCs w:val="22"/>
                <w:shd w:val="clear" w:color="auto" w:fill="ffffff"/>
              </w:rPr>
              <w:t xml:space="preserve">В его состав должны входить</w:t>
            </w:r>
            <w:r>
              <w:rPr>
                <w:rFonts w:ascii="Times New Roman" w:hAnsi="Times New Roman" w:eastAsia="Times New Roman"/>
                <w:color w:val="000000"/>
                <w:sz w:val="22"/>
                <w:szCs w:val="22"/>
                <w:lang w:eastAsia="ru-RU"/>
              </w:rPr>
              <w:t xml:space="preserve">:</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9"/>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соответствие счетов налогового учета счетам Единого плана счетов бухгалтерского учета. Это позволяет для ведения налогового учета доходов и расходов применять те же документы, что и для бухгалтерского учета,</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9"/>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ведение налогового учета параллельно с бухгалтерским. Хозяйственные операции по приносящей доход деятельности (КФО=2) должны отражаться одновременно и в бухгалтерском, и в налоговом учете,</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9"/>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отражение также внереализационных доходов и расходов,</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9"/>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регламентные операции налогового учета, такие как списание убытков прошлых лет, расчет базы по налогу на прибыль и суммы налога на прибыль, закрытие в конце года счетов налогового учета,</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29"/>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помощник "Ввод начальных данных налогового учета</w:t>
            </w:r>
            <w:r>
              <w:rPr>
                <w:rFonts w:ascii="Times New Roman" w:hAnsi="Times New Roman" w:eastAsia="Times New Roman"/>
                <w:color w:val="000000"/>
                <w:sz w:val="22"/>
                <w:szCs w:val="22"/>
                <w:lang w:eastAsia="ru-RU"/>
              </w:rPr>
              <w:t xml:space="preserve">", для того, чтобы</w:t>
            </w:r>
            <w:r>
              <w:rPr>
                <w:rFonts w:ascii="Times New Roman" w:hAnsi="Times New Roman" w:eastAsia="Times New Roman"/>
                <w:color w:val="000000"/>
                <w:sz w:val="22"/>
                <w:szCs w:val="22"/>
                <w:lang w:eastAsia="ru-RU"/>
              </w:rPr>
              <w:t xml:space="preserve"> можно было:</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0"/>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дату начала ведения налогового учета в программе;</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0"/>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необходимые настройки налогового </w:t>
            </w:r>
            <w:r>
              <w:rPr>
                <w:rFonts w:ascii="Times New Roman" w:hAnsi="Times New Roman" w:eastAsia="Times New Roman"/>
                <w:color w:val="000000"/>
                <w:sz w:val="22"/>
                <w:szCs w:val="22"/>
                <w:lang w:eastAsia="ru-RU"/>
              </w:rPr>
              <w:t xml:space="preserve">учета:</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0"/>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установить порядок распределения общепроизводственных и общехозяйственных затрат, порядок отнесения расходов в налоговом учете к прямым;</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0"/>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выполнить настройку раздельного учета доходов и расходов по операциям с различным порядком налогообложения;</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0"/>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ввести входящие остатки на счета налогового учета.</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Verdana" w:hAnsi="Verdana" w:eastAsia="Times New Roman"/>
                <w:color w:val="000000"/>
                <w:sz w:val="22"/>
                <w:szCs w:val="22"/>
              </w:rPr>
            </w:pPr>
            <w:r>
              <w:rPr>
                <w:rFonts w:ascii="Times New Roman" w:hAnsi="Times New Roman" w:eastAsia="Times New Roman"/>
                <w:color w:val="000000"/>
                <w:sz w:val="22"/>
                <w:szCs w:val="22"/>
                <w:lang w:eastAsia="ru-RU"/>
              </w:rPr>
              <w:t xml:space="preserve">автоматическое заполнение налоговой декларации по налогу на прибыль организаций по данным налогового учета. Возможность выгрузки подготовленной декларации для отправки по телекоммуникационным каналам связи или распечатать на машиночитаемом бланке.</w:t>
            </w:r>
            <w:r>
              <w:rPr>
                <w:rFonts w:ascii="Verdana" w:hAnsi="Verdana" w:eastAsia="Times New Roman"/>
                <w:color w:val="000000"/>
                <w:sz w:val="22"/>
                <w:szCs w:val="22"/>
                <w:lang w:eastAsia="ru-RU"/>
              </w:rPr>
            </w:r>
            <w:r>
              <w:rPr>
                <w:rFonts w:ascii="Verdana" w:hAnsi="Verdana" w:eastAsia="Times New Roman"/>
                <w:color w:val="000000"/>
                <w:sz w:val="22"/>
                <w:szCs w:val="22"/>
              </w:rPr>
            </w:r>
          </w:p>
        </w:tc>
      </w:tr>
      <w:tr>
        <w:trPr/>
        <w:tc>
          <w:tcPr>
            <w:tcBorders/>
            <w:tcW w:w="560" w:type="dxa"/>
            <w:textDirection w:val="lrTb"/>
            <w:noWrap w:val="false"/>
          </w:tcPr>
          <w:p>
            <w:pPr>
              <w:pBdr/>
              <w:spacing/>
              <w:ind/>
              <w:jc w:val="center"/>
              <w:rPr>
                <w:rFonts w:ascii="Times New Roman" w:hAnsi="Times New Roman"/>
                <w:sz w:val="22"/>
                <w:szCs w:val="22"/>
              </w:rPr>
            </w:pPr>
            <w:r>
              <w:rPr>
                <w:rFonts w:ascii="Times New Roman" w:hAnsi="Times New Roman"/>
                <w:sz w:val="22"/>
                <w:szCs w:val="22"/>
              </w:rPr>
              <w:t xml:space="preserve">25</w:t>
            </w:r>
            <w:r>
              <w:rPr>
                <w:rFonts w:ascii="Times New Roman" w:hAnsi="Times New Roman"/>
                <w:sz w:val="22"/>
                <w:szCs w:val="22"/>
              </w:rPr>
            </w:r>
            <w:r>
              <w:rPr>
                <w:rFonts w:ascii="Times New Roman" w:hAnsi="Times New Roman"/>
                <w:sz w:val="22"/>
                <w:szCs w:val="22"/>
              </w:rPr>
            </w:r>
          </w:p>
        </w:tc>
        <w:tc>
          <w:tcPr>
            <w:tcBorders/>
            <w:tcW w:w="2410" w:type="dxa"/>
            <w:textDirection w:val="lrTb"/>
            <w:noWrap w:val="false"/>
          </w:tcPr>
          <w:p>
            <w:pPr>
              <w:pStyle w:val="956"/>
              <w:pBdr/>
              <w:spacing w:before="0"/>
              <w:ind/>
              <w:rPr>
                <w:rFonts w:ascii="Times New Roman" w:hAnsi="Times New Roman" w:eastAsia="Times New Roman" w:cs="Times New Roman"/>
                <w:color w:val="auto"/>
                <w:sz w:val="22"/>
                <w:szCs w:val="22"/>
              </w:rPr>
            </w:pPr>
            <w:r>
              <w:rPr>
                <w:rFonts w:ascii="Times New Roman" w:hAnsi="Times New Roman" w:cs="Times New Roman"/>
                <w:color w:val="auto"/>
                <w:sz w:val="22"/>
                <w:szCs w:val="22"/>
              </w:rPr>
              <w:t xml:space="preserve">Интеграция с ГИС ГМП и региональными системами</w:t>
            </w:r>
            <w:r>
              <w:rPr>
                <w:rFonts w:ascii="Times New Roman" w:hAnsi="Times New Roman" w:eastAsia="Times New Roman" w:cs="Times New Roman"/>
                <w:color w:val="auto"/>
                <w:sz w:val="22"/>
                <w:szCs w:val="22"/>
                <w:lang w:eastAsia="ru-RU"/>
              </w:rPr>
            </w:r>
            <w:r>
              <w:rPr>
                <w:rFonts w:ascii="Times New Roman" w:hAnsi="Times New Roman" w:eastAsia="Times New Roman" w:cs="Times New Roman"/>
                <w:color w:val="auto"/>
                <w:sz w:val="22"/>
                <w:szCs w:val="22"/>
              </w:rPr>
            </w:r>
          </w:p>
          <w:p>
            <w:pPr>
              <w:pBdr/>
              <w:spacing/>
              <w:ind/>
              <w:rPr>
                <w:rFonts w:ascii="Times New Roman" w:hAnsi="Times New Roman"/>
                <w:sz w:val="22"/>
                <w:szCs w:val="22"/>
                <w:shd w:val="clear" w:color="auto" w:fill="ffffff"/>
              </w:rPr>
            </w:pPr>
            <w:r>
              <w:rPr>
                <w:rFonts w:ascii="Times New Roman" w:hAnsi="Times New Roman"/>
                <w:sz w:val="22"/>
                <w:szCs w:val="22"/>
                <w:shd w:val="clear" w:color="auto" w:fill="ffffff"/>
              </w:rPr>
            </w:r>
            <w:r>
              <w:rPr>
                <w:rFonts w:ascii="Times New Roman" w:hAnsi="Times New Roman"/>
                <w:sz w:val="22"/>
                <w:szCs w:val="22"/>
                <w:shd w:val="clear" w:color="auto" w:fill="ffffff"/>
              </w:rPr>
            </w:r>
            <w:r>
              <w:rPr>
                <w:rFonts w:ascii="Times New Roman" w:hAnsi="Times New Roman"/>
                <w:sz w:val="22"/>
                <w:szCs w:val="22"/>
                <w:shd w:val="clear" w:color="auto" w:fill="ffffff"/>
              </w:rPr>
            </w:r>
          </w:p>
        </w:tc>
        <w:tc>
          <w:tcPr>
            <w:tcBorders/>
            <w:tcW w:w="6375" w:type="dxa"/>
            <w:textDirection w:val="lrTb"/>
            <w:noWrap w:val="false"/>
          </w:tcPr>
          <w:p>
            <w:p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программе должно быть предусмотрено взаимодействие с государственной информационной си</w:t>
            </w:r>
            <w:r>
              <w:rPr>
                <w:rFonts w:ascii="Times New Roman" w:hAnsi="Times New Roman" w:eastAsia="Times New Roman"/>
                <w:color w:val="000000"/>
                <w:sz w:val="22"/>
                <w:szCs w:val="22"/>
                <w:lang w:eastAsia="ru-RU"/>
              </w:rPr>
              <w:t xml:space="preserve">стемой о Государственных и муниципальных платежах (ГИС ГМП) и региональными системами согласно пункту 2.18 Порядка информационного взаимодействия Участников с оператором ГИС ГМП (приказ Казначейства России от 30.11.2012 № 19н), и пункту 2.26 Порядка № 19н.</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Взаимодействия с ГИС ГМП должно предусматривать:</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 (как собственных, так и начислений подведомственных);</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платеже (как для себя, так и для подведомственных);</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формирование запроса к системе на получение информации о платежах (как по начислениям, так и авансовых);</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при обмене документами с ГИС ГМП;</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ГИС ГМП по инициативе АН.</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1"/>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в части взаимодействия с региональными системами:</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2"/>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каталога предоставляемых услуг;</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2"/>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экспорт информации о начислениях за предоставляемые гос. услуги;</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2"/>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импорт информации о произведенном плательщиком платежах (как по начислениям, так и авансовых);</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2"/>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использование электронной подписи (ЭП) при обмене документами с региональными системами;</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p>
            <w:pPr>
              <w:pStyle w:val="974"/>
              <w:numPr>
                <w:ilvl w:val="0"/>
                <w:numId w:val="32"/>
              </w:numPr>
              <w:pBdr/>
              <w:spacing/>
              <w:ind/>
              <w:rPr>
                <w:rFonts w:ascii="Times New Roman" w:hAnsi="Times New Roman" w:eastAsia="Times New Roman"/>
                <w:color w:val="000000"/>
                <w:sz w:val="22"/>
                <w:szCs w:val="22"/>
              </w:rPr>
            </w:pPr>
            <w:r>
              <w:rPr>
                <w:rFonts w:ascii="Times New Roman" w:hAnsi="Times New Roman" w:eastAsia="Times New Roman"/>
                <w:color w:val="000000"/>
                <w:sz w:val="22"/>
                <w:szCs w:val="22"/>
                <w:lang w:eastAsia="ru-RU"/>
              </w:rPr>
              <w:t xml:space="preserve">квитирование распределенных платежей с начислением в региональные системы по инициативе поставщика услуг.</w:t>
            </w:r>
            <w:r>
              <w:rPr>
                <w:rFonts w:ascii="Times New Roman" w:hAnsi="Times New Roman" w:eastAsia="Times New Roman"/>
                <w:color w:val="000000"/>
                <w:sz w:val="22"/>
                <w:szCs w:val="22"/>
                <w:lang w:eastAsia="ru-RU"/>
              </w:rPr>
            </w:r>
            <w:r>
              <w:rPr>
                <w:rFonts w:ascii="Times New Roman" w:hAnsi="Times New Roman" w:eastAsia="Times New Roman"/>
                <w:color w:val="000000"/>
                <w:sz w:val="22"/>
                <w:szCs w:val="22"/>
              </w:rPr>
            </w:r>
          </w:p>
        </w:tc>
      </w:tr>
    </w:tbl>
    <w:p>
      <w:pPr>
        <w:pBdr/>
        <w:spacing w:after="113"/>
        <w:ind/>
        <w:jc w:val="both"/>
        <w:rPr>
          <w:rFonts w:ascii="Times New Roman" w:hAnsi="Times New Roman"/>
          <w:sz w:val="22"/>
          <w:szCs w:val="22"/>
        </w:rPr>
      </w:pPr>
      <w:r>
        <w:rPr>
          <w:rFonts w:ascii="Times New Roman" w:hAnsi="Times New Roman"/>
          <w:sz w:val="22"/>
          <w:szCs w:val="22"/>
        </w:rPr>
      </w:r>
      <w:r>
        <w:rPr>
          <w:rFonts w:ascii="Times New Roman" w:hAnsi="Times New Roman"/>
          <w:sz w:val="22"/>
          <w:szCs w:val="22"/>
        </w:rPr>
      </w:r>
      <w:r>
        <w:rPr>
          <w:rFonts w:ascii="Times New Roman" w:hAnsi="Times New Roman"/>
          <w:sz w:val="22"/>
          <w:szCs w:val="22"/>
        </w:rPr>
      </w:r>
    </w:p>
    <w:p>
      <w:pPr>
        <w:pStyle w:val="974"/>
        <w:numPr>
          <w:ilvl w:val="0"/>
          <w:numId w:val="33"/>
        </w:numPr>
        <w:pBdr/>
        <w:spacing w:after="113"/>
        <w:ind/>
        <w:jc w:val="center"/>
        <w:rPr>
          <w:rFonts w:ascii="Times New Roman" w:hAnsi="Times New Roman"/>
          <w:b/>
          <w:sz w:val="22"/>
          <w:szCs w:val="22"/>
        </w:rPr>
      </w:pPr>
      <w:r>
        <w:rPr>
          <w:rFonts w:ascii="Times New Roman" w:hAnsi="Times New Roman" w:eastAsia="Calibri"/>
          <w:b/>
          <w:bCs/>
          <w:color w:val="000000"/>
          <w:sz w:val="22"/>
          <w:szCs w:val="22"/>
        </w:rPr>
        <w:t xml:space="preserve">Требования к оказываемым услугам.</w:t>
      </w:r>
      <w:r>
        <w:rPr>
          <w:rFonts w:ascii="Times New Roman" w:hAnsi="Times New Roman"/>
          <w:b/>
          <w:sz w:val="22"/>
          <w:szCs w:val="22"/>
        </w:rPr>
      </w:r>
      <w:r>
        <w:rPr>
          <w:rFonts w:ascii="Times New Roman" w:hAnsi="Times New Roman"/>
          <w:b/>
          <w:sz w:val="22"/>
          <w:szCs w:val="22"/>
        </w:rPr>
      </w:r>
    </w:p>
    <w:p>
      <w:pPr>
        <w:pStyle w:val="974"/>
        <w:pBdr/>
        <w:spacing w:after="113"/>
        <w:ind w:left="360"/>
        <w:jc w:val="both"/>
        <w:rPr>
          <w:rFonts w:ascii="Times New Roman" w:hAnsi="Times New Roman"/>
          <w:b/>
          <w:sz w:val="22"/>
          <w:szCs w:val="22"/>
        </w:rPr>
      </w:pPr>
      <w:r>
        <w:rPr>
          <w:rFonts w:ascii="Times New Roman" w:hAnsi="Times New Roman"/>
          <w:b/>
          <w:sz w:val="22"/>
          <w:szCs w:val="22"/>
        </w:rPr>
      </w:r>
      <w:r>
        <w:rPr>
          <w:rFonts w:ascii="Times New Roman" w:hAnsi="Times New Roman"/>
          <w:b/>
          <w:sz w:val="22"/>
          <w:szCs w:val="22"/>
        </w:rPr>
      </w:r>
      <w:r>
        <w:rPr>
          <w:rFonts w:ascii="Times New Roman" w:hAnsi="Times New Roman"/>
          <w:b/>
          <w:sz w:val="22"/>
          <w:szCs w:val="22"/>
        </w:rPr>
      </w:r>
    </w:p>
    <w:p>
      <w:pPr>
        <w:pStyle w:val="974"/>
        <w:pBdr/>
        <w:spacing w:after="113"/>
        <w:ind w:left="360"/>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рамках исполнения условий настоящего технического задания Исполнитель обязуется выполнять следующие требования: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after="113"/>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В числе специалистов исполнителя, силами которых будет осуществляться информационно-консультационное обслуживание должны быть специалисты следующего уровня:</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Специалист. Платформа 1С: Предприятие 8.</w:t>
      </w:r>
      <w:r>
        <w:rPr>
          <w:rFonts w:ascii="Times New Roman" w:hAnsi="Times New Roman"/>
          <w:b/>
          <w:sz w:val="22"/>
          <w:szCs w:val="22"/>
        </w:rPr>
      </w:r>
      <w:r>
        <w:rPr>
          <w:rFonts w:ascii="Times New Roman" w:hAnsi="Times New Roman"/>
          <w:b/>
          <w:sz w:val="22"/>
          <w:szCs w:val="22"/>
        </w:rPr>
      </w:r>
    </w:p>
    <w:p>
      <w:pPr>
        <w:pStyle w:val="974"/>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Платформа 1С: Предприятие 8.2.</w:t>
      </w:r>
      <w:r>
        <w:rPr>
          <w:rFonts w:ascii="Times New Roman" w:hAnsi="Times New Roman"/>
          <w:b/>
          <w:sz w:val="22"/>
          <w:szCs w:val="22"/>
        </w:rPr>
      </w:r>
      <w:r>
        <w:rPr>
          <w:rFonts w:ascii="Times New Roman" w:hAnsi="Times New Roman"/>
          <w:b/>
          <w:sz w:val="22"/>
          <w:szCs w:val="22"/>
        </w:rPr>
      </w:r>
    </w:p>
    <w:p>
      <w:pPr>
        <w:pStyle w:val="974"/>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1С: Профессионал по программе «1С: Бухгалтерия государственного учреждения 8».</w:t>
      </w:r>
      <w:r>
        <w:rPr>
          <w:rFonts w:ascii="Times New Roman" w:hAnsi="Times New Roman"/>
          <w:b/>
          <w:sz w:val="22"/>
          <w:szCs w:val="22"/>
        </w:rPr>
      </w:r>
      <w:r>
        <w:rPr>
          <w:rFonts w:ascii="Times New Roman" w:hAnsi="Times New Roman"/>
          <w:b/>
          <w:sz w:val="22"/>
          <w:szCs w:val="22"/>
        </w:rPr>
      </w:r>
    </w:p>
    <w:p>
      <w:pPr>
        <w:pStyle w:val="974"/>
        <w:numPr>
          <w:ilvl w:val="0"/>
          <w:numId w:val="34"/>
        </w:numPr>
        <w:pBdr/>
        <w:spacing w:after="113"/>
        <w:ind/>
        <w:jc w:val="both"/>
        <w:rPr>
          <w:rFonts w:ascii="Times New Roman" w:hAnsi="Times New Roman"/>
          <w:b/>
          <w:sz w:val="22"/>
          <w:szCs w:val="22"/>
        </w:rPr>
      </w:pPr>
      <w:r>
        <w:rPr>
          <w:rFonts w:ascii="Times New Roman" w:hAnsi="Times New Roman" w:eastAsia="Calibri"/>
          <w:color w:val="000000"/>
          <w:sz w:val="22"/>
          <w:szCs w:val="22"/>
        </w:rPr>
        <w:t xml:space="preserve">КАМИН: Профессионал «Расчет заработной платы для бюджетных учреждений. Версия 3.5».</w:t>
      </w:r>
      <w:r>
        <w:rPr>
          <w:rFonts w:ascii="Times New Roman" w:hAnsi="Times New Roman"/>
          <w:b/>
          <w:sz w:val="22"/>
          <w:szCs w:val="22"/>
        </w:rPr>
      </w:r>
      <w:r>
        <w:rPr>
          <w:rFonts w:ascii="Times New Roman" w:hAnsi="Times New Roman"/>
          <w:b/>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Обязателен опыт работы с государственными казенными и бюджетными учреждениями.</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статус официального партнера фирмы «1С»;</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Исполнитель должен иметь лицензионный договор (договор субподряда) с фирмой разработчиком данной программы.</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Услуги оказываются собственными силами Исполнителя без привлечения 3-х лиц.</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sz w:val="22"/>
          <w:szCs w:val="22"/>
        </w:rPr>
        <w:t xml:space="preserve">Место оказываемых услуг: лично Исполнителем по адресу получателя услуг либо дистанционно. Дистанционное подключение должно: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left="1436"/>
        <w:jc w:val="both"/>
        <w:rPr>
          <w:rFonts w:ascii="Times New Roman" w:hAnsi="Times New Roman" w:eastAsia="Calibri"/>
          <w:color w:val="000000"/>
          <w:sz w:val="22"/>
          <w:szCs w:val="22"/>
        </w:rPr>
      </w:pPr>
      <w:r>
        <w:rPr>
          <w:rFonts w:ascii="Times New Roman" w:hAnsi="Times New Roman"/>
          <w:sz w:val="22"/>
          <w:szCs w:val="22"/>
        </w:rPr>
        <w:t xml:space="preserve">- соответствовать требованиям законодательства РФ в области защиты информации ограниченного доступа, не содержащей сведения, составляющие государственную тайну;</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left="1436"/>
        <w:jc w:val="both"/>
        <w:rPr>
          <w:rFonts w:ascii="Times New Roman" w:hAnsi="Times New Roman" w:eastAsia="Calibri"/>
          <w:color w:val="000000"/>
          <w:sz w:val="22"/>
          <w:szCs w:val="22"/>
        </w:rPr>
      </w:pPr>
      <w:r>
        <w:rPr>
          <w:rFonts w:ascii="Times New Roman" w:hAnsi="Times New Roman"/>
          <w:sz w:val="22"/>
          <w:szCs w:val="22"/>
        </w:rPr>
        <w:t xml:space="preserve">- быть реализованным с помощью защищенного удаленного доступа через внешние информационно-т</w:t>
      </w:r>
      <w:r>
        <w:rPr>
          <w:rFonts w:ascii="Times New Roman" w:hAnsi="Times New Roman"/>
          <w:sz w:val="22"/>
          <w:szCs w:val="22"/>
        </w:rPr>
        <w:t xml:space="preserve">елекоммуникационные сети с использованием сертифицированных средств удаленного доступа, гарантирующих исключение утечки информации по техническим каналам, несанкционированного доступа, распространения, уничтожения, искажения или блокирования доступа к ней.</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left="1436"/>
        <w:jc w:val="both"/>
        <w:rPr>
          <w:rFonts w:ascii="Times New Roman" w:hAnsi="Times New Roman" w:eastAsia="Calibri"/>
          <w:color w:val="000000"/>
          <w:sz w:val="22"/>
          <w:szCs w:val="22"/>
        </w:rPr>
      </w:pPr>
      <w:r>
        <w:rPr>
          <w:rFonts w:ascii="Times New Roman" w:hAnsi="Times New Roman"/>
          <w:sz w:val="22"/>
          <w:szCs w:val="22"/>
        </w:rPr>
        <w:t xml:space="preserve">При организации удалённого доступа Заказчик и Исполнитель совместно обеспечивают выполнение требований законодательства РФ в области защиты информации путём организации и функционирования защищённого канала связи (далее — ЗКС) следующим образом: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left="1436"/>
        <w:jc w:val="both"/>
        <w:rPr>
          <w:rFonts w:ascii="Times New Roman" w:hAnsi="Times New Roman" w:eastAsia="Calibri"/>
          <w:color w:val="000000"/>
          <w:sz w:val="22"/>
          <w:szCs w:val="22"/>
        </w:rPr>
      </w:pPr>
      <w:r>
        <w:rPr>
          <w:rFonts w:ascii="Times New Roman" w:hAnsi="Times New Roman"/>
          <w:sz w:val="22"/>
          <w:szCs w:val="22"/>
        </w:rPr>
        <w:t xml:space="preserve">- Исполнитель со своей стороны обеспечивает наличие и надлежащее функционирование сертифицированного средства криптографической защиты информации (криптографического шлюза); возможность установления и функционирования ЗКС через него;</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left="1436"/>
        <w:jc w:val="both"/>
        <w:rPr>
          <w:rFonts w:ascii="Times New Roman" w:hAnsi="Times New Roman" w:eastAsia="Calibri"/>
          <w:color w:val="000000"/>
          <w:sz w:val="22"/>
          <w:szCs w:val="22"/>
        </w:rPr>
      </w:pPr>
      <w:r>
        <w:rPr>
          <w:rFonts w:ascii="Times New Roman" w:hAnsi="Times New Roman"/>
          <w:sz w:val="22"/>
          <w:szCs w:val="22"/>
        </w:rPr>
        <w:t xml:space="preserve">- Заказчик гарантирует, что со своей стороны использует сертифицированное средство удаленного доступа (ПО для удалённого доступа), необходимое для подключения к ЗКС между Заказчиком и Исполнителем.</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pBdr/>
        <w:spacing/>
        <w:ind w:left="1436"/>
        <w:jc w:val="both"/>
        <w:rPr>
          <w:rFonts w:ascii="Times New Roman" w:hAnsi="Times New Roman" w:eastAsia="Calibri"/>
          <w:color w:val="000000"/>
          <w:sz w:val="22"/>
          <w:szCs w:val="22"/>
        </w:rPr>
      </w:pPr>
      <w:r>
        <w:rPr>
          <w:rFonts w:ascii="Times New Roman" w:hAnsi="Times New Roman"/>
          <w:sz w:val="22"/>
          <w:szCs w:val="22"/>
        </w:rPr>
        <w:t xml:space="preserve">В случае отсутствия у Заказчика сертифицированного средства удаленного доступа (ПО для удалённого доступа), с помощью которого Заказчик подключается к ЗКС, Исполнитель ответственность не несет.</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sz w:val="22"/>
          <w:szCs w:val="22"/>
        </w:rPr>
        <w:t xml:space="preserve">Отсутствие в реестре недобросовестных поставщиков.</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b/>
          <w:bCs/>
          <w:sz w:val="22"/>
          <w:szCs w:val="22"/>
        </w:rPr>
        <w:t xml:space="preserve">Объем оказываемых услуг:</w:t>
      </w:r>
      <w:r>
        <w:rPr>
          <w:rFonts w:ascii="Times New Roman" w:hAnsi="Times New Roman"/>
          <w:bCs/>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b/>
          <w:bCs/>
          <w:sz w:val="22"/>
          <w:szCs w:val="22"/>
        </w:rPr>
        <w:t xml:space="preserve">Стоимость 1 часа оказываемых услуг:</w:t>
      </w:r>
      <w:r>
        <w:rPr>
          <w:rFonts w:ascii="Times New Roman" w:hAnsi="Times New Roman"/>
          <w:bCs/>
          <w:sz w:val="22"/>
          <w:szCs w:val="22"/>
        </w:rPr>
        <w:t xml:space="preserve"> </w:t>
      </w:r>
      <w:r>
        <w:rPr>
          <w:rFonts w:ascii="Times New Roman" w:hAnsi="Times New Roman" w:eastAsia="Times New Roman" w:cs="Times New Roman"/>
          <w:bCs/>
          <w:sz w:val="22"/>
          <w:szCs w:val="22"/>
          <w:highlight w:val="yellow"/>
        </w:rPr>
        <w:t xml:space="preserve">2 </w:t>
      </w:r>
      <w:r>
        <w:rPr>
          <w:rFonts w:ascii="Times New Roman" w:hAnsi="Times New Roman" w:eastAsia="Times New Roman" w:cs="Times New Roman"/>
          <w:bCs/>
          <w:sz w:val="22"/>
          <w:szCs w:val="22"/>
          <w:highlight w:val="yellow"/>
        </w:rPr>
        <w:t xml:space="preserve">520</w:t>
      </w:r>
      <w:r>
        <w:rPr>
          <w:rFonts w:ascii="Times New Roman" w:hAnsi="Times New Roman" w:eastAsia="Times New Roman" w:cs="Times New Roman"/>
          <w:bCs/>
          <w:sz w:val="22"/>
          <w:szCs w:val="22"/>
          <w:highlight w:val="yellow"/>
        </w:rPr>
        <w:t xml:space="preserve"> (</w:t>
      </w:r>
      <w:r>
        <w:rPr>
          <w:rFonts w:ascii="Times New Roman" w:hAnsi="Times New Roman" w:eastAsia="Times New Roman" w:cs="Times New Roman"/>
          <w:bCs/>
          <w:sz w:val="22"/>
          <w:szCs w:val="22"/>
          <w:highlight w:val="yellow"/>
        </w:rPr>
        <w:t xml:space="preserve">две тысячи пятьсот двадцать) рублей 00 копеек</w:t>
      </w:r>
      <w:r>
        <w:rPr>
          <w:rFonts w:ascii="Times New Roman" w:hAnsi="Times New Roman" w:eastAsia="Times New Roman" w:cs="Times New Roman"/>
          <w:bCs/>
          <w:sz w:val="22"/>
          <w:szCs w:val="22"/>
          <w:highlight w:val="yellow"/>
        </w:rPr>
        <w:t xml:space="preserve">, 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4"/>
        <w:numPr>
          <w:ilvl w:val="1"/>
          <w:numId w:val="33"/>
        </w:numPr>
        <w:pBdr/>
        <w:spacing/>
        <w:ind/>
        <w:jc w:val="both"/>
        <w:rPr>
          <w:rFonts w:ascii="Times New Roman" w:hAnsi="Times New Roman" w:eastAsia="Calibri"/>
          <w:color w:val="000000"/>
          <w:sz w:val="22"/>
          <w:szCs w:val="22"/>
        </w:rPr>
      </w:pPr>
      <w:r>
        <w:rPr>
          <w:rFonts w:ascii="Times New Roman" w:hAnsi="Times New Roman"/>
          <w:sz w:val="22"/>
          <w:szCs w:val="22"/>
        </w:rPr>
        <w:t xml:space="preserve">Срок оказания услуг</w:t>
      </w:r>
      <w:r>
        <w:rPr>
          <w:rFonts w:ascii="Times New Roman" w:hAnsi="Times New Roman"/>
          <w:sz w:val="22"/>
          <w:szCs w:val="22"/>
        </w:rPr>
        <w:t xml:space="preserve">: После</w:t>
      </w:r>
      <w:r>
        <w:rPr>
          <w:rFonts w:ascii="Times New Roman" w:hAnsi="Times New Roman"/>
          <w:sz w:val="22"/>
          <w:szCs w:val="22"/>
        </w:rPr>
        <w:t xml:space="preserve"> заключения государственного контракта и до выполнения всех обязательств по настоящему контракту.</w:t>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bl>
      <w:tblPr>
        <w:tblInd w:w="108" w:type="dxa"/>
        <w:tblW w:w="9345" w:type="dxa"/>
        <w:tblBorders/>
        <w:tblLayout w:type="fixed"/>
        <w:tblLook w:val="04A0" w:firstRow="1" w:lastRow="0" w:firstColumn="1" w:lastColumn="0" w:noHBand="0" w:noVBand="1"/>
        <w:tblStyle w:val="976"/>
      </w:tblPr>
      <w:tblGrid>
        <w:gridCol w:w="986"/>
        <w:gridCol w:w="2128"/>
        <w:gridCol w:w="1138"/>
        <w:gridCol w:w="420"/>
        <w:gridCol w:w="992"/>
        <w:gridCol w:w="1344"/>
        <w:gridCol w:w="780"/>
        <w:gridCol w:w="1557"/>
      </w:tblGrid>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bCs/>
                <w:sz w:val="22"/>
                <w:szCs w:val="22"/>
              </w:rPr>
              <w:t xml:space="preserve">«Государственный заказчик»</w:t>
            </w:r>
            <w:r>
              <w:rPr>
                <w:rFonts w:ascii="Times New Roman" w:hAnsi="Times New Roman" w:eastAsia="Calibri"/>
                <w:b/>
                <w:color w:val="000000"/>
                <w:sz w:val="22"/>
                <w:szCs w:val="22"/>
              </w:rPr>
            </w:r>
            <w:r>
              <w:rPr>
                <w:rFonts w:ascii="Times New Roman" w:hAnsi="Times New Roman" w:eastAsia="Calibri"/>
                <w:b/>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b/>
                <w:color w:val="000000"/>
                <w:sz w:val="22"/>
                <w:szCs w:val="22"/>
              </w:rPr>
            </w:pPr>
            <w:r>
              <w:rPr>
                <w:rFonts w:ascii="Times New Roman" w:hAnsi="Times New Roman"/>
                <w:b/>
                <w:sz w:val="22"/>
                <w:szCs w:val="22"/>
              </w:rPr>
              <w:t xml:space="preserve">«Исполнитель»</w:t>
            </w:r>
            <w:r>
              <w:rPr>
                <w:rFonts w:ascii="Times New Roman" w:hAnsi="Times New Roman" w:eastAsia="Calibri"/>
                <w:b/>
                <w:color w:val="000000"/>
                <w:sz w:val="22"/>
                <w:szCs w:val="22"/>
              </w:rPr>
            </w:r>
            <w:r>
              <w:rPr>
                <w:rFonts w:ascii="Times New Roman" w:hAnsi="Times New Roman" w:eastAsia="Calibri"/>
                <w:b/>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rPr>
                <w:rFonts w:ascii="Times New Roman" w:hAnsi="Times New Roman" w:eastAsia="Calibri"/>
                <w:color w:val="000000"/>
                <w:sz w:val="22"/>
                <w:szCs w:val="22"/>
              </w:rPr>
            </w:pPr>
            <w:r>
              <w:rPr>
                <w:rFonts w:ascii="Times New Roman" w:hAnsi="Times New Roman"/>
                <w:sz w:val="22"/>
                <w:szCs w:val="22"/>
              </w:rPr>
              <w:t xml:space="preserve">Общество с ограниченной ответственностью «Бухучет сервис»</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4"/>
            <w:tcBorders>
              <w:top w:val="none" w:color="000000" w:sz="4" w:space="0"/>
              <w:left w:val="none" w:color="000000" w:sz="4" w:space="0"/>
              <w:bottom w:val="none" w:color="000000" w:sz="4" w:space="0"/>
              <w:right w:val="none" w:color="000000" w:sz="4" w:space="0"/>
            </w:tcBorders>
            <w:tcW w:w="4671"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top w:val="none" w:color="000000" w:sz="4" w:space="0"/>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4"/>
            <w:tcBorders>
              <w:top w:val="none" w:color="000000" w:sz="4" w:space="0"/>
              <w:left w:val="none" w:color="000000" w:sz="4" w:space="0"/>
              <w:bottom w:val="none" w:color="000000" w:sz="4" w:space="0"/>
              <w:right w:val="none" w:color="000000" w:sz="4" w:space="0"/>
            </w:tcBorders>
            <w:tcW w:w="4673"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Генеральный директор:</w:t>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gridSpan w:val="3"/>
            <w:tcBorders>
              <w:left w:val="none" w:color="000000" w:sz="4" w:space="0"/>
              <w:right w:val="none" w:color="000000" w:sz="4" w:space="0"/>
            </w:tcBorders>
            <w:tcW w:w="425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419"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sz w:val="22"/>
                <w:szCs w:val="22"/>
              </w:rPr>
              <w:t xml:space="preserve">А.Г. </w:t>
            </w:r>
            <w:r>
              <w:rPr>
                <w:rFonts w:ascii="Times New Roman" w:hAnsi="Times New Roman"/>
                <w:sz w:val="22"/>
                <w:szCs w:val="22"/>
              </w:rPr>
              <w:t xml:space="preserve">Корлыханов</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2337"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r>
      <w:tr>
        <w:trPr/>
        <w:tc>
          <w:tcPr>
            <w:tcBorders>
              <w:top w:val="none" w:color="000000" w:sz="4" w:space="0"/>
              <w:left w:val="none" w:color="000000" w:sz="4" w:space="0"/>
              <w:bottom w:val="none" w:color="000000" w:sz="4" w:space="0"/>
              <w:right w:val="none" w:color="000000" w:sz="4" w:space="0"/>
            </w:tcBorders>
            <w:tcW w:w="98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right w:val="none" w:color="000000" w:sz="4" w:space="0"/>
            </w:tcBorders>
            <w:tcW w:w="212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bottom w:val="none" w:color="000000" w:sz="4" w:space="0"/>
              <w:right w:val="none" w:color="000000" w:sz="4" w:space="0"/>
            </w:tcBorders>
            <w:tcW w:w="1558"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992"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       »</w:t>
            </w:r>
            <w:r>
              <w:rPr>
                <w:rFonts w:ascii="Times New Roman" w:hAnsi="Times New Roman" w:eastAsia="Calibri"/>
                <w:color w:val="000000"/>
                <w:sz w:val="22"/>
                <w:szCs w:val="22"/>
              </w:rPr>
            </w:r>
            <w:r>
              <w:rPr>
                <w:rFonts w:ascii="Times New Roman" w:hAnsi="Times New Roman" w:eastAsia="Calibri"/>
                <w:color w:val="000000"/>
                <w:sz w:val="22"/>
                <w:szCs w:val="22"/>
              </w:rPr>
            </w:r>
          </w:p>
        </w:tc>
        <w:tc>
          <w:tcPr>
            <w:gridSpan w:val="2"/>
            <w:tcBorders>
              <w:top w:val="none" w:color="000000" w:sz="4" w:space="0"/>
              <w:left w:val="none" w:color="000000" w:sz="4" w:space="0"/>
              <w:right w:val="none" w:color="000000" w:sz="4" w:space="0"/>
            </w:tcBorders>
            <w:tcW w:w="2124"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tc>
        <w:tc>
          <w:tcPr>
            <w:tcBorders>
              <w:top w:val="none" w:color="000000" w:sz="4" w:space="0"/>
              <w:left w:val="none" w:color="000000" w:sz="4" w:space="0"/>
              <w:bottom w:val="none" w:color="000000" w:sz="4" w:space="0"/>
              <w:right w:val="none" w:color="000000" w:sz="4" w:space="0"/>
            </w:tcBorders>
            <w:tcW w:w="1556" w:type="dxa"/>
            <w:textDirection w:val="lrTb"/>
            <w:noWrap w:val="false"/>
          </w:tcPr>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t xml:space="preserve">20___г.</w:t>
            </w:r>
            <w:r>
              <w:rPr>
                <w:rFonts w:ascii="Times New Roman" w:hAnsi="Times New Roman" w:eastAsia="Calibri"/>
                <w:color w:val="000000"/>
                <w:sz w:val="22"/>
                <w:szCs w:val="22"/>
              </w:rPr>
            </w:r>
            <w:r>
              <w:rPr>
                <w:rFonts w:ascii="Times New Roman" w:hAnsi="Times New Roman" w:eastAsia="Calibri"/>
                <w:color w:val="000000"/>
                <w:sz w:val="22"/>
                <w:szCs w:val="22"/>
              </w:rPr>
            </w:r>
          </w:p>
        </w:tc>
      </w:tr>
    </w:tbl>
    <w:p>
      <w:pPr>
        <w:pBdr/>
        <w:spacing/>
        <w:ind/>
        <w:jc w:val="both"/>
        <w:rPr>
          <w:rFonts w:ascii="Times New Roman" w:hAnsi="Times New Roman" w:eastAsia="Calibri"/>
          <w:color w:val="000000"/>
          <w:sz w:val="22"/>
          <w:szCs w:val="22"/>
        </w:rPr>
      </w:pPr>
      <w:r>
        <w:rPr>
          <w:rFonts w:ascii="Times New Roman" w:hAnsi="Times New Roman" w:eastAsia="Calibri"/>
          <w:color w:val="000000"/>
          <w:sz w:val="22"/>
          <w:szCs w:val="22"/>
        </w:rPr>
      </w:r>
      <w:r>
        <w:rPr>
          <w:rFonts w:ascii="Times New Roman" w:hAnsi="Times New Roman" w:eastAsia="Calibri"/>
          <w:color w:val="000000"/>
          <w:sz w:val="22"/>
          <w:szCs w:val="22"/>
        </w:rPr>
      </w:r>
      <w:r>
        <w:rPr>
          <w:rFonts w:ascii="Times New Roman" w:hAnsi="Times New Roman" w:eastAsia="Calibri"/>
          <w:color w:val="000000"/>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3"/>
        <w:pBdr/>
        <w:spacing/>
        <w:ind/>
        <w:jc w:val="both"/>
        <w:rPr>
          <w:sz w:val="22"/>
          <w:szCs w:val="22"/>
        </w:rPr>
      </w:pPr>
      <w:r>
        <w:rPr>
          <w:sz w:val="22"/>
          <w:szCs w:val="22"/>
        </w:rPr>
      </w:r>
      <w:r>
        <w:rPr>
          <w:sz w:val="22"/>
          <w:szCs w:val="22"/>
        </w:rPr>
      </w:r>
      <w:r>
        <w:rPr>
          <w:sz w:val="22"/>
          <w:szCs w:val="22"/>
        </w:rPr>
      </w:r>
    </w:p>
    <w:p>
      <w:pPr>
        <w:pStyle w:val="97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Приложение №2</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2"/>
        <w:pBdr/>
        <w:spacing/>
        <w:ind/>
        <w:jc w:val="right"/>
        <w:rPr>
          <w:rFonts w:ascii="Times New Roman" w:hAnsi="Times New Roman" w:cs="Times New Roman"/>
          <w:b w:val="0"/>
          <w:bCs w:val="0"/>
          <w:sz w:val="22"/>
          <w:szCs w:val="22"/>
        </w:rPr>
      </w:pPr>
      <w:r>
        <w:rPr>
          <w:rFonts w:ascii="Times New Roman" w:hAnsi="Times New Roman" w:eastAsia="Times New Roman" w:cs="Times New Roman"/>
          <w:b w:val="0"/>
          <w:bCs w:val="0"/>
          <w:sz w:val="22"/>
          <w:szCs w:val="22"/>
        </w:rPr>
        <w:t xml:space="preserve"> к ГК №__________от ____________________</w:t>
      </w:r>
      <w:r>
        <w:rPr>
          <w:rFonts w:ascii="Times New Roman" w:hAnsi="Times New Roman" w:cs="Times New Roman"/>
          <w:b w:val="0"/>
          <w:bCs w:val="0"/>
          <w:sz w:val="22"/>
          <w:szCs w:val="22"/>
        </w:rPr>
      </w:r>
      <w:r>
        <w:rPr>
          <w:rFonts w:ascii="Times New Roman" w:hAnsi="Times New Roman" w:cs="Times New Roman"/>
          <w:b w:val="0"/>
          <w:bCs w:val="0"/>
          <w:sz w:val="22"/>
          <w:szCs w:val="22"/>
        </w:rPr>
      </w:r>
    </w:p>
    <w:p>
      <w:pPr>
        <w:pStyle w:val="973"/>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3"/>
        <w:pBdr/>
        <w:tabs>
          <w:tab w:val="left" w:leader="none" w:pos="6956"/>
        </w:tabs>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Спецификация</w:t>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p>
      <w:pPr>
        <w:pStyle w:val="973"/>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W w:w="0" w:type="auto"/>
        <w:tblBorders/>
        <w:tblLayout w:type="fixed"/>
        <w:tblLook w:val="04A0" w:firstRow="1" w:lastRow="0" w:firstColumn="1" w:lastColumn="0" w:noHBand="0" w:noVBand="1"/>
        <w:tblStyle w:val="976"/>
      </w:tblPr>
      <w:tblGrid>
        <w:gridCol w:w="567"/>
        <w:gridCol w:w="2267"/>
        <w:gridCol w:w="1134"/>
        <w:gridCol w:w="1984"/>
        <w:gridCol w:w="2126"/>
        <w:gridCol w:w="1276"/>
      </w:tblGrid>
      <w:tr>
        <w:trPr/>
        <w:tc>
          <w:tcPr>
            <w:tcBorders/>
            <w:tcW w:w="567" w:type="dxa"/>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 п/п</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267" w:type="dxa"/>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Наименование</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134" w:type="dxa"/>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Единица измерения</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984" w:type="dxa"/>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Количество</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126" w:type="dxa"/>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Стоимость за единицу, руб </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276" w:type="dxa"/>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Общая стоимость, руб</w:t>
            </w:r>
            <w:r>
              <w:rPr>
                <w:rFonts w:ascii="Times New Roman" w:hAnsi="Times New Roman" w:cs="Times New Roman"/>
                <w:sz w:val="22"/>
                <w:szCs w:val="22"/>
                <w:highlight w:val="none"/>
              </w:rPr>
            </w:r>
            <w:r>
              <w:rPr>
                <w:rFonts w:ascii="Times New Roman" w:hAnsi="Times New Roman" w:cs="Times New Roman"/>
                <w:sz w:val="22"/>
                <w:szCs w:val="22"/>
                <w:highlight w:val="none"/>
              </w:rPr>
            </w:r>
          </w:p>
        </w:tc>
      </w:tr>
      <w:tr>
        <w:trPr>
          <w:trHeight w:val="2024"/>
        </w:trPr>
        <w:tc>
          <w:tcPr>
            <w:tcBorders/>
            <w:tcW w:w="567" w:type="dxa"/>
            <w:vMerge w:val="restart"/>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cs="Times New Roman"/>
                <w:sz w:val="22"/>
                <w:szCs w:val="22"/>
                <w:highlight w:val="none"/>
              </w:rPr>
              <w:t xml:space="preserve">1</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267" w:type="dxa"/>
            <w:vMerge w:val="restart"/>
            <w:textDirection w:val="lrTb"/>
            <w:noWrap w:val="false"/>
          </w:tcPr>
          <w:p>
            <w:pPr>
              <w:pStyle w:val="955"/>
              <w:pBdr/>
              <w:tabs>
                <w:tab w:val="left" w:leader="none" w:pos="993"/>
              </w:tabs>
              <w:spacing/>
              <w:ind/>
              <w:jc w:val="both"/>
              <w:rPr>
                <w:rFonts w:ascii="Times New Roman" w:hAnsi="Times New Roman" w:cs="Times New Roman"/>
                <w:sz w:val="22"/>
                <w:szCs w:val="22"/>
              </w:rPr>
            </w:pPr>
            <w:r>
              <w:rPr>
                <w:rFonts w:ascii="Times New Roman" w:hAnsi="Times New Roman" w:eastAsia="Times New Roman" w:cs="Times New Roman"/>
                <w:sz w:val="22"/>
                <w:szCs w:val="22"/>
              </w:rPr>
              <w:t xml:space="preserve">Информационно-консультационное обслуживание программного продукта «Конфигурация для учреждений ФСИН» </w:t>
            </w:r>
            <w:r>
              <w:rPr>
                <w:rFonts w:ascii="Times New Roman" w:hAnsi="Times New Roman" w:cs="Times New Roman"/>
                <w:sz w:val="22"/>
                <w:szCs w:val="22"/>
              </w:rPr>
            </w:r>
            <w:r>
              <w:rPr>
                <w:rFonts w:ascii="Times New Roman" w:hAnsi="Times New Roman" w:cs="Times New Roman"/>
                <w:sz w:val="22"/>
                <w:szCs w:val="22"/>
              </w:rPr>
            </w:r>
          </w:p>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134" w:type="dxa"/>
            <w:vMerge w:val="restart"/>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t xml:space="preserve">час</w:t>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1984" w:type="dxa"/>
            <w:vMerge w:val="restart"/>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c>
          <w:tcPr>
            <w:tcBorders/>
            <w:tcW w:w="2126" w:type="dxa"/>
            <w:vMerge w:val="restart"/>
            <w:textDirection w:val="lrTb"/>
            <w:noWrap w:val="false"/>
          </w:tcPr>
          <w:p>
            <w:pPr>
              <w:pStyle w:val="97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2 520 </w:t>
            </w:r>
            <w:r>
              <w:rPr>
                <w:rFonts w:ascii="Times New Roman" w:hAnsi="Times New Roman" w:cs="Times New Roman"/>
                <w:sz w:val="22"/>
                <w:szCs w:val="22"/>
                <w:highlight w:val="none"/>
              </w:rPr>
            </w:r>
          </w:p>
          <w:p>
            <w:pPr>
              <w:pStyle w:val="973"/>
              <w:pBdr/>
              <w:tabs>
                <w:tab w:val="left" w:leader="none" w:pos="6956"/>
              </w:tabs>
              <w:spacing/>
              <w:ind/>
              <w:jc w:val="center"/>
              <w:rPr>
                <w:rFonts w:ascii="Times New Roman" w:hAnsi="Times New Roman" w:eastAsia="Times New Roman" w:cs="Times New Roman"/>
                <w:sz w:val="22"/>
                <w:szCs w:val="22"/>
                <w:highlight w:val="none"/>
              </w:rPr>
            </w:pPr>
            <w:r>
              <w:rPr>
                <w:rFonts w:ascii="Times New Roman" w:hAnsi="Times New Roman" w:eastAsia="Times New Roman" w:cs="Times New Roman"/>
                <w:sz w:val="22"/>
                <w:szCs w:val="22"/>
                <w:highlight w:val="none"/>
              </w:rPr>
              <w:t xml:space="preserve">(</w:t>
            </w:r>
            <w:r>
              <w:rPr>
                <w:rFonts w:ascii="Times New Roman" w:hAnsi="Times New Roman" w:eastAsia="Times New Roman" w:cs="Times New Roman"/>
                <w:bCs/>
                <w:sz w:val="22"/>
                <w:szCs w:val="22"/>
                <w:highlight w:val="yellow"/>
              </w:rPr>
              <w:t xml:space="preserve">в т.ч. 5% НДС</w:t>
            </w:r>
            <w:r>
              <w:rPr>
                <w:rFonts w:ascii="Times New Roman" w:hAnsi="Times New Roman" w:eastAsia="Times New Roman" w:cs="Times New Roman"/>
                <w:sz w:val="22"/>
                <w:szCs w:val="22"/>
                <w:highlight w:val="yellow"/>
              </w:rPr>
              <w:t xml:space="preserve">, п. 8 ст. 164 НК РФ)</w:t>
            </w:r>
            <w:r>
              <w:rPr>
                <w:rFonts w:ascii="Times New Roman" w:hAnsi="Times New Roman" w:cs="Times New Roman"/>
                <w:sz w:val="22"/>
                <w:szCs w:val="22"/>
                <w:highlight w:val="none"/>
              </w:rPr>
            </w:r>
            <w:r/>
          </w:p>
        </w:tc>
        <w:tc>
          <w:tcPr>
            <w:tcBorders/>
            <w:tcW w:w="1276" w:type="dxa"/>
            <w:vMerge w:val="restart"/>
            <w:textDirection w:val="lrTb"/>
            <w:noWrap w:val="false"/>
          </w:tcPr>
          <w:p>
            <w:pPr>
              <w:pStyle w:val="973"/>
              <w:pBdr/>
              <w:tabs>
                <w:tab w:val="left" w:leader="none" w:pos="6956"/>
              </w:tabs>
              <w:spacing/>
              <w:ind/>
              <w:jc w:val="center"/>
              <w:rPr>
                <w:rFonts w:ascii="Times New Roman" w:hAnsi="Times New Roman" w:cs="Times New Roman"/>
                <w:sz w:val="22"/>
                <w:szCs w:val="22"/>
                <w:highlight w:val="none"/>
              </w:rPr>
            </w:pPr>
            <w:r>
              <w:rPr>
                <w:rFonts w:ascii="Times New Roman" w:hAnsi="Times New Roman" w:eastAsia="Times New Roman" w:cs="Times New Roman"/>
                <w:sz w:val="22"/>
                <w:szCs w:val="22"/>
                <w:highlight w:val="none"/>
              </w:rPr>
            </w:r>
            <w:r>
              <w:rPr>
                <w:rFonts w:ascii="Times New Roman" w:hAnsi="Times New Roman" w:cs="Times New Roman"/>
                <w:sz w:val="22"/>
                <w:szCs w:val="22"/>
                <w:highlight w:val="none"/>
              </w:rPr>
            </w:r>
            <w:r>
              <w:rPr>
                <w:rFonts w:ascii="Times New Roman" w:hAnsi="Times New Roman" w:cs="Times New Roman"/>
                <w:sz w:val="22"/>
                <w:szCs w:val="22"/>
                <w:highlight w:val="none"/>
              </w:rPr>
            </w:r>
          </w:p>
        </w:tc>
      </w:tr>
    </w:tbl>
    <w:p>
      <w:pPr>
        <w:pStyle w:val="973"/>
        <w:pBdr/>
        <w:tabs>
          <w:tab w:val="left" w:leader="none" w:pos="6956"/>
        </w:tabs>
        <w:spacing/>
        <w:ind/>
        <w:jc w:val="center"/>
        <w:rPr>
          <w:rFonts w:ascii="Times New Roman" w:hAnsi="Times New Roman" w:cs="Times New Roman"/>
          <w:sz w:val="22"/>
          <w:szCs w:val="22"/>
        </w:rPr>
      </w:pPr>
      <w:r>
        <w:rPr>
          <w:rFonts w:ascii="Times New Roman" w:hAnsi="Times New Roman" w:eastAsia="Times New Roman" w:cs="Times New Roman"/>
          <w:sz w:val="22"/>
          <w:szCs w:val="22"/>
          <w:highlight w:val="none"/>
        </w:rPr>
      </w:r>
      <w:r>
        <w:rPr>
          <w:rFonts w:ascii="Times New Roman" w:hAnsi="Times New Roman" w:cs="Times New Roman"/>
          <w:sz w:val="22"/>
          <w:szCs w:val="22"/>
        </w:rPr>
      </w:r>
      <w:r>
        <w:rPr>
          <w:rFonts w:ascii="Times New Roman" w:hAnsi="Times New Roman" w:cs="Times New Roman"/>
          <w:sz w:val="22"/>
          <w:szCs w:val="22"/>
        </w:rPr>
      </w:r>
    </w:p>
    <w:p>
      <w:pPr>
        <w:pStyle w:val="973"/>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3"/>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p>
      <w:pPr>
        <w:pStyle w:val="973"/>
        <w:pBdr/>
        <w:spacing/>
        <w:ind/>
        <w:rPr>
          <w:rFonts w:ascii="Times New Roman" w:hAnsi="Times New Roman" w:cs="Times New Roman"/>
          <w:sz w:val="22"/>
          <w:szCs w:val="22"/>
        </w:rPr>
      </w:pPr>
      <w:r>
        <w:rPr>
          <w:rFonts w:ascii="Times New Roman" w:hAnsi="Times New Roman" w:eastAsia="Times New Roman" w:cs="Times New Roman"/>
          <w:sz w:val="22"/>
          <w:szCs w:val="22"/>
        </w:rPr>
      </w:r>
      <w:r>
        <w:rPr>
          <w:rFonts w:ascii="Times New Roman" w:hAnsi="Times New Roman" w:cs="Times New Roman"/>
          <w:sz w:val="22"/>
          <w:szCs w:val="22"/>
        </w:rPr>
      </w:r>
      <w:r>
        <w:rPr>
          <w:rFonts w:ascii="Times New Roman" w:hAnsi="Times New Roman" w:cs="Times New Roman"/>
          <w:sz w:val="22"/>
          <w:szCs w:val="22"/>
        </w:rPr>
      </w:r>
    </w:p>
    <w:tbl>
      <w:tblPr>
        <w:tblInd w:w="108" w:type="dxa"/>
        <w:tblW w:w="0" w:type="auto"/>
        <w:tblBorders/>
        <w:tblLook w:val="04A0" w:firstRow="1" w:lastRow="0" w:firstColumn="1" w:lastColumn="0" w:noHBand="0" w:noVBand="1"/>
      </w:tblPr>
      <w:tblGrid>
        <w:gridCol w:w="4800"/>
        <w:gridCol w:w="4663"/>
      </w:tblGrid>
      <w:tr>
        <w:trPr>
          <w:trHeight w:val="1983"/>
        </w:trPr>
        <w:tc>
          <w:tcPr>
            <w:tcBorders/>
            <w:tcW w:w="4928" w:type="dxa"/>
            <w:textDirection w:val="lrTb"/>
            <w:noWrap w:val="false"/>
          </w:tcPr>
          <w:p>
            <w:pPr>
              <w:pStyle w:val="978"/>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Государственный заказчик:</w:t>
            </w:r>
            <w:r>
              <w:rPr>
                <w:rFonts w:ascii="Times New Roman" w:hAnsi="Times New Roman" w:cs="Times New Roman"/>
                <w:b/>
                <w:sz w:val="22"/>
                <w:szCs w:val="22"/>
              </w:rPr>
            </w:r>
            <w:r>
              <w:rPr>
                <w:rFonts w:ascii="Times New Roman" w:hAnsi="Times New Roman" w:cs="Times New Roman"/>
                <w:b/>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___________________ /_________________</w:t>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rPr>
                <w:rFonts w:ascii="Times New Roman" w:hAnsi="Times New Roman" w:cs="Times New Roman"/>
                <w:sz w:val="22"/>
                <w:szCs w:val="22"/>
                <w:vertAlign w:val="superscript"/>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vertAlign w:val="superscript"/>
              </w:rPr>
            </w:r>
            <w:r>
              <w:rPr>
                <w:rFonts w:ascii="Times New Roman" w:hAnsi="Times New Roman" w:cs="Times New Roman"/>
                <w:sz w:val="22"/>
                <w:szCs w:val="22"/>
                <w:vertAlign w:val="superscript"/>
              </w:rPr>
            </w:r>
          </w:p>
        </w:tc>
        <w:tc>
          <w:tcPr>
            <w:tcBorders/>
            <w:tcW w:w="4783" w:type="dxa"/>
            <w:textDirection w:val="lrTb"/>
            <w:noWrap w:val="false"/>
          </w:tcPr>
          <w:p>
            <w:pPr>
              <w:pStyle w:val="978"/>
              <w:pBdr/>
              <w:shd w:val="clear" w:color="auto" w:fill="auto"/>
              <w:spacing w:line="240" w:lineRule="auto"/>
              <w:ind/>
              <w:jc w:val="center"/>
              <w:rPr>
                <w:rFonts w:ascii="Times New Roman" w:hAnsi="Times New Roman" w:cs="Times New Roman"/>
                <w:b/>
                <w:sz w:val="22"/>
                <w:szCs w:val="22"/>
              </w:rPr>
            </w:pPr>
            <w:r>
              <w:rPr>
                <w:rFonts w:ascii="Times New Roman" w:hAnsi="Times New Roman" w:eastAsia="Times New Roman" w:cs="Times New Roman"/>
                <w:b/>
                <w:sz w:val="22"/>
                <w:szCs w:val="22"/>
                <w:lang w:val="ru-RU" w:eastAsia="ru-RU"/>
              </w:rPr>
              <w:t xml:space="preserve">«Исполнитель»</w:t>
            </w:r>
            <w:r>
              <w:rPr>
                <w:rFonts w:ascii="Times New Roman" w:hAnsi="Times New Roman" w:cs="Times New Roman"/>
                <w:b/>
                <w:sz w:val="22"/>
                <w:szCs w:val="22"/>
              </w:rPr>
            </w:r>
            <w:r>
              <w:rPr>
                <w:rFonts w:ascii="Times New Roman" w:hAnsi="Times New Roman" w:cs="Times New Roman"/>
                <w:b/>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jc w:val="left"/>
              <w:rPr>
                <w:rFonts w:ascii="Times New Roman" w:hAnsi="Times New Roman" w:cs="Times New Roman"/>
                <w:sz w:val="22"/>
                <w:szCs w:val="22"/>
              </w:rPr>
            </w:pPr>
            <w:r>
              <w:rPr>
                <w:rFonts w:ascii="Times New Roman" w:hAnsi="Times New Roman" w:eastAsia="Times New Roman" w:cs="Times New Roman"/>
                <w:sz w:val="22"/>
                <w:szCs w:val="22"/>
                <w:lang w:val="ru-RU" w:eastAsia="ru-RU"/>
              </w:rPr>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lang w:val="ru-RU" w:eastAsia="ru-RU"/>
              </w:rPr>
              <w:t xml:space="preserve">__________________/ Корлыханов А.Г.</w:t>
            </w:r>
            <w:r>
              <w:rPr>
                <w:rFonts w:ascii="Times New Roman" w:hAnsi="Times New Roman" w:cs="Times New Roman"/>
                <w:sz w:val="22"/>
                <w:szCs w:val="22"/>
              </w:rPr>
            </w:r>
            <w:r>
              <w:rPr>
                <w:rFonts w:ascii="Times New Roman" w:hAnsi="Times New Roman" w:cs="Times New Roman"/>
                <w:sz w:val="22"/>
                <w:szCs w:val="22"/>
              </w:rPr>
            </w:r>
          </w:p>
          <w:p>
            <w:pPr>
              <w:pStyle w:val="978"/>
              <w:pBdr/>
              <w:shd w:val="clear" w:color="auto" w:fill="auto"/>
              <w:spacing w:line="240" w:lineRule="auto"/>
              <w:ind/>
              <w:rPr>
                <w:rFonts w:ascii="Times New Roman" w:hAnsi="Times New Roman" w:cs="Times New Roman"/>
                <w:sz w:val="22"/>
                <w:szCs w:val="22"/>
              </w:rPr>
            </w:pPr>
            <w:r>
              <w:rPr>
                <w:rFonts w:ascii="Times New Roman" w:hAnsi="Times New Roman" w:eastAsia="Times New Roman" w:cs="Times New Roman"/>
                <w:sz w:val="22"/>
                <w:szCs w:val="22"/>
                <w:vertAlign w:val="superscript"/>
                <w:lang w:val="ru-RU" w:eastAsia="ru-RU"/>
              </w:rPr>
              <w:t xml:space="preserve">МП</w:t>
            </w:r>
            <w:r>
              <w:rPr>
                <w:rFonts w:ascii="Times New Roman" w:hAnsi="Times New Roman" w:cs="Times New Roman"/>
                <w:sz w:val="22"/>
                <w:szCs w:val="22"/>
              </w:rPr>
            </w:r>
            <w:r>
              <w:rPr>
                <w:rFonts w:ascii="Times New Roman" w:hAnsi="Times New Roman" w:cs="Times New Roman"/>
                <w:sz w:val="22"/>
                <w:szCs w:val="22"/>
              </w:rPr>
            </w:r>
          </w:p>
        </w:tc>
      </w:tr>
    </w:tbl>
    <w:p>
      <w:pPr>
        <w:pStyle w:val="973"/>
        <w:pBdr/>
        <w:spacing/>
        <w:ind/>
        <w:jc w:val="both"/>
        <w:rPr>
          <w:sz w:val="22"/>
          <w:szCs w:val="22"/>
        </w:rPr>
      </w:pPr>
      <w:r>
        <w:rPr>
          <w:sz w:val="22"/>
          <w:szCs w:val="22"/>
        </w:rPr>
      </w:r>
      <w:r>
        <w:rPr>
          <w:sz w:val="22"/>
          <w:szCs w:val="22"/>
        </w:rPr>
      </w:r>
      <w:r>
        <w:rPr>
          <w:sz w:val="22"/>
          <w:szCs w:val="22"/>
        </w:rPr>
      </w:r>
    </w:p>
    <w:sectPr>
      <w:footnotePr/>
      <w:endnotePr/>
      <w:type w:val="nextPage"/>
      <w:pgSz w:h="16838" w:orient="portrait" w:w="11906"/>
      <w:pgMar w:top="1134" w:right="850" w:bottom="1134" w:left="1701" w:header="0" w:footer="0" w:gutter="0"/>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ahoma">
    <w:panose1 w:val="020B0604030504040204"/>
  </w:font>
  <w:font w:name="Calibri">
    <w:panose1 w:val="020F0502020204030204"/>
  </w:font>
  <w:font w:name="Symbol">
    <w:panose1 w:val="05050102010706020507"/>
  </w:font>
  <w:font w:name="Courier New">
    <w:panose1 w:val="02070309020205020404"/>
  </w:font>
  <w:font w:name="Wingdings">
    <w:panose1 w:val="05000000000000000000"/>
  </w:font>
  <w:font w:name="Liberation Sans">
    <w:panose1 w:val="020B0604020202020204"/>
  </w:font>
  <w:font w:name="Verdana">
    <w:panose1 w:val="020B0604030504040204"/>
  </w:font>
  <w:font w:name="Lucida Sans Unicode">
    <w:panose1 w:val="020B0602030504020204"/>
  </w:font>
  <w:font w:name="Microsoft YaHei">
    <w:panose1 w:val="020B0503020204020204"/>
  </w:font>
  <w:font w:name="Times New Roman">
    <w:panose1 w:val="02020603050405020304"/>
  </w:font>
  <w:font w:name="Arial Unicode MS">
    <w:panose1 w:val="020B06040202020202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6">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7">
    <w:lvl w:ilvl="0">
      <w:isLgl w:val="false"/>
      <w:lvlJc w:val="left"/>
      <w:lvlText w:val=""/>
      <w:numFmt w:val="bullet"/>
      <w:pPr>
        <w:pBdr/>
        <w:tabs>
          <w:tab w:val="num" w:leader="none" w:pos="0"/>
        </w:tabs>
        <w:spacing/>
        <w:ind w:hanging="360" w:left="1140"/>
      </w:pPr>
      <w:rPr>
        <w:rFonts w:hint="default" w:ascii="Symbol" w:hAnsi="Symbol" w:cs="Symbol"/>
      </w:rPr>
      <w:start w:val="1"/>
      <w:suff w:val="tab"/>
    </w:lvl>
    <w:lvl w:ilvl="1">
      <w:isLgl w:val="false"/>
      <w:lvlJc w:val="left"/>
      <w:lvlText w:val="o"/>
      <w:numFmt w:val="bullet"/>
      <w:pPr>
        <w:pBdr/>
        <w:tabs>
          <w:tab w:val="num" w:leader="none" w:pos="0"/>
        </w:tabs>
        <w:spacing/>
        <w:ind w:hanging="360" w:left="18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5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300"/>
      </w:pPr>
      <w:rPr>
        <w:rFonts w:hint="default" w:ascii="Symbol" w:hAnsi="Symbol" w:cs="Symbol"/>
      </w:rPr>
      <w:start w:val="1"/>
      <w:suff w:val="tab"/>
    </w:lvl>
    <w:lvl w:ilvl="4">
      <w:isLgl w:val="false"/>
      <w:lvlJc w:val="left"/>
      <w:lvlText w:val="o"/>
      <w:numFmt w:val="bullet"/>
      <w:pPr>
        <w:pBdr/>
        <w:tabs>
          <w:tab w:val="num" w:leader="none" w:pos="0"/>
        </w:tabs>
        <w:spacing/>
        <w:ind w:hanging="360" w:left="40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7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460"/>
      </w:pPr>
      <w:rPr>
        <w:rFonts w:hint="default" w:ascii="Symbol" w:hAnsi="Symbol" w:cs="Symbol"/>
      </w:rPr>
      <w:start w:val="1"/>
      <w:suff w:val="tab"/>
    </w:lvl>
    <w:lvl w:ilvl="7">
      <w:isLgl w:val="false"/>
      <w:lvlJc w:val="left"/>
      <w:lvlText w:val="o"/>
      <w:numFmt w:val="bullet"/>
      <w:pPr>
        <w:pBdr/>
        <w:tabs>
          <w:tab w:val="num" w:leader="none" w:pos="0"/>
        </w:tabs>
        <w:spacing/>
        <w:ind w:hanging="360" w:left="61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900"/>
      </w:pPr>
      <w:rPr>
        <w:rFonts w:hint="default" w:ascii="Wingdings" w:hAnsi="Wingdings" w:cs="Wingdings"/>
      </w:rPr>
      <w:start w:val="1"/>
      <w:suff w:val="tab"/>
    </w:lvl>
  </w:abstractNum>
  <w:abstractNum w:abstractNumId="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2">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4">
    <w:lvl w:ilvl="0">
      <w:isLgl w:val="false"/>
      <w:lvlJc w:val="left"/>
      <w:lvlText w:val=""/>
      <w:numFmt w:val="bullet"/>
      <w:pPr>
        <w:pBdr/>
        <w:tabs>
          <w:tab w:val="num" w:leader="none" w:pos="0"/>
        </w:tabs>
        <w:spacing/>
        <w:ind w:hanging="360" w:left="1512"/>
      </w:pPr>
      <w:rPr>
        <w:rFonts w:hint="default" w:ascii="Symbol" w:hAnsi="Symbol" w:cs="Symbol"/>
      </w:rPr>
      <w:start w:val="1"/>
      <w:suff w:val="tab"/>
    </w:lvl>
    <w:lvl w:ilvl="1">
      <w:isLgl w:val="false"/>
      <w:lvlJc w:val="left"/>
      <w:lvlText w:val="o"/>
      <w:numFmt w:val="bullet"/>
      <w:pPr>
        <w:pBdr/>
        <w:tabs>
          <w:tab w:val="num" w:leader="none" w:pos="0"/>
        </w:tabs>
        <w:spacing/>
        <w:ind w:hanging="360" w:left="2232"/>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952"/>
      </w:pPr>
      <w:rPr>
        <w:rFonts w:hint="default" w:ascii="Wingdings" w:hAnsi="Wingdings" w:cs="Wingdings"/>
      </w:rPr>
      <w:start w:val="1"/>
      <w:suff w:val="tab"/>
    </w:lvl>
    <w:lvl w:ilvl="3">
      <w:isLgl w:val="false"/>
      <w:lvlJc w:val="left"/>
      <w:lvlText w:val=""/>
      <w:numFmt w:val="bullet"/>
      <w:pPr>
        <w:pBdr/>
        <w:tabs>
          <w:tab w:val="num" w:leader="none" w:pos="0"/>
        </w:tabs>
        <w:spacing/>
        <w:ind w:hanging="360" w:left="3672"/>
      </w:pPr>
      <w:rPr>
        <w:rFonts w:hint="default" w:ascii="Symbol" w:hAnsi="Symbol" w:cs="Symbol"/>
      </w:rPr>
      <w:start w:val="1"/>
      <w:suff w:val="tab"/>
    </w:lvl>
    <w:lvl w:ilvl="4">
      <w:isLgl w:val="false"/>
      <w:lvlJc w:val="left"/>
      <w:lvlText w:val="o"/>
      <w:numFmt w:val="bullet"/>
      <w:pPr>
        <w:pBdr/>
        <w:tabs>
          <w:tab w:val="num" w:leader="none" w:pos="0"/>
        </w:tabs>
        <w:spacing/>
        <w:ind w:hanging="360" w:left="4392"/>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112"/>
      </w:pPr>
      <w:rPr>
        <w:rFonts w:hint="default" w:ascii="Wingdings" w:hAnsi="Wingdings" w:cs="Wingdings"/>
      </w:rPr>
      <w:start w:val="1"/>
      <w:suff w:val="tab"/>
    </w:lvl>
    <w:lvl w:ilvl="6">
      <w:isLgl w:val="false"/>
      <w:lvlJc w:val="left"/>
      <w:lvlText w:val=""/>
      <w:numFmt w:val="bullet"/>
      <w:pPr>
        <w:pBdr/>
        <w:tabs>
          <w:tab w:val="num" w:leader="none" w:pos="0"/>
        </w:tabs>
        <w:spacing/>
        <w:ind w:hanging="360" w:left="5832"/>
      </w:pPr>
      <w:rPr>
        <w:rFonts w:hint="default" w:ascii="Symbol" w:hAnsi="Symbol" w:cs="Symbol"/>
      </w:rPr>
      <w:start w:val="1"/>
      <w:suff w:val="tab"/>
    </w:lvl>
    <w:lvl w:ilvl="7">
      <w:isLgl w:val="false"/>
      <w:lvlJc w:val="left"/>
      <w:lvlText w:val="o"/>
      <w:numFmt w:val="bullet"/>
      <w:pPr>
        <w:pBdr/>
        <w:tabs>
          <w:tab w:val="num" w:leader="none" w:pos="0"/>
        </w:tabs>
        <w:spacing/>
        <w:ind w:hanging="360" w:left="6552"/>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72"/>
      </w:pPr>
      <w:rPr>
        <w:rFonts w:hint="default" w:ascii="Wingdings" w:hAnsi="Wingdings" w:cs="Wingdings"/>
      </w:rPr>
      <w:start w:val="1"/>
      <w:suff w:val="tab"/>
    </w:lvl>
  </w:abstractNum>
  <w:abstractNum w:abstractNumId="15">
    <w:lvl w:ilvl="0">
      <w:isLgl w:val="false"/>
      <w:lvlJc w:val="left"/>
      <w:lvlText w:val=""/>
      <w:numFmt w:val="bullet"/>
      <w:pPr>
        <w:pBdr/>
        <w:tabs>
          <w:tab w:val="num" w:leader="none" w:pos="0"/>
        </w:tabs>
        <w:spacing/>
        <w:ind w:hanging="360" w:left="1440"/>
      </w:pPr>
      <w:rPr>
        <w:rFonts w:hint="default" w:ascii="Symbol" w:hAnsi="Symbol" w:cs="Symbol"/>
      </w:rPr>
      <w:start w:val="1"/>
      <w:suff w:val="tab"/>
    </w:lvl>
    <w:lvl w:ilvl="1">
      <w:isLgl w:val="false"/>
      <w:lvlJc w:val="left"/>
      <w:lvlText w:val="o"/>
      <w:numFmt w:val="bullet"/>
      <w:pPr>
        <w:pBdr/>
        <w:tabs>
          <w:tab w:val="num" w:leader="none" w:pos="0"/>
        </w:tabs>
        <w:spacing/>
        <w:ind w:hanging="360" w:left="216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880"/>
      </w:pPr>
      <w:rPr>
        <w:rFonts w:hint="default" w:ascii="Wingdings" w:hAnsi="Wingdings" w:cs="Wingdings"/>
      </w:rPr>
      <w:start w:val="1"/>
      <w:suff w:val="tab"/>
    </w:lvl>
    <w:lvl w:ilvl="3">
      <w:isLgl w:val="false"/>
      <w:lvlJc w:val="left"/>
      <w:lvlText w:val=""/>
      <w:numFmt w:val="bullet"/>
      <w:pPr>
        <w:pBdr/>
        <w:tabs>
          <w:tab w:val="num" w:leader="none" w:pos="0"/>
        </w:tabs>
        <w:spacing/>
        <w:ind w:hanging="360" w:left="3600"/>
      </w:pPr>
      <w:rPr>
        <w:rFonts w:hint="default" w:ascii="Symbol" w:hAnsi="Symbol" w:cs="Symbol"/>
      </w:rPr>
      <w:start w:val="1"/>
      <w:suff w:val="tab"/>
    </w:lvl>
    <w:lvl w:ilvl="4">
      <w:isLgl w:val="false"/>
      <w:lvlJc w:val="left"/>
      <w:lvlText w:val="o"/>
      <w:numFmt w:val="bullet"/>
      <w:pPr>
        <w:pBdr/>
        <w:tabs>
          <w:tab w:val="num" w:leader="none" w:pos="0"/>
        </w:tabs>
        <w:spacing/>
        <w:ind w:hanging="360" w:left="432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5040"/>
      </w:pPr>
      <w:rPr>
        <w:rFonts w:hint="default" w:ascii="Wingdings" w:hAnsi="Wingdings" w:cs="Wingdings"/>
      </w:rPr>
      <w:start w:val="1"/>
      <w:suff w:val="tab"/>
    </w:lvl>
    <w:lvl w:ilvl="6">
      <w:isLgl w:val="false"/>
      <w:lvlJc w:val="left"/>
      <w:lvlText w:val=""/>
      <w:numFmt w:val="bullet"/>
      <w:pPr>
        <w:pBdr/>
        <w:tabs>
          <w:tab w:val="num" w:leader="none" w:pos="0"/>
        </w:tabs>
        <w:spacing/>
        <w:ind w:hanging="360" w:left="5760"/>
      </w:pPr>
      <w:rPr>
        <w:rFonts w:hint="default" w:ascii="Symbol" w:hAnsi="Symbol" w:cs="Symbol"/>
      </w:rPr>
      <w:start w:val="1"/>
      <w:suff w:val="tab"/>
    </w:lvl>
    <w:lvl w:ilvl="7">
      <w:isLgl w:val="false"/>
      <w:lvlJc w:val="left"/>
      <w:lvlText w:val="o"/>
      <w:numFmt w:val="bullet"/>
      <w:pPr>
        <w:pBdr/>
        <w:tabs>
          <w:tab w:val="num" w:leader="none" w:pos="0"/>
        </w:tabs>
        <w:spacing/>
        <w:ind w:hanging="360" w:left="648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7200"/>
      </w:pPr>
      <w:rPr>
        <w:rFonts w:hint="default" w:ascii="Wingdings" w:hAnsi="Wingdings" w:cs="Wingdings"/>
      </w:rPr>
      <w:start w:val="1"/>
      <w:suff w:val="tab"/>
    </w:lvl>
  </w:abstractNum>
  <w:abstractNum w:abstractNumId="1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19">
    <w:lvl w:ilvl="0">
      <w:isLgl w:val="false"/>
      <w:lvlJc w:val="left"/>
      <w:lvlText w:val="%1."/>
      <w:numFmt w:val="decimal"/>
      <w:pPr>
        <w:pBdr/>
        <w:tabs>
          <w:tab w:val="num" w:leader="none" w:pos="0"/>
        </w:tabs>
        <w:spacing/>
        <w:ind w:hanging="360" w:left="720"/>
      </w:pPr>
      <w:rPr/>
      <w:start w:val="1"/>
      <w:suff w:val="tab"/>
    </w:lvl>
    <w:lvl w:ilvl="1">
      <w:isLgl w:val="false"/>
      <w:lvlJc w:val="left"/>
      <w:lvlText w:val="%2."/>
      <w:numFmt w:val="lowerLetter"/>
      <w:pPr>
        <w:pBdr/>
        <w:tabs>
          <w:tab w:val="num" w:leader="none" w:pos="0"/>
        </w:tabs>
        <w:spacing/>
        <w:ind w:hanging="360" w:left="1440"/>
      </w:pPr>
      <w:rPr/>
      <w:start w:val="1"/>
      <w:suff w:val="tab"/>
    </w:lvl>
    <w:lvl w:ilvl="2">
      <w:isLgl w:val="false"/>
      <w:lvlJc w:val="right"/>
      <w:lvlText w:val="%3."/>
      <w:numFmt w:val="lowerRoman"/>
      <w:pPr>
        <w:pBdr/>
        <w:tabs>
          <w:tab w:val="num" w:leader="none" w:pos="0"/>
        </w:tabs>
        <w:spacing/>
        <w:ind w:hanging="180" w:left="2160"/>
      </w:pPr>
      <w:rPr/>
      <w:start w:val="1"/>
      <w:suff w:val="tab"/>
    </w:lvl>
    <w:lvl w:ilvl="3">
      <w:isLgl w:val="false"/>
      <w:lvlJc w:val="left"/>
      <w:lvlText w:val="%4."/>
      <w:numFmt w:val="decimal"/>
      <w:pPr>
        <w:pBdr/>
        <w:tabs>
          <w:tab w:val="num" w:leader="none" w:pos="0"/>
        </w:tabs>
        <w:spacing/>
        <w:ind w:hanging="360" w:left="2880"/>
      </w:pPr>
      <w:rPr/>
      <w:start w:val="1"/>
      <w:suff w:val="tab"/>
    </w:lvl>
    <w:lvl w:ilvl="4">
      <w:isLgl w:val="false"/>
      <w:lvlJc w:val="left"/>
      <w:lvlText w:val="%5."/>
      <w:numFmt w:val="lowerLetter"/>
      <w:pPr>
        <w:pBdr/>
        <w:tabs>
          <w:tab w:val="num" w:leader="none" w:pos="0"/>
        </w:tabs>
        <w:spacing/>
        <w:ind w:hanging="360" w:left="3600"/>
      </w:pPr>
      <w:rPr/>
      <w:start w:val="1"/>
      <w:suff w:val="tab"/>
    </w:lvl>
    <w:lvl w:ilvl="5">
      <w:isLgl w:val="false"/>
      <w:lvlJc w:val="right"/>
      <w:lvlText w:val="%6."/>
      <w:numFmt w:val="lowerRoman"/>
      <w:pPr>
        <w:pBdr/>
        <w:tabs>
          <w:tab w:val="num" w:leader="none" w:pos="0"/>
        </w:tabs>
        <w:spacing/>
        <w:ind w:hanging="180" w:left="4320"/>
      </w:pPr>
      <w:rPr/>
      <w:start w:val="1"/>
      <w:suff w:val="tab"/>
    </w:lvl>
    <w:lvl w:ilvl="6">
      <w:isLgl w:val="false"/>
      <w:lvlJc w:val="left"/>
      <w:lvlText w:val="%7."/>
      <w:numFmt w:val="decimal"/>
      <w:pPr>
        <w:pBdr/>
        <w:tabs>
          <w:tab w:val="num" w:leader="none" w:pos="0"/>
        </w:tabs>
        <w:spacing/>
        <w:ind w:hanging="360" w:left="5040"/>
      </w:pPr>
      <w:rPr/>
      <w:start w:val="1"/>
      <w:suff w:val="tab"/>
    </w:lvl>
    <w:lvl w:ilvl="7">
      <w:isLgl w:val="false"/>
      <w:lvlJc w:val="left"/>
      <w:lvlText w:val="%8."/>
      <w:numFmt w:val="lowerLetter"/>
      <w:pPr>
        <w:pBdr/>
        <w:tabs>
          <w:tab w:val="num" w:leader="none" w:pos="0"/>
        </w:tabs>
        <w:spacing/>
        <w:ind w:hanging="360" w:left="5760"/>
      </w:pPr>
      <w:rPr/>
      <w:start w:val="1"/>
      <w:suff w:val="tab"/>
    </w:lvl>
    <w:lvl w:ilvl="8">
      <w:isLgl w:val="false"/>
      <w:lvlJc w:val="right"/>
      <w:lvlText w:val="%9."/>
      <w:numFmt w:val="lowerRoman"/>
      <w:pPr>
        <w:pBdr/>
        <w:tabs>
          <w:tab w:val="num" w:leader="none" w:pos="0"/>
        </w:tabs>
        <w:spacing/>
        <w:ind w:hanging="180" w:left="6480"/>
      </w:pPr>
      <w:rPr/>
      <w:start w:val="1"/>
      <w:suff w:val="tab"/>
    </w:lvl>
  </w:abstractNum>
  <w:abstractNum w:abstractNumId="2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2">
    <w:lvl w:ilvl="0">
      <w:isLgl w:val="false"/>
      <w:lvlJc w:val="left"/>
      <w:lvlText/>
      <w:numFmt w:val="none"/>
      <w:pPr>
        <w:pBdr/>
        <w:tabs>
          <w:tab w:val="num" w:leader="none" w:pos="0"/>
        </w:tabs>
        <w:spacing/>
        <w:ind w:firstLine="0" w:left="0"/>
      </w:pPr>
      <w:rPr/>
      <w:start w:val="1"/>
      <w:suff w:val="nothing"/>
    </w:lvl>
    <w:lvl w:ilvl="1">
      <w:isLgl w:val="false"/>
      <w:lvlJc w:val="left"/>
      <w:lvlText/>
      <w:numFmt w:val="none"/>
      <w:pPr>
        <w:pBdr/>
        <w:tabs>
          <w:tab w:val="num" w:leader="none" w:pos="0"/>
        </w:tabs>
        <w:spacing/>
        <w:ind w:firstLine="0" w:left="0"/>
      </w:pPr>
      <w:rPr/>
      <w:start w:val="1"/>
      <w:suff w:val="nothing"/>
    </w:lvl>
    <w:lvl w:ilvl="2">
      <w:isLgl w:val="false"/>
      <w:lvlJc w:val="left"/>
      <w:lvlText/>
      <w:numFmt w:val="none"/>
      <w:pPr>
        <w:pBdr/>
        <w:tabs>
          <w:tab w:val="num" w:leader="none" w:pos="0"/>
        </w:tabs>
        <w:spacing/>
        <w:ind w:firstLine="0" w:left="0"/>
      </w:pPr>
      <w:rPr/>
      <w:start w:val="1"/>
      <w:suff w:val="nothing"/>
    </w:lvl>
    <w:lvl w:ilvl="3">
      <w:isLgl w:val="false"/>
      <w:lvlJc w:val="left"/>
      <w:lvlText/>
      <w:numFmt w:val="none"/>
      <w:pPr>
        <w:pBdr/>
        <w:tabs>
          <w:tab w:val="num" w:leader="none" w:pos="0"/>
        </w:tabs>
        <w:spacing/>
        <w:ind w:firstLine="0" w:left="0"/>
      </w:pPr>
      <w:rPr/>
      <w:start w:val="1"/>
      <w:suff w:val="nothing"/>
    </w:lvl>
    <w:lvl w:ilvl="4">
      <w:isLgl w:val="false"/>
      <w:lvlJc w:val="left"/>
      <w:lvlText/>
      <w:numFmt w:val="none"/>
      <w:pPr>
        <w:pBdr/>
        <w:tabs>
          <w:tab w:val="num" w:leader="none" w:pos="0"/>
        </w:tabs>
        <w:spacing/>
        <w:ind w:firstLine="0" w:left="0"/>
      </w:pPr>
      <w:rPr/>
      <w:start w:val="1"/>
      <w:suff w:val="nothing"/>
    </w:lvl>
    <w:lvl w:ilvl="5">
      <w:isLgl w:val="false"/>
      <w:lvlJc w:val="left"/>
      <w:lvlText/>
      <w:numFmt w:val="none"/>
      <w:pPr>
        <w:pBdr/>
        <w:tabs>
          <w:tab w:val="num" w:leader="none" w:pos="0"/>
        </w:tabs>
        <w:spacing/>
        <w:ind w:firstLine="0" w:left="0"/>
      </w:pPr>
      <w:rPr/>
      <w:start w:val="1"/>
      <w:suff w:val="nothing"/>
    </w:lvl>
    <w:lvl w:ilvl="6">
      <w:isLgl w:val="false"/>
      <w:lvlJc w:val="left"/>
      <w:lvlText/>
      <w:numFmt w:val="none"/>
      <w:pPr>
        <w:pBdr/>
        <w:tabs>
          <w:tab w:val="num" w:leader="none" w:pos="0"/>
        </w:tabs>
        <w:spacing/>
        <w:ind w:firstLine="0" w:left="0"/>
      </w:pPr>
      <w:rPr/>
      <w:start w:val="1"/>
      <w:suff w:val="nothing"/>
    </w:lvl>
    <w:lvl w:ilvl="7">
      <w:isLgl w:val="false"/>
      <w:lvlJc w:val="left"/>
      <w:lvlText/>
      <w:numFmt w:val="none"/>
      <w:pPr>
        <w:pBdr/>
        <w:tabs>
          <w:tab w:val="num" w:leader="none" w:pos="0"/>
        </w:tabs>
        <w:spacing/>
        <w:ind w:firstLine="0" w:left="0"/>
      </w:pPr>
      <w:rPr/>
      <w:start w:val="1"/>
      <w:suff w:val="nothing"/>
    </w:lvl>
    <w:lvl w:ilvl="8">
      <w:isLgl w:val="false"/>
      <w:lvlJc w:val="left"/>
      <w:lvlText/>
      <w:numFmt w:val="none"/>
      <w:pPr>
        <w:pBdr/>
        <w:tabs>
          <w:tab w:val="num" w:leader="none" w:pos="0"/>
        </w:tabs>
        <w:spacing/>
        <w:ind w:firstLine="0" w:left="0"/>
      </w:pPr>
      <w:rPr/>
      <w:start w:val="1"/>
      <w:suff w:val="nothing"/>
    </w:lvl>
  </w:abstractNum>
  <w:abstractNum w:abstractNumId="2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5">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16"/>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abstractNum w:abstractNumId="26">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7">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8">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29">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0">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1">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2">
    <w:lvl w:ilvl="0">
      <w:isLgl w:val="false"/>
      <w:lvlJc w:val="left"/>
      <w:lvlText w:val=""/>
      <w:numFmt w:val="bullet"/>
      <w:pPr>
        <w:pBdr/>
        <w:tabs>
          <w:tab w:val="num" w:leader="none" w:pos="0"/>
        </w:tabs>
        <w:spacing/>
        <w:ind w:hanging="360" w:left="465"/>
      </w:pPr>
      <w:rPr>
        <w:rFonts w:hint="default" w:ascii="Symbol" w:hAnsi="Symbol" w:cs="Symbol"/>
      </w:rPr>
      <w:start w:val="1"/>
      <w:suff w:val="tab"/>
    </w:lvl>
    <w:lvl w:ilvl="1">
      <w:isLgl w:val="false"/>
      <w:lvlJc w:val="left"/>
      <w:lvlText w:val="o"/>
      <w:numFmt w:val="bullet"/>
      <w:pPr>
        <w:pBdr/>
        <w:tabs>
          <w:tab w:val="num" w:leader="none" w:pos="0"/>
        </w:tabs>
        <w:spacing/>
        <w:ind w:hanging="360" w:left="1185"/>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1905"/>
      </w:pPr>
      <w:rPr>
        <w:rFonts w:hint="default" w:ascii="Wingdings" w:hAnsi="Wingdings" w:cs="Wingdings"/>
      </w:rPr>
      <w:start w:val="1"/>
      <w:suff w:val="tab"/>
    </w:lvl>
    <w:lvl w:ilvl="3">
      <w:isLgl w:val="false"/>
      <w:lvlJc w:val="left"/>
      <w:lvlText w:val=""/>
      <w:numFmt w:val="bullet"/>
      <w:pPr>
        <w:pBdr/>
        <w:tabs>
          <w:tab w:val="num" w:leader="none" w:pos="0"/>
        </w:tabs>
        <w:spacing/>
        <w:ind w:hanging="360" w:left="2625"/>
      </w:pPr>
      <w:rPr>
        <w:rFonts w:hint="default" w:ascii="Symbol" w:hAnsi="Symbol" w:cs="Symbol"/>
      </w:rPr>
      <w:start w:val="1"/>
      <w:suff w:val="tab"/>
    </w:lvl>
    <w:lvl w:ilvl="4">
      <w:isLgl w:val="false"/>
      <w:lvlJc w:val="left"/>
      <w:lvlText w:val="o"/>
      <w:numFmt w:val="bullet"/>
      <w:pPr>
        <w:pBdr/>
        <w:tabs>
          <w:tab w:val="num" w:leader="none" w:pos="0"/>
        </w:tabs>
        <w:spacing/>
        <w:ind w:hanging="360" w:left="3345"/>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065"/>
      </w:pPr>
      <w:rPr>
        <w:rFonts w:hint="default" w:ascii="Wingdings" w:hAnsi="Wingdings" w:cs="Wingdings"/>
      </w:rPr>
      <w:start w:val="1"/>
      <w:suff w:val="tab"/>
    </w:lvl>
    <w:lvl w:ilvl="6">
      <w:isLgl w:val="false"/>
      <w:lvlJc w:val="left"/>
      <w:lvlText w:val=""/>
      <w:numFmt w:val="bullet"/>
      <w:pPr>
        <w:pBdr/>
        <w:tabs>
          <w:tab w:val="num" w:leader="none" w:pos="0"/>
        </w:tabs>
        <w:spacing/>
        <w:ind w:hanging="360" w:left="4785"/>
      </w:pPr>
      <w:rPr>
        <w:rFonts w:hint="default" w:ascii="Symbol" w:hAnsi="Symbol" w:cs="Symbol"/>
      </w:rPr>
      <w:start w:val="1"/>
      <w:suff w:val="tab"/>
    </w:lvl>
    <w:lvl w:ilvl="7">
      <w:isLgl w:val="false"/>
      <w:lvlJc w:val="left"/>
      <w:lvlText w:val="o"/>
      <w:numFmt w:val="bullet"/>
      <w:pPr>
        <w:pBdr/>
        <w:tabs>
          <w:tab w:val="num" w:leader="none" w:pos="0"/>
        </w:tabs>
        <w:spacing/>
        <w:ind w:hanging="360" w:left="5505"/>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225"/>
      </w:pPr>
      <w:rPr>
        <w:rFonts w:hint="default" w:ascii="Wingdings" w:hAnsi="Wingdings" w:cs="Wingdings"/>
      </w:rPr>
      <w:start w:val="1"/>
      <w:suff w:val="tab"/>
    </w:lvl>
  </w:abstractNum>
  <w:abstractNum w:abstractNumId="33">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4">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5">
    <w:lvl w:ilvl="0">
      <w:isLgl w:val="false"/>
      <w:lvlJc w:val="left"/>
      <w:lvlText w:val=""/>
      <w:numFmt w:val="bullet"/>
      <w:pPr>
        <w:pBdr/>
        <w:tabs>
          <w:tab w:val="num" w:leader="none" w:pos="0"/>
        </w:tabs>
        <w:spacing/>
        <w:ind w:hanging="360" w:left="720"/>
      </w:pPr>
      <w:rPr>
        <w:rFonts w:hint="default" w:ascii="Symbol" w:hAnsi="Symbol" w:cs="Symbol"/>
      </w:rPr>
      <w:start w:val="1"/>
      <w:suff w:val="tab"/>
    </w:lvl>
    <w:lvl w:ilvl="1">
      <w:isLgl w:val="false"/>
      <w:lvlJc w:val="left"/>
      <w:lvlText w:val="o"/>
      <w:numFmt w:val="bullet"/>
      <w:pPr>
        <w:pBdr/>
        <w:tabs>
          <w:tab w:val="num" w:leader="none" w:pos="0"/>
        </w:tabs>
        <w:spacing/>
        <w:ind w:hanging="360" w:left="1440"/>
      </w:pPr>
      <w:rPr>
        <w:rFonts w:hint="default" w:ascii="Courier New" w:hAnsi="Courier New" w:cs="Courier New"/>
      </w:rPr>
      <w:start w:val="1"/>
      <w:suff w:val="tab"/>
    </w:lvl>
    <w:lvl w:ilvl="2">
      <w:isLgl w:val="false"/>
      <w:lvlJc w:val="left"/>
      <w:lvlText w:val=""/>
      <w:numFmt w:val="bullet"/>
      <w:pPr>
        <w:pBdr/>
        <w:tabs>
          <w:tab w:val="num" w:leader="none" w:pos="0"/>
        </w:tabs>
        <w:spacing/>
        <w:ind w:hanging="360" w:left="2160"/>
      </w:pPr>
      <w:rPr>
        <w:rFonts w:hint="default" w:ascii="Wingdings" w:hAnsi="Wingdings" w:cs="Wingdings"/>
      </w:rPr>
      <w:start w:val="1"/>
      <w:suff w:val="tab"/>
    </w:lvl>
    <w:lvl w:ilvl="3">
      <w:isLgl w:val="false"/>
      <w:lvlJc w:val="left"/>
      <w:lvlText w:val=""/>
      <w:numFmt w:val="bullet"/>
      <w:pPr>
        <w:pBdr/>
        <w:tabs>
          <w:tab w:val="num" w:leader="none" w:pos="0"/>
        </w:tabs>
        <w:spacing/>
        <w:ind w:hanging="360" w:left="2880"/>
      </w:pPr>
      <w:rPr>
        <w:rFonts w:hint="default" w:ascii="Symbol" w:hAnsi="Symbol" w:cs="Symbol"/>
      </w:rPr>
      <w:start w:val="1"/>
      <w:suff w:val="tab"/>
    </w:lvl>
    <w:lvl w:ilvl="4">
      <w:isLgl w:val="false"/>
      <w:lvlJc w:val="left"/>
      <w:lvlText w:val="o"/>
      <w:numFmt w:val="bullet"/>
      <w:pPr>
        <w:pBdr/>
        <w:tabs>
          <w:tab w:val="num" w:leader="none" w:pos="0"/>
        </w:tabs>
        <w:spacing/>
        <w:ind w:hanging="360" w:left="3600"/>
      </w:pPr>
      <w:rPr>
        <w:rFonts w:hint="default" w:ascii="Courier New" w:hAnsi="Courier New" w:cs="Courier New"/>
      </w:rPr>
      <w:start w:val="1"/>
      <w:suff w:val="tab"/>
    </w:lvl>
    <w:lvl w:ilvl="5">
      <w:isLgl w:val="false"/>
      <w:lvlJc w:val="left"/>
      <w:lvlText w:val=""/>
      <w:numFmt w:val="bullet"/>
      <w:pPr>
        <w:pBdr/>
        <w:tabs>
          <w:tab w:val="num" w:leader="none" w:pos="0"/>
        </w:tabs>
        <w:spacing/>
        <w:ind w:hanging="360" w:left="4320"/>
      </w:pPr>
      <w:rPr>
        <w:rFonts w:hint="default" w:ascii="Wingdings" w:hAnsi="Wingdings" w:cs="Wingdings"/>
      </w:rPr>
      <w:start w:val="1"/>
      <w:suff w:val="tab"/>
    </w:lvl>
    <w:lvl w:ilvl="6">
      <w:isLgl w:val="false"/>
      <w:lvlJc w:val="left"/>
      <w:lvlText w:val=""/>
      <w:numFmt w:val="bullet"/>
      <w:pPr>
        <w:pBdr/>
        <w:tabs>
          <w:tab w:val="num" w:leader="none" w:pos="0"/>
        </w:tabs>
        <w:spacing/>
        <w:ind w:hanging="360" w:left="5040"/>
      </w:pPr>
      <w:rPr>
        <w:rFonts w:hint="default" w:ascii="Symbol" w:hAnsi="Symbol" w:cs="Symbol"/>
      </w:rPr>
      <w:start w:val="1"/>
      <w:suff w:val="tab"/>
    </w:lvl>
    <w:lvl w:ilvl="7">
      <w:isLgl w:val="false"/>
      <w:lvlJc w:val="left"/>
      <w:lvlText w:val="o"/>
      <w:numFmt w:val="bullet"/>
      <w:pPr>
        <w:pBdr/>
        <w:tabs>
          <w:tab w:val="num" w:leader="none" w:pos="0"/>
        </w:tabs>
        <w:spacing/>
        <w:ind w:hanging="360" w:left="5760"/>
      </w:pPr>
      <w:rPr>
        <w:rFonts w:hint="default" w:ascii="Courier New" w:hAnsi="Courier New" w:cs="Courier New"/>
      </w:rPr>
      <w:start w:val="1"/>
      <w:suff w:val="tab"/>
    </w:lvl>
    <w:lvl w:ilvl="8">
      <w:isLgl w:val="false"/>
      <w:lvlJc w:val="left"/>
      <w:lvlText w:val=""/>
      <w:numFmt w:val="bullet"/>
      <w:pPr>
        <w:pBdr/>
        <w:tabs>
          <w:tab w:val="num" w:leader="none" w:pos="0"/>
        </w:tabs>
        <w:spacing/>
        <w:ind w:hanging="360" w:left="6480"/>
      </w:pPr>
      <w:rPr>
        <w:rFonts w:hint="default" w:ascii="Wingdings" w:hAnsi="Wingdings" w:cs="Wingdings"/>
      </w:rPr>
      <w:start w:val="1"/>
      <w:suff w:val="tab"/>
    </w:lvl>
  </w:abstractNum>
  <w:abstractNum w:abstractNumId="36">
    <w:lvl w:ilvl="0">
      <w:isLgl w:val="false"/>
      <w:lvlJc w:val="left"/>
      <w:lvlText w:val="%1."/>
      <w:numFmt w:val="decimal"/>
      <w:pPr>
        <w:pBdr/>
        <w:tabs>
          <w:tab w:val="num" w:leader="none" w:pos="0"/>
        </w:tabs>
        <w:spacing/>
        <w:ind w:hanging="360" w:left="360"/>
      </w:pPr>
      <w:rPr/>
      <w:start w:val="1"/>
      <w:suff w:val="tab"/>
    </w:lvl>
    <w:lvl w:ilvl="1">
      <w:isLgl w:val="false"/>
      <w:lvlJc w:val="left"/>
      <w:lvlText w:val="%1.%2."/>
      <w:numFmt w:val="decimal"/>
      <w:pPr>
        <w:pBdr/>
        <w:tabs>
          <w:tab w:val="num" w:leader="none" w:pos="0"/>
        </w:tabs>
        <w:spacing/>
        <w:ind w:hanging="432" w:left="792"/>
      </w:pPr>
      <w:rPr>
        <w:b w:val="0"/>
      </w:rPr>
      <w:start w:val="1"/>
      <w:suff w:val="tab"/>
    </w:lvl>
    <w:lvl w:ilvl="2">
      <w:isLgl w:val="false"/>
      <w:lvlJc w:val="left"/>
      <w:lvlText w:val="%1.%2.%3."/>
      <w:numFmt w:val="decimal"/>
      <w:pPr>
        <w:pBdr/>
        <w:tabs>
          <w:tab w:val="num" w:leader="none" w:pos="0"/>
        </w:tabs>
        <w:spacing/>
        <w:ind w:hanging="504" w:left="1224"/>
      </w:pPr>
      <w:rPr/>
      <w:start w:val="1"/>
      <w:suff w:val="tab"/>
    </w:lvl>
    <w:lvl w:ilvl="3">
      <w:isLgl w:val="false"/>
      <w:lvlJc w:val="left"/>
      <w:lvlText w:val="%1.%2.%3.%4."/>
      <w:numFmt w:val="decimal"/>
      <w:pPr>
        <w:pBdr/>
        <w:tabs>
          <w:tab w:val="num" w:leader="none" w:pos="0"/>
        </w:tabs>
        <w:spacing/>
        <w:ind w:hanging="648" w:left="1728"/>
      </w:pPr>
      <w:rPr/>
      <w:start w:val="1"/>
      <w:suff w:val="tab"/>
    </w:lvl>
    <w:lvl w:ilvl="4">
      <w:isLgl w:val="false"/>
      <w:lvlJc w:val="left"/>
      <w:lvlText w:val="%1.%2.%3.%4.%5."/>
      <w:numFmt w:val="decimal"/>
      <w:pPr>
        <w:pBdr/>
        <w:tabs>
          <w:tab w:val="num" w:leader="none" w:pos="0"/>
        </w:tabs>
        <w:spacing/>
        <w:ind w:hanging="792" w:left="2232"/>
      </w:pPr>
      <w:rPr/>
      <w:start w:val="1"/>
      <w:suff w:val="tab"/>
    </w:lvl>
    <w:lvl w:ilvl="5">
      <w:isLgl w:val="false"/>
      <w:lvlJc w:val="left"/>
      <w:lvlText w:val="%1.%2.%3.%4.%5.%6."/>
      <w:numFmt w:val="decimal"/>
      <w:pPr>
        <w:pBdr/>
        <w:tabs>
          <w:tab w:val="num" w:leader="none" w:pos="0"/>
        </w:tabs>
        <w:spacing/>
        <w:ind w:hanging="936" w:left="2736"/>
      </w:pPr>
      <w:rPr/>
      <w:start w:val="1"/>
      <w:suff w:val="tab"/>
    </w:lvl>
    <w:lvl w:ilvl="6">
      <w:isLgl w:val="false"/>
      <w:lvlJc w:val="left"/>
      <w:lvlText w:val="%1.%2.%3.%4.%5.%6.%7."/>
      <w:numFmt w:val="decimal"/>
      <w:pPr>
        <w:pBdr/>
        <w:tabs>
          <w:tab w:val="num" w:leader="none" w:pos="0"/>
        </w:tabs>
        <w:spacing/>
        <w:ind w:hanging="1080" w:left="3240"/>
      </w:pPr>
      <w:rPr/>
      <w:start w:val="1"/>
      <w:suff w:val="tab"/>
    </w:lvl>
    <w:lvl w:ilvl="7">
      <w:isLgl w:val="false"/>
      <w:lvlJc w:val="left"/>
      <w:lvlText w:val="%1.%2.%3.%4.%5.%6.%7.%8."/>
      <w:numFmt w:val="decimal"/>
      <w:pPr>
        <w:pBdr/>
        <w:tabs>
          <w:tab w:val="num" w:leader="none" w:pos="0"/>
        </w:tabs>
        <w:spacing/>
        <w:ind w:hanging="1224" w:left="3744"/>
      </w:pPr>
      <w:rPr/>
      <w:start w:val="1"/>
      <w:suff w:val="tab"/>
    </w:lvl>
    <w:lvl w:ilvl="8">
      <w:isLgl w:val="false"/>
      <w:lvlJc w:val="left"/>
      <w:lvlText w:val="%1.%2.%3.%4.%5.%6.%7.%8.%9."/>
      <w:numFmt w:val="decimal"/>
      <w:pPr>
        <w:pBdr/>
        <w:tabs>
          <w:tab w:val="num" w:leader="none" w:pos="0"/>
        </w:tabs>
        <w:spacing/>
        <w:ind w:hanging="1440" w:left="4320"/>
      </w:pPr>
      <w:rPr/>
      <w:start w:val="1"/>
      <w:suff w:val="tab"/>
    </w:lvl>
  </w:abstractNum>
  <w:num w:numId="1">
    <w:abstractNumId w:val="8"/>
  </w:num>
  <w:num w:numId="2">
    <w:abstractNumId w:val="30"/>
  </w:num>
  <w:num w:numId="3">
    <w:abstractNumId w:val="12"/>
  </w:num>
  <w:num w:numId="4">
    <w:abstractNumId w:val="26"/>
  </w:num>
  <w:num w:numId="5">
    <w:abstractNumId w:val="4"/>
  </w:num>
  <w:num w:numId="6">
    <w:abstractNumId w:val="35"/>
  </w:num>
  <w:num w:numId="7">
    <w:abstractNumId w:val="34"/>
  </w:num>
  <w:num w:numId="8">
    <w:abstractNumId w:val="31"/>
  </w:num>
  <w:num w:numId="9">
    <w:abstractNumId w:val="20"/>
  </w:num>
  <w:num w:numId="10">
    <w:abstractNumId w:val="28"/>
  </w:num>
  <w:num w:numId="11">
    <w:abstractNumId w:val="7"/>
  </w:num>
  <w:num w:numId="12">
    <w:abstractNumId w:val="10"/>
  </w:num>
  <w:num w:numId="13">
    <w:abstractNumId w:val="24"/>
  </w:num>
  <w:num w:numId="14">
    <w:abstractNumId w:val="21"/>
  </w:num>
  <w:num w:numId="15">
    <w:abstractNumId w:val="32"/>
  </w:num>
  <w:num w:numId="16">
    <w:abstractNumId w:val="17"/>
  </w:num>
  <w:num w:numId="17">
    <w:abstractNumId w:val="29"/>
  </w:num>
  <w:num w:numId="18">
    <w:abstractNumId w:val="23"/>
  </w:num>
  <w:num w:numId="19">
    <w:abstractNumId w:val="2"/>
  </w:num>
  <w:num w:numId="20">
    <w:abstractNumId w:val="0"/>
  </w:num>
  <w:num w:numId="21">
    <w:abstractNumId w:val="9"/>
  </w:num>
  <w:num w:numId="22">
    <w:abstractNumId w:val="6"/>
  </w:num>
  <w:num w:numId="23">
    <w:abstractNumId w:val="1"/>
  </w:num>
  <w:num w:numId="24">
    <w:abstractNumId w:val="27"/>
  </w:num>
  <w:num w:numId="25">
    <w:abstractNumId w:val="5"/>
  </w:num>
  <w:num w:numId="26">
    <w:abstractNumId w:val="18"/>
  </w:num>
  <w:num w:numId="27">
    <w:abstractNumId w:val="33"/>
  </w:num>
  <w:num w:numId="28">
    <w:abstractNumId w:val="13"/>
  </w:num>
  <w:num w:numId="29">
    <w:abstractNumId w:val="16"/>
  </w:num>
  <w:num w:numId="30">
    <w:abstractNumId w:val="3"/>
  </w:num>
  <w:num w:numId="31">
    <w:abstractNumId w:val="11"/>
  </w:num>
  <w:num w:numId="32">
    <w:abstractNumId w:val="15"/>
  </w:num>
  <w:num w:numId="33">
    <w:abstractNumId w:val="25"/>
  </w:num>
  <w:num w:numId="34">
    <w:abstractNumId w:val="14"/>
  </w:num>
  <w:num w:numId="35">
    <w:abstractNumId w:val="19"/>
  </w:num>
  <w:num w:numId="36">
    <w:abstractNumId w:val="22"/>
  </w:num>
  <w:num w:numId="3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6"/>
  <w:autoHyphenation w:val="true"/>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75">
    <w:name w:val="Table Grid Light"/>
    <w:basedOn w:val="95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Plain Table 1"/>
    <w:basedOn w:val="959"/>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Plain Table 2"/>
    <w:basedOn w:val="959"/>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Plain Table 3"/>
    <w:basedOn w:val="9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Plain Table 4"/>
    <w:basedOn w:val="9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Plain Table 5"/>
    <w:basedOn w:val="959"/>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1 Light"/>
    <w:basedOn w:val="959"/>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1 Light - Accent 1"/>
    <w:basedOn w:val="95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1 Light - Accent 2"/>
    <w:basedOn w:val="95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1 Light - Accent 3"/>
    <w:basedOn w:val="95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1 Light - Accent 4"/>
    <w:basedOn w:val="95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1 Light - Accent 5"/>
    <w:basedOn w:val="95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 Accent 6"/>
    <w:basedOn w:val="95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2"/>
    <w:basedOn w:val="95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2 - Accent 1"/>
    <w:basedOn w:val="95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2 - Accent 2"/>
    <w:basedOn w:val="95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2 - Accent 3"/>
    <w:basedOn w:val="95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2 - Accent 4"/>
    <w:basedOn w:val="95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2 - Accent 5"/>
    <w:basedOn w:val="95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 Accent 6"/>
    <w:basedOn w:val="95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3"/>
    <w:basedOn w:val="959"/>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3 - Accent 1"/>
    <w:basedOn w:val="959"/>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3 - Accent 2"/>
    <w:basedOn w:val="959"/>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3 - Accent 3"/>
    <w:basedOn w:val="959"/>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3 - Accent 4"/>
    <w:basedOn w:val="959"/>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3 - Accent 5"/>
    <w:basedOn w:val="959"/>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 Accent 6"/>
    <w:basedOn w:val="959"/>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4"/>
    <w:basedOn w:val="959"/>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4 - Accent 1"/>
    <w:basedOn w:val="959"/>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4 - Accent 2"/>
    <w:basedOn w:val="959"/>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4 - Accent 3"/>
    <w:basedOn w:val="959"/>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4 - Accent 4"/>
    <w:basedOn w:val="959"/>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4 - Accent 5"/>
    <w:basedOn w:val="959"/>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 Accent 6"/>
    <w:basedOn w:val="959"/>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5 Dark"/>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5 Dark- Accent 1"/>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5 Dark - Accent 2"/>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5 Dark - Accent 3"/>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5 Dark- Accent 4"/>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5 Dark - Accent 5"/>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 Accent 6"/>
    <w:basedOn w:val="959"/>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6 Colorful"/>
    <w:basedOn w:val="959"/>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17">
    <w:name w:val="Grid Table 6 Colorful - Accent 1"/>
    <w:basedOn w:val="959"/>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18">
    <w:name w:val="Grid Table 6 Colorful - Accent 2"/>
    <w:basedOn w:val="95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19">
    <w:name w:val="Grid Table 6 Colorful - Accent 3"/>
    <w:basedOn w:val="959"/>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0">
    <w:name w:val="Grid Table 6 Colorful - Accent 4"/>
    <w:basedOn w:val="95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1">
    <w:name w:val="Grid Table 6 Colorful - Accent 5"/>
    <w:basedOn w:val="959"/>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2">
    <w:name w:val="Grid Table 6 Colorful - Accent 6"/>
    <w:basedOn w:val="959"/>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3">
    <w:name w:val="Grid Table 7 Colorful"/>
    <w:basedOn w:val="959"/>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Grid Table 7 Colorful - Accent 1"/>
    <w:basedOn w:val="959"/>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Grid Table 7 Colorful - Accent 2"/>
    <w:basedOn w:val="959"/>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Grid Table 7 Colorful - Accent 3"/>
    <w:basedOn w:val="959"/>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Grid Table 7 Colorful - Accent 4"/>
    <w:basedOn w:val="959"/>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Grid Table 7 Colorful - Accent 5"/>
    <w:basedOn w:val="959"/>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Grid Table 7 Colorful - Accent 6"/>
    <w:basedOn w:val="959"/>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1 Light"/>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1 Light - Accent 1"/>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1 Light - Accent 2"/>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1 Light - Accent 3"/>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1 Light - Accent 4"/>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1 Light - Accent 5"/>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 Accent 6"/>
    <w:basedOn w:val="959"/>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2"/>
    <w:basedOn w:val="959"/>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2 - Accent 1"/>
    <w:basedOn w:val="959"/>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2 - Accent 2"/>
    <w:basedOn w:val="959"/>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2 - Accent 3"/>
    <w:basedOn w:val="959"/>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2 - Accent 4"/>
    <w:basedOn w:val="959"/>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2 - Accent 5"/>
    <w:basedOn w:val="959"/>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 Accent 6"/>
    <w:basedOn w:val="959"/>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3"/>
    <w:basedOn w:val="95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3 - Accent 1"/>
    <w:basedOn w:val="959"/>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3 - Accent 2"/>
    <w:basedOn w:val="959"/>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3 - Accent 3"/>
    <w:basedOn w:val="959"/>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3 - Accent 4"/>
    <w:basedOn w:val="959"/>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3 - Accent 5"/>
    <w:basedOn w:val="959"/>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 Accent 6"/>
    <w:basedOn w:val="959"/>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4"/>
    <w:basedOn w:val="959"/>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4 - Accent 1"/>
    <w:basedOn w:val="959"/>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4 - Accent 2"/>
    <w:basedOn w:val="959"/>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4 - Accent 3"/>
    <w:basedOn w:val="959"/>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4 - Accent 4"/>
    <w:basedOn w:val="959"/>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4 - Accent 5"/>
    <w:basedOn w:val="959"/>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 Accent 6"/>
    <w:basedOn w:val="959"/>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5 Dark"/>
    <w:basedOn w:val="959"/>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59">
    <w:name w:val="List Table 5 Dark - Accent 1"/>
    <w:basedOn w:val="959"/>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0">
    <w:name w:val="List Table 5 Dark - Accent 2"/>
    <w:basedOn w:val="959"/>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1">
    <w:name w:val="List Table 5 Dark - Accent 3"/>
    <w:basedOn w:val="959"/>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2">
    <w:name w:val="List Table 5 Dark - Accent 4"/>
    <w:basedOn w:val="959"/>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3">
    <w:name w:val="List Table 5 Dark - Accent 5"/>
    <w:basedOn w:val="959"/>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4">
    <w:name w:val="List Table 5 Dark - Accent 6"/>
    <w:basedOn w:val="959"/>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5">
    <w:name w:val="List Table 6 Colorful"/>
    <w:basedOn w:val="959"/>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List Table 6 Colorful - Accent 1"/>
    <w:basedOn w:val="959"/>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List Table 6 Colorful - Accent 2"/>
    <w:basedOn w:val="959"/>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List Table 6 Colorful - Accent 3"/>
    <w:basedOn w:val="959"/>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List Table 6 Colorful - Accent 4"/>
    <w:basedOn w:val="959"/>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List Table 6 Colorful - Accent 5"/>
    <w:basedOn w:val="959"/>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ba0" w:themeColor="accent5" w:themeTint="9A" w:themeShade="95"/>
      </w:rPr>
      <w:pPr>
        <w:pBdr/>
        <w:spacing/>
        <w:ind/>
      </w:pPr>
      <w:tblPr>
        <w:tblBorders/>
      </w:tblPr>
      <w:tcPr>
        <w:tcBorders/>
      </w:tcPr>
    </w:tblStylePr>
    <w:tblStylePr w:type="firstRow">
      <w:rPr>
        <w:b/>
        <w:color w:val="335ba0" w:themeColor="accent5" w:themeTint="9A" w:themeShade="95"/>
      </w:rPr>
      <w:pPr>
        <w:pBdr/>
        <w:spacing/>
        <w:ind/>
      </w:pPr>
      <w:tblPr>
        <w:tblBorders/>
      </w:tblPr>
      <w:tcPr>
        <w:tcBorders>
          <w:bottom w:val="single" w:color="000000" w:themeColor="accent5" w:themeTint="9A" w:sz="4" w:space="0"/>
        </w:tcBorders>
      </w:tcPr>
    </w:tblStylePr>
    <w:tblStylePr w:type="lastCol">
      <w:rPr>
        <w:b/>
        <w:color w:val="335ba0" w:themeColor="accent5" w:themeTint="9A" w:themeShade="95"/>
      </w:rPr>
      <w:pPr>
        <w:pBdr/>
        <w:spacing/>
        <w:ind/>
      </w:pPr>
      <w:tblPr>
        <w:tblBorders/>
      </w:tblPr>
      <w:tcPr>
        <w:tcBorders/>
      </w:tcPr>
    </w:tblStylePr>
    <w:tblStylePr w:type="lastRow">
      <w:rPr>
        <w:b/>
        <w:color w:val="335ba0"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List Table 6 Colorful - Accent 6"/>
    <w:basedOn w:val="959"/>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7 Colorful"/>
    <w:basedOn w:val="959"/>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3">
    <w:name w:val="List Table 7 Colorful - Accent 1"/>
    <w:basedOn w:val="959"/>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74">
    <w:name w:val="List Table 7 Colorful - Accent 2"/>
    <w:basedOn w:val="959"/>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75">
    <w:name w:val="List Table 7 Colorful - Accent 3"/>
    <w:basedOn w:val="959"/>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76">
    <w:name w:val="List Table 7 Colorful - Accent 4"/>
    <w:basedOn w:val="959"/>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77">
    <w:name w:val="List Table 7 Colorful - Accent 5"/>
    <w:basedOn w:val="959"/>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ba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ba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ba0"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ba0"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ba0"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ba0" w:themeColor="accent5" w:themeTint="9A" w:themeShade="95"/>
        <w:sz w:val="22"/>
      </w:rPr>
      <w:pPr>
        <w:pBdr/>
        <w:spacing/>
        <w:ind/>
      </w:pPr>
      <w:tblPr>
        <w:tblBorders/>
      </w:tblPr>
      <w:tcPr>
        <w:tcBorders/>
      </w:tcPr>
    </w:tblStylePr>
  </w:style>
  <w:style w:type="table" w:styleId="878">
    <w:name w:val="List Table 7 Colorful - Accent 6"/>
    <w:basedOn w:val="959"/>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79">
    <w:name w:val="Lined - Accent"/>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Lined - Accent 1"/>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Lined - Accent 2"/>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Lined - Accent 3"/>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Lined - Accent 4"/>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Lined - Accent 5"/>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Lined - Accent 6"/>
    <w:basedOn w:val="959"/>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Bordered &amp; Lined - Accent"/>
    <w:basedOn w:val="959"/>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Bordered &amp; Lined - Accent 1"/>
    <w:basedOn w:val="959"/>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Bordered &amp; Lined - Accent 2"/>
    <w:basedOn w:val="959"/>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Bordered &amp; Lined - Accent 3"/>
    <w:basedOn w:val="959"/>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Bordered &amp; Lined - Accent 4"/>
    <w:basedOn w:val="959"/>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Bordered &amp; Lined - Accent 5"/>
    <w:basedOn w:val="959"/>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amp; Lined - Accent 6"/>
    <w:basedOn w:val="959"/>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w:basedOn w:val="959"/>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 Accent 1"/>
    <w:basedOn w:val="959"/>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 Accent 2"/>
    <w:basedOn w:val="959"/>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 Accent 3"/>
    <w:basedOn w:val="959"/>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 Accent 4"/>
    <w:basedOn w:val="959"/>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 Accent 5"/>
    <w:basedOn w:val="959"/>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 Accent 6"/>
    <w:basedOn w:val="959"/>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0">
    <w:name w:val="Heading 1"/>
    <w:basedOn w:val="955"/>
    <w:next w:val="955"/>
    <w:link w:val="907"/>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1">
    <w:name w:val="Heading 2"/>
    <w:basedOn w:val="955"/>
    <w:next w:val="955"/>
    <w:link w:val="908"/>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2">
    <w:name w:val="Heading 5"/>
    <w:basedOn w:val="955"/>
    <w:next w:val="955"/>
    <w:link w:val="91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03">
    <w:name w:val="Heading 6"/>
    <w:basedOn w:val="955"/>
    <w:next w:val="955"/>
    <w:link w:val="91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04">
    <w:name w:val="Heading 7"/>
    <w:basedOn w:val="955"/>
    <w:next w:val="955"/>
    <w:link w:val="91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05">
    <w:name w:val="Heading 8"/>
    <w:basedOn w:val="955"/>
    <w:next w:val="955"/>
    <w:link w:val="91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06">
    <w:name w:val="Heading 9"/>
    <w:basedOn w:val="955"/>
    <w:next w:val="955"/>
    <w:link w:val="91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07">
    <w:name w:val="Heading 1 Char"/>
    <w:basedOn w:val="958"/>
    <w:link w:val="900"/>
    <w:uiPriority w:val="9"/>
    <w:pPr>
      <w:pBdr/>
      <w:spacing/>
      <w:ind/>
    </w:pPr>
    <w:rPr>
      <w:rFonts w:ascii="Arial" w:hAnsi="Arial" w:eastAsia="Arial" w:cs="Arial"/>
      <w:color w:val="0f4761" w:themeColor="accent1" w:themeShade="BF"/>
      <w:sz w:val="40"/>
      <w:szCs w:val="40"/>
    </w:rPr>
  </w:style>
  <w:style w:type="character" w:styleId="908">
    <w:name w:val="Heading 2 Char"/>
    <w:basedOn w:val="958"/>
    <w:link w:val="901"/>
    <w:uiPriority w:val="9"/>
    <w:pPr>
      <w:pBdr/>
      <w:spacing/>
      <w:ind/>
    </w:pPr>
    <w:rPr>
      <w:rFonts w:ascii="Arial" w:hAnsi="Arial" w:eastAsia="Arial" w:cs="Arial"/>
      <w:color w:val="0f4761" w:themeColor="accent1" w:themeShade="BF"/>
      <w:sz w:val="32"/>
      <w:szCs w:val="32"/>
    </w:rPr>
  </w:style>
  <w:style w:type="character" w:styleId="909">
    <w:name w:val="Heading 3 Char"/>
    <w:basedOn w:val="958"/>
    <w:link w:val="956"/>
    <w:uiPriority w:val="9"/>
    <w:pPr>
      <w:pBdr/>
      <w:spacing/>
      <w:ind/>
    </w:pPr>
    <w:rPr>
      <w:rFonts w:ascii="Arial" w:hAnsi="Arial" w:eastAsia="Arial" w:cs="Arial"/>
      <w:color w:val="0f4761" w:themeColor="accent1" w:themeShade="BF"/>
      <w:sz w:val="28"/>
      <w:szCs w:val="28"/>
    </w:rPr>
  </w:style>
  <w:style w:type="character" w:styleId="910">
    <w:name w:val="Heading 4 Char"/>
    <w:basedOn w:val="958"/>
    <w:link w:val="957"/>
    <w:uiPriority w:val="9"/>
    <w:pPr>
      <w:pBdr/>
      <w:spacing/>
      <w:ind/>
    </w:pPr>
    <w:rPr>
      <w:rFonts w:ascii="Arial" w:hAnsi="Arial" w:eastAsia="Arial" w:cs="Arial"/>
      <w:i/>
      <w:iCs/>
      <w:color w:val="0f4761" w:themeColor="accent1" w:themeShade="BF"/>
    </w:rPr>
  </w:style>
  <w:style w:type="character" w:styleId="911">
    <w:name w:val="Heading 5 Char"/>
    <w:basedOn w:val="958"/>
    <w:link w:val="902"/>
    <w:uiPriority w:val="9"/>
    <w:pPr>
      <w:pBdr/>
      <w:spacing/>
      <w:ind/>
    </w:pPr>
    <w:rPr>
      <w:rFonts w:ascii="Arial" w:hAnsi="Arial" w:eastAsia="Arial" w:cs="Arial"/>
      <w:color w:val="0f4761" w:themeColor="accent1" w:themeShade="BF"/>
    </w:rPr>
  </w:style>
  <w:style w:type="character" w:styleId="912">
    <w:name w:val="Heading 6 Char"/>
    <w:basedOn w:val="958"/>
    <w:link w:val="903"/>
    <w:uiPriority w:val="9"/>
    <w:pPr>
      <w:pBdr/>
      <w:spacing/>
      <w:ind/>
    </w:pPr>
    <w:rPr>
      <w:rFonts w:ascii="Arial" w:hAnsi="Arial" w:eastAsia="Arial" w:cs="Arial"/>
      <w:i/>
      <w:iCs/>
      <w:color w:val="595959" w:themeColor="text1" w:themeTint="A6"/>
    </w:rPr>
  </w:style>
  <w:style w:type="character" w:styleId="913">
    <w:name w:val="Heading 7 Char"/>
    <w:basedOn w:val="958"/>
    <w:link w:val="904"/>
    <w:uiPriority w:val="9"/>
    <w:pPr>
      <w:pBdr/>
      <w:spacing/>
      <w:ind/>
    </w:pPr>
    <w:rPr>
      <w:rFonts w:ascii="Arial" w:hAnsi="Arial" w:eastAsia="Arial" w:cs="Arial"/>
      <w:color w:val="595959" w:themeColor="text1" w:themeTint="A6"/>
    </w:rPr>
  </w:style>
  <w:style w:type="character" w:styleId="914">
    <w:name w:val="Heading 8 Char"/>
    <w:basedOn w:val="958"/>
    <w:link w:val="905"/>
    <w:uiPriority w:val="9"/>
    <w:pPr>
      <w:pBdr/>
      <w:spacing/>
      <w:ind/>
    </w:pPr>
    <w:rPr>
      <w:rFonts w:ascii="Arial" w:hAnsi="Arial" w:eastAsia="Arial" w:cs="Arial"/>
      <w:i/>
      <w:iCs/>
      <w:color w:val="272727" w:themeColor="text1" w:themeTint="D8"/>
    </w:rPr>
  </w:style>
  <w:style w:type="character" w:styleId="915">
    <w:name w:val="Heading 9 Char"/>
    <w:basedOn w:val="958"/>
    <w:link w:val="906"/>
    <w:uiPriority w:val="9"/>
    <w:pPr>
      <w:pBdr/>
      <w:spacing/>
      <w:ind/>
    </w:pPr>
    <w:rPr>
      <w:rFonts w:ascii="Arial" w:hAnsi="Arial" w:eastAsia="Arial" w:cs="Arial"/>
      <w:i/>
      <w:iCs/>
      <w:color w:val="272727" w:themeColor="text1" w:themeTint="D8"/>
    </w:rPr>
  </w:style>
  <w:style w:type="character" w:styleId="916">
    <w:name w:val="Title Char"/>
    <w:basedOn w:val="958"/>
    <w:link w:val="965"/>
    <w:uiPriority w:val="10"/>
    <w:pPr>
      <w:pBdr/>
      <w:spacing/>
      <w:ind/>
    </w:pPr>
    <w:rPr>
      <w:rFonts w:ascii="Arial" w:hAnsi="Arial" w:eastAsia="Arial" w:cs="Arial"/>
      <w:spacing w:val="-10"/>
      <w:sz w:val="56"/>
      <w:szCs w:val="56"/>
    </w:rPr>
  </w:style>
  <w:style w:type="paragraph" w:styleId="917">
    <w:name w:val="Subtitle"/>
    <w:basedOn w:val="955"/>
    <w:next w:val="955"/>
    <w:link w:val="918"/>
    <w:uiPriority w:val="11"/>
    <w:qFormat/>
    <w:pPr>
      <w:numPr>
        <w:ilvl w:val="1"/>
      </w:numPr>
      <w:pBdr/>
      <w:spacing/>
      <w:ind/>
    </w:pPr>
    <w:rPr>
      <w:color w:val="595959" w:themeColor="text1" w:themeTint="A6"/>
      <w:spacing w:val="15"/>
      <w:sz w:val="28"/>
      <w:szCs w:val="28"/>
    </w:rPr>
  </w:style>
  <w:style w:type="character" w:styleId="918">
    <w:name w:val="Subtitle Char"/>
    <w:basedOn w:val="958"/>
    <w:link w:val="917"/>
    <w:uiPriority w:val="11"/>
    <w:pPr>
      <w:pBdr/>
      <w:spacing/>
      <w:ind/>
    </w:pPr>
    <w:rPr>
      <w:color w:val="595959" w:themeColor="text1" w:themeTint="A6"/>
      <w:spacing w:val="15"/>
      <w:sz w:val="28"/>
      <w:szCs w:val="28"/>
    </w:rPr>
  </w:style>
  <w:style w:type="paragraph" w:styleId="919">
    <w:name w:val="Quote"/>
    <w:basedOn w:val="955"/>
    <w:next w:val="955"/>
    <w:link w:val="920"/>
    <w:uiPriority w:val="29"/>
    <w:qFormat/>
    <w:pPr>
      <w:pBdr/>
      <w:spacing w:before="160"/>
      <w:ind/>
      <w:jc w:val="center"/>
    </w:pPr>
    <w:rPr>
      <w:i/>
      <w:iCs/>
      <w:color w:val="404040" w:themeColor="text1" w:themeTint="BF"/>
    </w:rPr>
  </w:style>
  <w:style w:type="character" w:styleId="920">
    <w:name w:val="Quote Char"/>
    <w:basedOn w:val="958"/>
    <w:link w:val="919"/>
    <w:uiPriority w:val="29"/>
    <w:pPr>
      <w:pBdr/>
      <w:spacing/>
      <w:ind/>
    </w:pPr>
    <w:rPr>
      <w:i/>
      <w:iCs/>
      <w:color w:val="404040" w:themeColor="text1" w:themeTint="BF"/>
    </w:rPr>
  </w:style>
  <w:style w:type="character" w:styleId="921">
    <w:name w:val="Intense Emphasis"/>
    <w:basedOn w:val="958"/>
    <w:uiPriority w:val="21"/>
    <w:qFormat/>
    <w:pPr>
      <w:pBdr/>
      <w:spacing/>
      <w:ind/>
    </w:pPr>
    <w:rPr>
      <w:i/>
      <w:iCs/>
      <w:color w:val="0f4761" w:themeColor="accent1" w:themeShade="BF"/>
    </w:rPr>
  </w:style>
  <w:style w:type="paragraph" w:styleId="922">
    <w:name w:val="Intense Quote"/>
    <w:basedOn w:val="955"/>
    <w:next w:val="955"/>
    <w:link w:val="92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23">
    <w:name w:val="Intense Quote Char"/>
    <w:basedOn w:val="958"/>
    <w:link w:val="922"/>
    <w:uiPriority w:val="30"/>
    <w:pPr>
      <w:pBdr/>
      <w:spacing/>
      <w:ind/>
    </w:pPr>
    <w:rPr>
      <w:i/>
      <w:iCs/>
      <w:color w:val="0f4761" w:themeColor="accent1" w:themeShade="BF"/>
    </w:rPr>
  </w:style>
  <w:style w:type="character" w:styleId="924">
    <w:name w:val="Intense Reference"/>
    <w:basedOn w:val="958"/>
    <w:uiPriority w:val="32"/>
    <w:qFormat/>
    <w:pPr>
      <w:pBdr/>
      <w:spacing/>
      <w:ind/>
    </w:pPr>
    <w:rPr>
      <w:b/>
      <w:bCs/>
      <w:smallCaps/>
      <w:color w:val="0f4761" w:themeColor="accent1" w:themeShade="BF"/>
      <w:spacing w:val="5"/>
    </w:rPr>
  </w:style>
  <w:style w:type="paragraph" w:styleId="925">
    <w:name w:val="No Spacing"/>
    <w:basedOn w:val="955"/>
    <w:uiPriority w:val="1"/>
    <w:qFormat/>
    <w:pPr>
      <w:pBdr/>
      <w:spacing w:after="0" w:line="240" w:lineRule="auto"/>
      <w:ind/>
    </w:pPr>
  </w:style>
  <w:style w:type="character" w:styleId="926">
    <w:name w:val="Subtle Emphasis"/>
    <w:basedOn w:val="958"/>
    <w:uiPriority w:val="19"/>
    <w:qFormat/>
    <w:pPr>
      <w:pBdr/>
      <w:spacing/>
      <w:ind/>
    </w:pPr>
    <w:rPr>
      <w:i/>
      <w:iCs/>
      <w:color w:val="404040" w:themeColor="text1" w:themeTint="BF"/>
    </w:rPr>
  </w:style>
  <w:style w:type="character" w:styleId="927">
    <w:name w:val="Emphasis"/>
    <w:basedOn w:val="958"/>
    <w:uiPriority w:val="20"/>
    <w:qFormat/>
    <w:pPr>
      <w:pBdr/>
      <w:spacing/>
      <w:ind/>
    </w:pPr>
    <w:rPr>
      <w:i/>
      <w:iCs/>
    </w:rPr>
  </w:style>
  <w:style w:type="character" w:styleId="928">
    <w:name w:val="Strong"/>
    <w:basedOn w:val="958"/>
    <w:uiPriority w:val="22"/>
    <w:qFormat/>
    <w:pPr>
      <w:pBdr/>
      <w:spacing/>
      <w:ind/>
    </w:pPr>
    <w:rPr>
      <w:b/>
      <w:bCs/>
    </w:rPr>
  </w:style>
  <w:style w:type="character" w:styleId="929">
    <w:name w:val="Subtle Reference"/>
    <w:basedOn w:val="958"/>
    <w:uiPriority w:val="31"/>
    <w:qFormat/>
    <w:pPr>
      <w:pBdr/>
      <w:spacing/>
      <w:ind/>
    </w:pPr>
    <w:rPr>
      <w:smallCaps/>
      <w:color w:val="5a5a5a" w:themeColor="text1" w:themeTint="A5"/>
    </w:rPr>
  </w:style>
  <w:style w:type="character" w:styleId="930">
    <w:name w:val="Book Title"/>
    <w:basedOn w:val="958"/>
    <w:uiPriority w:val="33"/>
    <w:qFormat/>
    <w:pPr>
      <w:pBdr/>
      <w:spacing/>
      <w:ind/>
    </w:pPr>
    <w:rPr>
      <w:b/>
      <w:bCs/>
      <w:i/>
      <w:iCs/>
      <w:spacing w:val="5"/>
    </w:rPr>
  </w:style>
  <w:style w:type="paragraph" w:styleId="931">
    <w:name w:val="Header"/>
    <w:basedOn w:val="955"/>
    <w:link w:val="932"/>
    <w:uiPriority w:val="99"/>
    <w:unhideWhenUsed/>
    <w:pPr>
      <w:pBdr/>
      <w:tabs>
        <w:tab w:val="center" w:leader="none" w:pos="4844"/>
        <w:tab w:val="right" w:leader="none" w:pos="9689"/>
      </w:tabs>
      <w:spacing w:after="0" w:line="240" w:lineRule="auto"/>
      <w:ind/>
    </w:pPr>
  </w:style>
  <w:style w:type="character" w:styleId="932">
    <w:name w:val="Header Char"/>
    <w:basedOn w:val="958"/>
    <w:link w:val="931"/>
    <w:uiPriority w:val="99"/>
    <w:pPr>
      <w:pBdr/>
      <w:spacing/>
      <w:ind/>
    </w:pPr>
  </w:style>
  <w:style w:type="paragraph" w:styleId="933">
    <w:name w:val="Footer"/>
    <w:basedOn w:val="955"/>
    <w:link w:val="934"/>
    <w:uiPriority w:val="99"/>
    <w:unhideWhenUsed/>
    <w:pPr>
      <w:pBdr/>
      <w:tabs>
        <w:tab w:val="center" w:leader="none" w:pos="4844"/>
        <w:tab w:val="right" w:leader="none" w:pos="9689"/>
      </w:tabs>
      <w:spacing w:after="0" w:line="240" w:lineRule="auto"/>
      <w:ind/>
    </w:pPr>
  </w:style>
  <w:style w:type="character" w:styleId="934">
    <w:name w:val="Footer Char"/>
    <w:basedOn w:val="958"/>
    <w:link w:val="933"/>
    <w:uiPriority w:val="99"/>
    <w:pPr>
      <w:pBdr/>
      <w:spacing/>
      <w:ind/>
    </w:pPr>
  </w:style>
  <w:style w:type="paragraph" w:styleId="935">
    <w:name w:val="footnote text"/>
    <w:basedOn w:val="955"/>
    <w:link w:val="936"/>
    <w:uiPriority w:val="99"/>
    <w:semiHidden/>
    <w:unhideWhenUsed/>
    <w:pPr>
      <w:pBdr/>
      <w:spacing w:after="0" w:line="240" w:lineRule="auto"/>
      <w:ind/>
    </w:pPr>
    <w:rPr>
      <w:sz w:val="20"/>
      <w:szCs w:val="20"/>
    </w:rPr>
  </w:style>
  <w:style w:type="character" w:styleId="936">
    <w:name w:val="Footnote Text Char"/>
    <w:basedOn w:val="958"/>
    <w:link w:val="935"/>
    <w:uiPriority w:val="99"/>
    <w:semiHidden/>
    <w:pPr>
      <w:pBdr/>
      <w:spacing/>
      <w:ind/>
    </w:pPr>
    <w:rPr>
      <w:sz w:val="20"/>
      <w:szCs w:val="20"/>
    </w:rPr>
  </w:style>
  <w:style w:type="character" w:styleId="937">
    <w:name w:val="footnote reference"/>
    <w:basedOn w:val="958"/>
    <w:uiPriority w:val="99"/>
    <w:semiHidden/>
    <w:unhideWhenUsed/>
    <w:pPr>
      <w:pBdr/>
      <w:spacing/>
      <w:ind/>
    </w:pPr>
    <w:rPr>
      <w:vertAlign w:val="superscript"/>
    </w:rPr>
  </w:style>
  <w:style w:type="paragraph" w:styleId="938">
    <w:name w:val="endnote text"/>
    <w:basedOn w:val="955"/>
    <w:link w:val="939"/>
    <w:uiPriority w:val="99"/>
    <w:semiHidden/>
    <w:unhideWhenUsed/>
    <w:pPr>
      <w:pBdr/>
      <w:spacing w:after="0" w:line="240" w:lineRule="auto"/>
      <w:ind/>
    </w:pPr>
    <w:rPr>
      <w:sz w:val="20"/>
      <w:szCs w:val="20"/>
    </w:rPr>
  </w:style>
  <w:style w:type="character" w:styleId="939">
    <w:name w:val="Endnote Text Char"/>
    <w:basedOn w:val="958"/>
    <w:link w:val="938"/>
    <w:uiPriority w:val="99"/>
    <w:semiHidden/>
    <w:pPr>
      <w:pBdr/>
      <w:spacing/>
      <w:ind/>
    </w:pPr>
    <w:rPr>
      <w:sz w:val="20"/>
      <w:szCs w:val="20"/>
    </w:rPr>
  </w:style>
  <w:style w:type="character" w:styleId="940">
    <w:name w:val="endnote reference"/>
    <w:basedOn w:val="958"/>
    <w:uiPriority w:val="99"/>
    <w:semiHidden/>
    <w:unhideWhenUsed/>
    <w:pPr>
      <w:pBdr/>
      <w:spacing/>
      <w:ind/>
    </w:pPr>
    <w:rPr>
      <w:vertAlign w:val="superscript"/>
    </w:rPr>
  </w:style>
  <w:style w:type="character" w:styleId="941">
    <w:name w:val="Hyperlink"/>
    <w:basedOn w:val="958"/>
    <w:uiPriority w:val="99"/>
    <w:unhideWhenUsed/>
    <w:pPr>
      <w:pBdr/>
      <w:spacing/>
      <w:ind/>
    </w:pPr>
    <w:rPr>
      <w:color w:val="0563c1" w:themeColor="hyperlink"/>
      <w:u w:val="single"/>
    </w:rPr>
  </w:style>
  <w:style w:type="character" w:styleId="942">
    <w:name w:val="FollowedHyperlink"/>
    <w:basedOn w:val="958"/>
    <w:uiPriority w:val="99"/>
    <w:semiHidden/>
    <w:unhideWhenUsed/>
    <w:pPr>
      <w:pBdr/>
      <w:spacing/>
      <w:ind/>
    </w:pPr>
    <w:rPr>
      <w:color w:val="954f72" w:themeColor="followedHyperlink"/>
      <w:u w:val="single"/>
    </w:rPr>
  </w:style>
  <w:style w:type="paragraph" w:styleId="943">
    <w:name w:val="toc 1"/>
    <w:basedOn w:val="955"/>
    <w:next w:val="955"/>
    <w:uiPriority w:val="39"/>
    <w:unhideWhenUsed/>
    <w:pPr>
      <w:pBdr/>
      <w:spacing w:after="100"/>
      <w:ind/>
    </w:pPr>
  </w:style>
  <w:style w:type="paragraph" w:styleId="944">
    <w:name w:val="toc 2"/>
    <w:basedOn w:val="955"/>
    <w:next w:val="955"/>
    <w:uiPriority w:val="39"/>
    <w:unhideWhenUsed/>
    <w:pPr>
      <w:pBdr/>
      <w:spacing w:after="100"/>
      <w:ind w:left="220"/>
    </w:pPr>
  </w:style>
  <w:style w:type="paragraph" w:styleId="945">
    <w:name w:val="toc 3"/>
    <w:basedOn w:val="955"/>
    <w:next w:val="955"/>
    <w:uiPriority w:val="39"/>
    <w:unhideWhenUsed/>
    <w:pPr>
      <w:pBdr/>
      <w:spacing w:after="100"/>
      <w:ind w:left="440"/>
    </w:pPr>
  </w:style>
  <w:style w:type="paragraph" w:styleId="946">
    <w:name w:val="toc 4"/>
    <w:basedOn w:val="955"/>
    <w:next w:val="955"/>
    <w:uiPriority w:val="39"/>
    <w:unhideWhenUsed/>
    <w:pPr>
      <w:pBdr/>
      <w:spacing w:after="100"/>
      <w:ind w:left="660"/>
    </w:pPr>
  </w:style>
  <w:style w:type="paragraph" w:styleId="947">
    <w:name w:val="toc 5"/>
    <w:basedOn w:val="955"/>
    <w:next w:val="955"/>
    <w:uiPriority w:val="39"/>
    <w:unhideWhenUsed/>
    <w:pPr>
      <w:pBdr/>
      <w:spacing w:after="100"/>
      <w:ind w:left="880"/>
    </w:pPr>
  </w:style>
  <w:style w:type="paragraph" w:styleId="948">
    <w:name w:val="toc 6"/>
    <w:basedOn w:val="955"/>
    <w:next w:val="955"/>
    <w:uiPriority w:val="39"/>
    <w:unhideWhenUsed/>
    <w:pPr>
      <w:pBdr/>
      <w:spacing w:after="100"/>
      <w:ind w:left="1100"/>
    </w:pPr>
  </w:style>
  <w:style w:type="paragraph" w:styleId="949">
    <w:name w:val="toc 7"/>
    <w:basedOn w:val="955"/>
    <w:next w:val="955"/>
    <w:uiPriority w:val="39"/>
    <w:unhideWhenUsed/>
    <w:pPr>
      <w:pBdr/>
      <w:spacing w:after="100"/>
      <w:ind w:left="1320"/>
    </w:pPr>
  </w:style>
  <w:style w:type="paragraph" w:styleId="950">
    <w:name w:val="toc 8"/>
    <w:basedOn w:val="955"/>
    <w:next w:val="955"/>
    <w:uiPriority w:val="39"/>
    <w:unhideWhenUsed/>
    <w:pPr>
      <w:pBdr/>
      <w:spacing w:after="100"/>
      <w:ind w:left="1540"/>
    </w:pPr>
  </w:style>
  <w:style w:type="paragraph" w:styleId="951">
    <w:name w:val="toc 9"/>
    <w:basedOn w:val="955"/>
    <w:next w:val="955"/>
    <w:uiPriority w:val="39"/>
    <w:unhideWhenUsed/>
    <w:pPr>
      <w:pBdr/>
      <w:spacing w:after="100"/>
      <w:ind w:left="1760"/>
    </w:pPr>
  </w:style>
  <w:style w:type="character" w:styleId="952">
    <w:name w:val="Placeholder Text"/>
    <w:basedOn w:val="958"/>
    <w:uiPriority w:val="99"/>
    <w:semiHidden/>
    <w:pPr>
      <w:pBdr/>
      <w:spacing/>
      <w:ind/>
    </w:pPr>
    <w:rPr>
      <w:color w:val="666666"/>
    </w:rPr>
  </w:style>
  <w:style w:type="paragraph" w:styleId="953">
    <w:name w:val="TOC Heading"/>
    <w:uiPriority w:val="39"/>
    <w:unhideWhenUsed/>
    <w:pPr>
      <w:pBdr/>
      <w:spacing/>
      <w:ind/>
    </w:pPr>
  </w:style>
  <w:style w:type="paragraph" w:styleId="954">
    <w:name w:val="table of figures"/>
    <w:basedOn w:val="955"/>
    <w:next w:val="955"/>
    <w:uiPriority w:val="99"/>
    <w:unhideWhenUsed/>
    <w:pPr>
      <w:pBdr/>
      <w:spacing w:after="0" w:afterAutospacing="0"/>
      <w:ind/>
    </w:pPr>
  </w:style>
  <w:style w:type="paragraph" w:styleId="955" w:default="1">
    <w:name w:val="Normal"/>
    <w:qFormat/>
    <w:pPr>
      <w:widowControl w:val="false"/>
      <w:pBdr/>
      <w:spacing/>
      <w:ind/>
    </w:pPr>
    <w:rPr>
      <w:rFonts w:ascii="Arial" w:hAnsi="Arial" w:eastAsia="Lucida Sans Unicode" w:cs="Times New Roman"/>
      <w:sz w:val="24"/>
      <w:szCs w:val="24"/>
      <w:lang w:eastAsia="ar-SA"/>
    </w:rPr>
  </w:style>
  <w:style w:type="paragraph" w:styleId="956">
    <w:name w:val="Heading 3"/>
    <w:basedOn w:val="955"/>
    <w:next w:val="955"/>
    <w:link w:val="963"/>
    <w:uiPriority w:val="9"/>
    <w:unhideWhenUsed/>
    <w:qFormat/>
    <w:pPr>
      <w:keepNext w:val="true"/>
      <w:keepLines w:val="true"/>
      <w:pBdr/>
      <w:spacing w:before="40"/>
      <w:ind/>
      <w:outlineLvl w:val="2"/>
    </w:pPr>
    <w:rPr>
      <w:rFonts w:asciiTheme="majorHAnsi" w:hAnsiTheme="majorHAnsi" w:eastAsiaTheme="majorEastAsia" w:cstheme="majorBidi"/>
      <w:color w:val="1f4d78" w:themeColor="accent1" w:themeShade="7F"/>
    </w:rPr>
  </w:style>
  <w:style w:type="paragraph" w:styleId="957">
    <w:name w:val="Heading 4"/>
    <w:basedOn w:val="955"/>
    <w:next w:val="955"/>
    <w:link w:val="961"/>
    <w:semiHidden/>
    <w:unhideWhenUsed/>
    <w:qFormat/>
    <w:pPr>
      <w:keepNext w:val="true"/>
      <w:pBdr/>
      <w:tabs>
        <w:tab w:val="left" w:leader="none" w:pos="360"/>
      </w:tabs>
      <w:spacing w:after="60" w:before="240"/>
      <w:ind/>
      <w:outlineLvl w:val="3"/>
    </w:pPr>
    <w:rPr>
      <w:b/>
      <w:bCs/>
      <w:sz w:val="28"/>
      <w:szCs w:val="28"/>
    </w:rPr>
  </w:style>
  <w:style w:type="character" w:styleId="958" w:default="1">
    <w:name w:val="Default Paragraph Font"/>
    <w:uiPriority w:val="1"/>
    <w:semiHidden/>
    <w:unhideWhenUsed/>
    <w:pPr>
      <w:pBdr/>
      <w:spacing/>
      <w:ind/>
    </w:pPr>
  </w:style>
  <w:style w:type="table" w:styleId="959"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0" w:default="1">
    <w:name w:val="No List"/>
    <w:uiPriority w:val="99"/>
    <w:semiHidden/>
    <w:unhideWhenUsed/>
    <w:pPr>
      <w:pBdr/>
      <w:spacing/>
      <w:ind/>
    </w:pPr>
  </w:style>
  <w:style w:type="character" w:styleId="961" w:customStyle="1">
    <w:name w:val="Заголовок 4 Знак"/>
    <w:basedOn w:val="958"/>
    <w:link w:val="957"/>
    <w:semiHidden/>
    <w:qFormat/>
    <w:pPr>
      <w:pBdr/>
      <w:spacing/>
      <w:ind/>
    </w:pPr>
    <w:rPr>
      <w:rFonts w:ascii="Arial" w:hAnsi="Arial" w:eastAsia="Lucida Sans Unicode" w:cs="Times New Roman"/>
      <w:b/>
      <w:bCs/>
      <w:sz w:val="28"/>
      <w:szCs w:val="28"/>
      <w:lang w:eastAsia="ar-SA"/>
    </w:rPr>
  </w:style>
  <w:style w:type="character" w:styleId="962" w:customStyle="1">
    <w:name w:val="Основной текст с отступом Знак"/>
    <w:basedOn w:val="958"/>
    <w:semiHidden/>
    <w:qFormat/>
    <w:pPr>
      <w:pBdr/>
      <w:spacing/>
      <w:ind/>
    </w:pPr>
    <w:rPr>
      <w:rFonts w:ascii="Arial" w:hAnsi="Arial" w:eastAsia="Lucida Sans Unicode" w:cs="Times New Roman"/>
      <w:sz w:val="24"/>
      <w:szCs w:val="24"/>
      <w:lang w:eastAsia="ar-SA"/>
    </w:rPr>
  </w:style>
  <w:style w:type="character" w:styleId="963" w:customStyle="1">
    <w:name w:val="Заголовок 3 Знак"/>
    <w:basedOn w:val="958"/>
    <w:link w:val="956"/>
    <w:uiPriority w:val="9"/>
    <w:qFormat/>
    <w:pPr>
      <w:pBdr/>
      <w:spacing/>
      <w:ind/>
    </w:pPr>
    <w:rPr>
      <w:rFonts w:asciiTheme="majorHAnsi" w:hAnsiTheme="majorHAnsi" w:eastAsiaTheme="majorEastAsia" w:cstheme="majorBidi"/>
      <w:color w:val="1f4d78" w:themeColor="accent1" w:themeShade="7F"/>
      <w:sz w:val="24"/>
      <w:szCs w:val="24"/>
      <w:lang w:eastAsia="ar-SA"/>
    </w:rPr>
  </w:style>
  <w:style w:type="character" w:styleId="964" w:customStyle="1">
    <w:name w:val="Интернет-ссылка"/>
    <w:basedOn w:val="958"/>
    <w:uiPriority w:val="99"/>
    <w:semiHidden/>
    <w:unhideWhenUsed/>
    <w:pPr>
      <w:pBdr/>
      <w:spacing/>
      <w:ind/>
    </w:pPr>
    <w:rPr>
      <w:color w:val="0000ff"/>
      <w:u w:val="single"/>
    </w:rPr>
  </w:style>
  <w:style w:type="paragraph" w:styleId="965">
    <w:name w:val="Title"/>
    <w:basedOn w:val="955"/>
    <w:next w:val="966"/>
    <w:qFormat/>
    <w:pPr>
      <w:keepNext w:val="true"/>
      <w:pBdr/>
      <w:spacing w:after="120" w:before="240"/>
      <w:ind/>
    </w:pPr>
    <w:rPr>
      <w:rFonts w:ascii="Liberation Sans" w:hAnsi="Liberation Sans" w:eastAsia="Microsoft YaHei" w:cs="Arial"/>
      <w:sz w:val="28"/>
      <w:szCs w:val="28"/>
    </w:rPr>
  </w:style>
  <w:style w:type="paragraph" w:styleId="966">
    <w:name w:val="Body Text"/>
    <w:basedOn w:val="955"/>
    <w:pPr>
      <w:pBdr/>
      <w:spacing w:after="140" w:line="276" w:lineRule="auto"/>
      <w:ind/>
    </w:pPr>
  </w:style>
  <w:style w:type="paragraph" w:styleId="967">
    <w:name w:val="List"/>
    <w:basedOn w:val="966"/>
    <w:pPr>
      <w:pBdr/>
      <w:spacing/>
      <w:ind/>
    </w:pPr>
    <w:rPr>
      <w:rFonts w:cs="Arial"/>
    </w:rPr>
  </w:style>
  <w:style w:type="paragraph" w:styleId="968">
    <w:name w:val="Caption"/>
    <w:basedOn w:val="955"/>
    <w:qFormat/>
    <w:pPr>
      <w:suppressLineNumbers w:val="true"/>
      <w:pBdr/>
      <w:spacing w:after="120" w:before="120"/>
      <w:ind/>
    </w:pPr>
    <w:rPr>
      <w:rFonts w:cs="Arial"/>
      <w:i/>
      <w:iCs/>
    </w:rPr>
  </w:style>
  <w:style w:type="paragraph" w:styleId="969">
    <w:name w:val="index heading"/>
    <w:basedOn w:val="955"/>
    <w:qFormat/>
    <w:pPr>
      <w:suppressLineNumbers w:val="true"/>
      <w:pBdr/>
      <w:spacing/>
      <w:ind/>
    </w:pPr>
    <w:rPr>
      <w:rFonts w:cs="Arial"/>
    </w:rPr>
  </w:style>
  <w:style w:type="paragraph" w:styleId="970">
    <w:name w:val="Normal (Web)"/>
    <w:basedOn w:val="955"/>
    <w:uiPriority w:val="99"/>
    <w:semiHidden/>
    <w:unhideWhenUsed/>
    <w:qFormat/>
    <w:pPr>
      <w:pBdr/>
      <w:spacing w:after="280" w:before="280"/>
      <w:ind/>
    </w:pPr>
  </w:style>
  <w:style w:type="paragraph" w:styleId="971">
    <w:name w:val="Body Text Indent"/>
    <w:basedOn w:val="955"/>
    <w:semiHidden/>
    <w:unhideWhenUsed/>
    <w:pPr>
      <w:pBdr/>
      <w:spacing w:after="120"/>
      <w:ind w:left="283"/>
    </w:pPr>
  </w:style>
  <w:style w:type="paragraph" w:styleId="972" w:customStyle="1">
    <w:name w:val="Текст в заданном формате"/>
    <w:basedOn w:val="955"/>
    <w:qFormat/>
    <w:pPr>
      <w:pBdr/>
      <w:spacing/>
      <w:ind/>
    </w:pPr>
    <w:rPr>
      <w:rFonts w:ascii="Courier New" w:hAnsi="Courier New" w:eastAsia="Courier New" w:cs="Courier New"/>
      <w:sz w:val="20"/>
      <w:szCs w:val="20"/>
    </w:rPr>
  </w:style>
  <w:style w:type="paragraph" w:styleId="973" w:customStyle="1">
    <w:name w:val="Default Text"/>
    <w:qFormat/>
    <w:pPr>
      <w:widowControl w:val="false"/>
      <w:pBdr/>
      <w:spacing/>
      <w:ind/>
    </w:pPr>
    <w:rPr>
      <w:rFonts w:ascii="Times New Roman" w:hAnsi="Times New Roman" w:eastAsia="Lucida Sans Unicode" w:cs="Times New Roman"/>
      <w:sz w:val="24"/>
      <w:szCs w:val="24"/>
      <w:lang w:eastAsia="ar-SA"/>
    </w:rPr>
  </w:style>
  <w:style w:type="paragraph" w:styleId="974">
    <w:name w:val="List Paragraph"/>
    <w:basedOn w:val="955"/>
    <w:uiPriority w:val="34"/>
    <w:qFormat/>
    <w:pPr>
      <w:pBdr/>
      <w:spacing/>
      <w:ind w:left="720"/>
      <w:contextualSpacing w:val="true"/>
    </w:pPr>
  </w:style>
  <w:style w:type="numbering" w:styleId="975" w:customStyle="1">
    <w:name w:val="Стиль2"/>
    <w:uiPriority w:val="99"/>
    <w:qFormat/>
    <w:pPr>
      <w:pBdr/>
      <w:spacing/>
      <w:ind/>
    </w:pPr>
  </w:style>
  <w:style w:type="table" w:styleId="976">
    <w:name w:val="Table Grid"/>
    <w:basedOn w:val="959"/>
    <w:uiPriority w:val="39"/>
    <w:pPr>
      <w:pBdr/>
      <w:spacing/>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77" w:customStyle="1">
    <w:name w:val="Содержимое таблицы"/>
    <w:qFormat/>
    <w:pPr>
      <w:keepNext w:val="false"/>
      <w:keepLines w:val="false"/>
      <w:pageBreakBefore w:val="false"/>
      <w:widowControl w:val="false"/>
      <w:suppressLineNumbers w:val="true"/>
      <w:pBdr>
        <w:top w:val="none" w:color="000000" w:sz="4" w:space="0"/>
        <w:left w:val="none" w:color="000000" w:sz="4" w:space="0"/>
        <w:bottom w:val="none" w:color="000000" w:sz="4" w:space="0"/>
        <w:right w:val="none" w:color="000000" w:sz="4" w:space="0"/>
        <w:between w:val="none" w:color="000000" w:sz="4" w:space="0"/>
      </w:pBdr>
      <w:shd w:val="nil"/>
      <w:bidi w:val="false"/>
      <w:spacing w:after="0" w:afterAutospacing="0" w:before="0" w:beforeAutospacing="0" w:line="240" w:lineRule="auto"/>
      <w:ind w:right="0" w:firstLine="0" w:left="0"/>
      <w:contextualSpacing w:val="false"/>
      <w:jc w:val="left"/>
    </w:pPr>
    <w:rPr>
      <w:rFonts w:ascii="Arial" w:hAnsi="Arial" w:eastAsia="Arial Unicode MS" w:cs="Arial"/>
      <w:b w:val="0"/>
      <w:bCs w:val="0"/>
      <w:i w:val="0"/>
      <w:iCs w:val="0"/>
      <w:caps w:val="0"/>
      <w:smallCaps w:val="0"/>
      <w:strike w:val="0"/>
      <w:vanish w:val="0"/>
      <w:color w:val="auto"/>
      <w:spacing w:val="0"/>
      <w:position w:val="0"/>
      <w:sz w:val="24"/>
      <w:szCs w:val="24"/>
      <w:highlight w:val="none"/>
      <w:u w:val="none"/>
      <w:vertAlign w:val="baseline"/>
      <w:rtl w:val="0"/>
      <w:cs w:val="0"/>
      <w:lang w:val="ru-RU" w:eastAsia="zh-CN" w:bidi="ar-SA"/>
      <w14:ligatures w14:val="none"/>
    </w:rPr>
  </w:style>
  <w:style w:type="paragraph" w:styleId="978" w:customStyle="1">
    <w:name w:val="Основной текст (2)"/>
    <w:pPr>
      <w:keepNext w:val="false"/>
      <w:keepLines w:val="false"/>
      <w:pageBreakBefore w:val="false"/>
      <w:widowControl w:val="false"/>
      <w:suppressLineNumbers w:val="false"/>
      <w:pBdr>
        <w:top w:val="none" w:color="000000" w:sz="4" w:space="0"/>
        <w:left w:val="none" w:color="000000" w:sz="4" w:space="0"/>
        <w:bottom w:val="none" w:color="000000" w:sz="4" w:space="0"/>
        <w:right w:val="none" w:color="000000" w:sz="4" w:space="0"/>
        <w:between w:val="none" w:color="000000" w:sz="4" w:space="0"/>
      </w:pBdr>
      <w:shd w:val="clear" w:color="auto" w:fill="ffffff"/>
      <w:bidi w:val="false"/>
      <w:spacing w:after="0" w:afterAutospacing="0" w:before="0" w:beforeAutospacing="0" w:line="259" w:lineRule="exact"/>
      <w:ind w:right="0" w:firstLine="0" w:left="0"/>
      <w:contextualSpacing w:val="false"/>
      <w:jc w:val="both"/>
    </w:pPr>
    <w:rPr>
      <w:rFonts w:ascii="Times New Roman" w:hAnsi="Times New Roman" w:eastAsia="Times New Roman" w:cs="Times New Roman"/>
      <w:b w:val="0"/>
      <w:bCs w:val="0"/>
      <w:i w:val="0"/>
      <w:iCs w:val="0"/>
      <w:caps w:val="0"/>
      <w:smallCaps w:val="0"/>
      <w:strike w:val="0"/>
      <w:vanish w:val="0"/>
      <w:color w:val="auto"/>
      <w:spacing w:val="0"/>
      <w:position w:val="0"/>
      <w:sz w:val="22"/>
      <w:szCs w:val="22"/>
      <w:highlight w:val="none"/>
      <w:u w:val="none"/>
      <w:vertAlign w:val="baseline"/>
      <w:rtl w:val="0"/>
      <w:cs w:val="0"/>
      <w:lang w:val="en-US" w:eastAsia="en-US"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812D73-4AC7-4A6C-BCA5-3C028EB4F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ONLYOFFICE/9.0.0.172</Application>
  <DocSecurity>0</DocSecurity>
  <ScaleCrop>0</ScaleCrop>
  <HeadingPairs>
    <vt:vector size="0" baseType="variant"/>
  </HeadingPairs>
  <TitlesOfParts>
    <vt:vector size="0" baseType="lpstr"/>
  </TitlesOfParts>
  <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dima_p</dc:creator>
  <dc:description/>
  <dc:language>ru-RU</dc:language>
  <cp:revision>5</cp:revision>
  <dcterms:created xsi:type="dcterms:W3CDTF">2022-05-11T07:51:00Z</dcterms:created>
  <dcterms:modified xsi:type="dcterms:W3CDTF">2026-01-21T06:16:49Z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