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ОБОСНОВАНИЕ НАЧАЛЬНОЙ (МАКСИМАЛЬНОЙ) ЦЕНЫ КОНТРАКТА</w:t>
      </w:r>
    </w:p>
    <w:p>
      <w:pPr>
        <w:pStyle w:val="Normal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 </w:t>
      </w:r>
      <w:r>
        <w:rPr>
          <w:rFonts w:eastAsia="Times New Roman" w:cs="Times New Roman"/>
          <w:b/>
          <w:bCs/>
          <w:color w:val="000000"/>
          <w:szCs w:val="22"/>
          <w:lang w:val="ru-RU"/>
        </w:rPr>
        <w:t xml:space="preserve">оказание услуг  </w:t>
      </w:r>
      <w:r>
        <w:rPr>
          <w:rFonts w:eastAsia="Calibri" w:cs="Times New Roman"/>
          <w:b/>
          <w:bCs/>
          <w:color w:val="000000"/>
          <w:szCs w:val="22"/>
          <w:lang w:val="ru-RU"/>
        </w:rPr>
        <w:t>по предоставлению выделенного доступа в Интернет на основе сети передачи данных</w:t>
      </w:r>
    </w:p>
    <w:p>
      <w:pPr>
        <w:pStyle w:val="Normal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/>
        <w:suppressAutoHyphens w:val="true"/>
        <w:spacing w:before="0" w:after="0"/>
        <w:jc w:val="left"/>
        <w:rPr>
          <w:b/>
          <w:bCs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lang w:val="ru-RU" w:bidi="ar-SA"/>
        </w:rPr>
        <w:t>Используемый метод определения НМЦК с обоснованием:</w:t>
      </w:r>
    </w:p>
    <w:p>
      <w:pPr>
        <w:pStyle w:val="Normal"/>
        <w:widowControl/>
        <w:suppressAutoHyphens w:val="true"/>
        <w:spacing w:before="0" w:after="0"/>
        <w:rPr>
          <w:sz w:val="20"/>
          <w:szCs w:val="20"/>
        </w:rPr>
      </w:pPr>
      <w:r>
        <w:rPr>
          <w:kern w:val="0"/>
          <w:sz w:val="20"/>
          <w:szCs w:val="20"/>
          <w:lang w:val="ru-RU" w:bidi="ar-SA"/>
        </w:rPr>
        <w:t>Для определения общей начальной (максимальной) цены контракта</w:t>
      </w:r>
      <w:r>
        <w:rPr>
          <w:rFonts w:eastAsia="Calibri" w:eastAsiaTheme="minorHAnsi"/>
          <w:kern w:val="0"/>
          <w:sz w:val="20"/>
          <w:szCs w:val="20"/>
          <w:lang w:val="ru-RU" w:eastAsia="en-US" w:bidi="ar-SA"/>
        </w:rPr>
        <w:t xml:space="preserve"> применен  метод сопоставимых рыночных цен (анализа рынка).</w:t>
      </w:r>
    </w:p>
    <w:p>
      <w:pPr>
        <w:pStyle w:val="Normal"/>
        <w:widowControl/>
        <w:suppressAutoHyphens w:val="true"/>
        <w:spacing w:before="0" w:after="0"/>
        <w:rPr>
          <w:sz w:val="20"/>
          <w:szCs w:val="20"/>
        </w:rPr>
      </w:pPr>
      <w:r>
        <w:rPr>
          <w:kern w:val="0"/>
          <w:sz w:val="20"/>
          <w:szCs w:val="20"/>
          <w:lang w:val="ru-RU" w:bidi="ar-SA"/>
        </w:rPr>
        <w:t>Метод сопоставимых рыночных цен (анализа рынка), применен в соответствии с ч.6 ст.22 Федерального закона от 5 апреля 2013 года № 44-ФЗ  «О контрактной системе в сфере закупок товаров, работ, услуг для обеспечения государственных и муниципальных нужд» путем изучения и использования  ценовой информации. В соответствии с приказом Минэкономразвития России от 02.10.2013 № 567 «</w:t>
      </w:r>
      <w:r>
        <w:rPr>
          <w:rFonts w:eastAsia="Calibri" w:eastAsiaTheme="minorHAnsi"/>
          <w:kern w:val="0"/>
          <w:sz w:val="20"/>
          <w:szCs w:val="20"/>
          <w:lang w:val="ru-RU" w:eastAsia="en-US" w:bidi="ar-SA"/>
        </w:rPr>
        <w:t xml:space="preserve">Об утверждении методических </w:t>
      </w:r>
      <w:r>
        <w:rPr>
          <w:kern w:val="0"/>
          <w:sz w:val="20"/>
          <w:szCs w:val="20"/>
          <w:lang w:val="ru-RU" w:bidi="ar-SA"/>
        </w:rPr>
        <w:t>рекомендаций</w:t>
      </w:r>
      <w:r>
        <w:rPr>
          <w:rFonts w:eastAsia="Calibri" w:eastAsiaTheme="minorHAnsi"/>
          <w:kern w:val="0"/>
          <w:sz w:val="20"/>
          <w:szCs w:val="20"/>
          <w:lang w:val="ru-RU" w:eastAsia="en-US" w:bidi="ar-SA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</w:t>
      </w:r>
      <w:r>
        <w:rPr>
          <w:kern w:val="0"/>
          <w:sz w:val="20"/>
          <w:szCs w:val="20"/>
          <w:lang w:val="ru-RU" w:bidi="ar-SA"/>
        </w:rPr>
        <w:t>была и</w:t>
      </w:r>
      <w:r>
        <w:rPr>
          <w:spacing w:val="-1"/>
          <w:kern w:val="0"/>
          <w:sz w:val="20"/>
          <w:szCs w:val="20"/>
          <w:lang w:val="ru-RU" w:bidi="ar-SA"/>
        </w:rPr>
        <w:t xml:space="preserve">спользована </w:t>
      </w:r>
      <w:r>
        <w:rPr>
          <w:kern w:val="0"/>
          <w:sz w:val="20"/>
          <w:szCs w:val="20"/>
          <w:lang w:val="ru-RU" w:bidi="ar-SA"/>
        </w:rPr>
        <w:t>информация на основе данных полученных от исполнителей на основании коммерческих предложений:</w:t>
      </w:r>
    </w:p>
    <w:p>
      <w:pPr>
        <w:pStyle w:val="Normal"/>
        <w:widowControl/>
        <w:suppressAutoHyphens w:val="true"/>
        <w:spacing w:before="0" w:after="0"/>
        <w:rPr>
          <w:sz w:val="20"/>
          <w:szCs w:val="20"/>
        </w:rPr>
      </w:pPr>
      <w:r>
        <w:rPr>
          <w:kern w:val="0"/>
          <w:sz w:val="20"/>
          <w:szCs w:val="20"/>
          <w:lang w:val="ru-RU" w:bidi="ar-SA"/>
        </w:rPr>
        <w:t>- коммерческое предложение № 1 – вх. № 23843/26/46000 от 11.06.2026;</w:t>
      </w:r>
    </w:p>
    <w:p>
      <w:pPr>
        <w:pStyle w:val="Normal"/>
        <w:widowControl/>
        <w:suppressAutoHyphens w:val="true"/>
        <w:spacing w:before="0" w:after="0"/>
        <w:rPr>
          <w:sz w:val="20"/>
          <w:szCs w:val="20"/>
        </w:rPr>
      </w:pPr>
      <w:r>
        <w:rPr>
          <w:kern w:val="0"/>
          <w:sz w:val="20"/>
          <w:szCs w:val="20"/>
          <w:lang w:val="ru-RU" w:bidi="ar-SA"/>
        </w:rPr>
        <w:t>- коммерческое предложение № 2 – вх. №</w:t>
      </w:r>
      <w:r>
        <w:rPr>
          <w:kern w:val="0"/>
          <w:sz w:val="20"/>
          <w:szCs w:val="20"/>
          <w:u w:val="none"/>
          <w:lang w:val="ru-RU" w:bidi="ar-SA"/>
        </w:rPr>
        <w:t xml:space="preserve"> 23844/26/46000 от 11.06.2026;</w:t>
      </w:r>
    </w:p>
    <w:p>
      <w:pPr>
        <w:pStyle w:val="Normal"/>
        <w:widowControl/>
        <w:suppressAutoHyphens w:val="true"/>
        <w:spacing w:before="0" w:after="60"/>
        <w:jc w:val="left"/>
        <w:rPr/>
      </w:pPr>
      <w:r>
        <w:rPr>
          <w:kern w:val="0"/>
          <w:sz w:val="20"/>
          <w:szCs w:val="20"/>
          <w:u w:val="none"/>
          <w:lang w:val="ru-RU" w:bidi="ar-SA"/>
        </w:rPr>
        <w:t>- реестровый номер исполненного конт</w:t>
      </w:r>
      <w:r>
        <w:rPr>
          <w:rFonts w:eastAsia="Times New Roman" w:cs="Times New Roman"/>
          <w:color w:val="auto"/>
          <w:kern w:val="0"/>
          <w:sz w:val="20"/>
          <w:szCs w:val="20"/>
          <w:u w:val="none"/>
          <w:lang w:val="ru-RU" w:eastAsia="ru-RU" w:bidi="ar-SA"/>
        </w:rPr>
        <w:t xml:space="preserve">ракта   </w:t>
      </w:r>
      <w:hyperlink r:id="rId2" w:tgtFrame="_blank">
        <w:r>
          <w:rPr>
            <w:rStyle w:val="Hyperlink"/>
            <w:rFonts w:eastAsia="Times New Roman" w:cs="Times New Roman"/>
            <w:color w:val="auto"/>
            <w:kern w:val="0"/>
            <w:sz w:val="20"/>
            <w:szCs w:val="20"/>
            <w:u w:val="none"/>
            <w:lang w:val="ru-RU" w:eastAsia="ru-RU" w:bidi="ar-SA"/>
          </w:rPr>
          <w:t>№ 3461300404025000031</w:t>
        </w:r>
      </w:hyperlink>
    </w:p>
    <w:tbl>
      <w:tblPr>
        <w:tblpPr w:vertAnchor="text" w:horzAnchor="margin" w:tblpXSpec="center" w:leftFromText="180" w:rightFromText="180" w:tblpY="230"/>
        <w:tblOverlap w:val="never"/>
        <w:tblW w:w="162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6"/>
        <w:gridCol w:w="2220"/>
        <w:gridCol w:w="899"/>
        <w:gridCol w:w="1058"/>
        <w:gridCol w:w="1266"/>
        <w:gridCol w:w="970"/>
        <w:gridCol w:w="1352"/>
        <w:gridCol w:w="881"/>
        <w:gridCol w:w="1104"/>
        <w:gridCol w:w="1369"/>
        <w:gridCol w:w="1470"/>
        <w:gridCol w:w="800"/>
        <w:gridCol w:w="2161"/>
      </w:tblGrid>
      <w:tr>
        <w:trPr>
          <w:trHeight w:val="765" w:hRule="atLeast"/>
        </w:trPr>
        <w:tc>
          <w:tcPr>
            <w:tcW w:w="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№ </w:t>
            </w:r>
            <w:r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2220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899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Количество</w:t>
            </w:r>
          </w:p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(объем) закупаемого товара</w:t>
            </w:r>
          </w:p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(работы, услуги)</w:t>
            </w:r>
          </w:p>
        </w:tc>
        <w:tc>
          <w:tcPr>
            <w:tcW w:w="1058" w:type="dxa"/>
            <w:vMerge w:val="restart"/>
            <w:tcBorders>
              <w:top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Количество источников ценовой информации</w:t>
            </w:r>
          </w:p>
        </w:tc>
        <w:tc>
          <w:tcPr>
            <w:tcW w:w="4469" w:type="dxa"/>
            <w:gridSpan w:val="4"/>
            <w:tcBorders>
              <w:top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Цены поставщиков (исполнителей, подрядчиков) за единицу товара (работы, услуги), рублей</w:t>
            </w:r>
          </w:p>
        </w:tc>
        <w:tc>
          <w:tcPr>
            <w:tcW w:w="3943" w:type="dxa"/>
            <w:gridSpan w:val="3"/>
            <w:vMerge w:val="restart"/>
            <w:tcBorders>
              <w:top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Однородность совокупности значений выявленных цен, используемых в расчете НМЦК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НМЦК, определяемая методом сопоставимых рыночных цен (анализа рынка)</w:t>
            </w:r>
          </w:p>
        </w:tc>
      </w:tr>
      <w:tr>
        <w:trPr>
          <w:trHeight w:val="230" w:hRule="atLeast"/>
        </w:trPr>
        <w:tc>
          <w:tcPr>
            <w:tcW w:w="676" w:type="dxa"/>
            <w:vMerge w:val="continue"/>
            <w:tcBorders>
              <w:left w:val="single" w:sz="4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2220" w:type="dxa"/>
            <w:vMerge w:val="continue"/>
            <w:tcBorders>
              <w:left w:val="single" w:sz="4" w:space="0" w:color="000000"/>
              <w:right w:val="single" w:sz="4" w:space="0" w:color="00000A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899" w:type="dxa"/>
            <w:vMerge w:val="continue"/>
            <w:tcBorders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058" w:type="dxa"/>
            <w:vMerge w:val="continue"/>
            <w:tcBorders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 ценовой информации № 1</w:t>
            </w:r>
          </w:p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 ценовой информации № 2</w:t>
            </w:r>
          </w:p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Реестровый номер контракта </w:t>
            </w:r>
            <w:hyperlink r:id="rId3" w:tgtFrame="_blank">
              <w:r>
                <w:rPr>
                  <w:rStyle w:val="Hyperlink"/>
                  <w:bCs/>
                  <w:sz w:val="16"/>
                  <w:szCs w:val="16"/>
                </w:rPr>
                <w:t>№ 3461300404025000031</w:t>
              </w:r>
            </w:hyperlink>
          </w:p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Приказ ФССП России от 23.12.2014 № 698</w:t>
            </w:r>
          </w:p>
        </w:tc>
        <w:tc>
          <w:tcPr>
            <w:tcW w:w="3943" w:type="dxa"/>
            <w:gridSpan w:val="3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8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21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</w:tr>
      <w:tr>
        <w:trPr>
          <w:trHeight w:val="1914" w:hRule="atLeast"/>
        </w:trPr>
        <w:tc>
          <w:tcPr>
            <w:tcW w:w="67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2220" w:type="dxa"/>
            <w:vMerge w:val="continue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899" w:type="dxa"/>
            <w:vMerge w:val="continue"/>
            <w:tcBorders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058" w:type="dxa"/>
            <w:vMerge w:val="continue"/>
            <w:tcBorders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266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970" w:type="dxa"/>
            <w:vMerge w:val="continue"/>
            <w:tcBorders>
              <w:left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352" w:type="dxa"/>
            <w:vMerge w:val="continue"/>
            <w:tcBorders>
              <w:left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881" w:type="dxa"/>
            <w:vMerge w:val="continue"/>
            <w:tcBorders>
              <w:left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1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Средняя арифметическая величина цены за единицу &lt;ц&gt;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Среднее квадратичное отклонение</w:t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800100" cy="438150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коэффициент вариации цен V (%) (не должен превышать 33%)*</w:t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676275" cy="352425"/>
                  <wp:effectExtent l="0" t="0" r="0" b="0"/>
                  <wp:docPr id="2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Средняя цена для расчета НМЦК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Расчет НМЦК по формуле :</w:t>
            </w:r>
          </w:p>
          <w:p>
            <w:pPr>
              <w:pStyle w:val="Normal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 - количество (объем) закупаемого товара (работы, услуги);</w:t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 количество значений, используемых в расчете;</w:t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- номер источника ценовой информации;</w:t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52400" cy="228600"/>
                  <wp:effectExtent l="0" t="0" r="0" b="0"/>
                  <wp:docPr id="3" name="Pictur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- цена единицы</w:t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317625" cy="361950"/>
                  <wp:effectExtent l="0" t="0" r="0" b="0"/>
                  <wp:docPr id="4" name="Pictur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6" w:hRule="atLeast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Услуги по предоставлению выделенного доступа в Интернет на основе сети передачи данных</w:t>
            </w:r>
          </w:p>
        </w:tc>
        <w:tc>
          <w:tcPr>
            <w:tcW w:w="899" w:type="dxa"/>
            <w:tcBorders>
              <w:top w:val="single" w:sz="4" w:space="0" w:color="000000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 месяцев</w:t>
            </w:r>
          </w:p>
        </w:tc>
        <w:tc>
          <w:tcPr>
            <w:tcW w:w="1058" w:type="dxa"/>
            <w:tcBorders>
              <w:top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8 600,00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8 300,00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4 807,74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7 235,91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2 108,20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29,14</w:t>
            </w:r>
          </w:p>
        </w:tc>
        <w:tc>
          <w:tcPr>
            <w:tcW w:w="800" w:type="dxa"/>
            <w:tcBorders>
              <w:top w:val="single" w:sz="4" w:space="0" w:color="00000A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7 235,91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86 830,92</w:t>
            </w:r>
          </w:p>
        </w:tc>
      </w:tr>
      <w:tr>
        <w:trPr>
          <w:trHeight w:val="288" w:hRule="atLeast"/>
        </w:trPr>
        <w:tc>
          <w:tcPr>
            <w:tcW w:w="1406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86 830,92</w:t>
            </w:r>
          </w:p>
        </w:tc>
      </w:tr>
    </w:tbl>
    <w:p>
      <w:pPr>
        <w:pStyle w:val="Normal"/>
        <w:rPr>
          <w:bCs/>
          <w:sz w:val="18"/>
          <w:szCs w:val="18"/>
        </w:rPr>
      </w:pPr>
      <w:r>
        <w:rPr>
          <w:color w:val="000000"/>
        </w:rPr>
        <w:t xml:space="preserve">  </w:t>
      </w:r>
      <w:r>
        <w:rPr>
          <w:sz w:val="20"/>
          <w:szCs w:val="20"/>
        </w:rPr>
        <w:t>* - коэффициент вариации  менее 33 %, совокупность цен принимается однородной</w:t>
      </w:r>
    </w:p>
    <w:p>
      <w:pPr>
        <w:pStyle w:val="Normal"/>
        <w:jc w:val="left"/>
        <w:rPr>
          <w:sz w:val="20"/>
          <w:szCs w:val="20"/>
        </w:rPr>
      </w:pPr>
      <w:r>
        <w:rPr>
          <w:b/>
          <w:sz w:val="20"/>
          <w:szCs w:val="20"/>
        </w:rPr>
        <w:t>НАЧАЛЬНАЯ (МАКСИМАЛЬНАЯ) ЦЕНА КОНТРАКТА УСТАНОВЛЕНА В РАЗМЕРЕ 86 830 (Восемьдесят шесть рублей восемьсот тридцать) рублей 92 копейки.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spacing w:lineRule="atLeast" w:line="100"/>
        <w:rPr>
          <w:rFonts w:eastAsia="Times New Roman CYR"/>
          <w:szCs w:val="22"/>
        </w:rPr>
      </w:pPr>
      <w:r>
        <w:rPr>
          <w:rFonts w:eastAsia="Times New Roman CYR"/>
          <w:szCs w:val="22"/>
        </w:rPr>
        <w:t xml:space="preserve">Начальник отделения информатизации и </w:t>
      </w:r>
    </w:p>
    <w:p>
      <w:pPr>
        <w:pStyle w:val="Normal"/>
        <w:tabs>
          <w:tab w:val="clear" w:pos="708"/>
          <w:tab w:val="left" w:pos="7872" w:leader="none"/>
        </w:tabs>
        <w:spacing w:lineRule="atLeast" w:line="100"/>
        <w:jc w:val="left"/>
        <w:rPr>
          <w:rFonts w:eastAsia="Times New Roman CYR"/>
          <w:szCs w:val="22"/>
        </w:rPr>
      </w:pPr>
      <w:r>
        <w:rPr>
          <w:rFonts w:eastAsia="Times New Roman CYR"/>
          <w:szCs w:val="22"/>
        </w:rPr>
        <w:t>обеспечения информационной безопасности</w:t>
        <w:tab/>
        <w:t>С.Г. Журавлев</w:t>
      </w:r>
    </w:p>
    <w:p>
      <w:pPr>
        <w:pStyle w:val="Normal"/>
        <w:widowControl/>
        <w:suppressAutoHyphens w:val="true"/>
        <w:bidi w:val="0"/>
        <w:spacing w:before="0" w:after="60"/>
        <w:jc w:val="both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34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774e"/>
    <w:pPr>
      <w:widowControl/>
      <w:suppressAutoHyphens w:val="true"/>
      <w:bidi w:val="0"/>
      <w:spacing w:before="0" w:after="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7429c1"/>
    <w:pPr>
      <w:keepNext w:val="true"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4774e"/>
    <w:rPr>
      <w:rFonts w:ascii="Tahoma" w:hAnsi="Tahoma" w:eastAsia="Times New Roman" w:cs="Tahoma"/>
      <w:sz w:val="16"/>
      <w:szCs w:val="16"/>
      <w:lang w:eastAsia="ru-RU"/>
    </w:rPr>
  </w:style>
  <w:style w:type="character" w:styleId="N-product-specvalue-inner" w:customStyle="1">
    <w:name w:val="n-product-spec__value-inner"/>
    <w:basedOn w:val="DefaultParagraphFont"/>
    <w:qFormat/>
    <w:rsid w:val="006e7900"/>
    <w:rPr/>
  </w:style>
  <w:style w:type="character" w:styleId="1" w:customStyle="1">
    <w:name w:val="Заголовок 1 Знак"/>
    <w:basedOn w:val="DefaultParagraphFont"/>
    <w:qFormat/>
    <w:rsid w:val="007429c1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ConsPlusNormal" w:customStyle="1">
    <w:name w:val="ConsPlusNormal Знак"/>
    <w:link w:val="ConsPlusNormal1"/>
    <w:qFormat/>
    <w:locked/>
    <w:rsid w:val="000925a2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03717"/>
    <w:rPr>
      <w:color w:themeColor="hyperlink" w:val="0000FF"/>
      <w:u w:val="single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34"/>
    <w:qFormat/>
    <w:rsid w:val="0094774e"/>
    <w:pPr>
      <w:spacing w:before="280" w:after="280"/>
      <w:jc w:val="left"/>
    </w:pPr>
    <w:rPr>
      <w:lang w:eastAsia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4774e"/>
    <w:pPr>
      <w:spacing w:before="0" w:after="0"/>
    </w:pPr>
    <w:rPr>
      <w:rFonts w:ascii="Tahoma" w:hAnsi="Tahoma" w:cs="Tahoma"/>
      <w:sz w:val="16"/>
      <w:szCs w:val="16"/>
    </w:rPr>
  </w:style>
  <w:style w:type="paragraph" w:styleId="ConsPlusNormal1" w:customStyle="1">
    <w:name w:val="ConsPlusNormal"/>
    <w:link w:val="ConsPlusNormal"/>
    <w:qFormat/>
    <w:rsid w:val="000925a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6" w:customStyle="1">
    <w:name w:val="Заголовок №6"/>
    <w:basedOn w:val="Normal"/>
    <w:qFormat/>
    <w:rsid w:val="00d317c9"/>
    <w:pPr>
      <w:shd w:val="clear" w:color="auto" w:fill="FFFFFF"/>
      <w:spacing w:lineRule="atLeast" w:line="240" w:before="660" w:after="480"/>
    </w:pPr>
    <w:rPr>
      <w:sz w:val="20"/>
      <w:szCs w:val="20"/>
      <w:shd w:fill="FFFFFF" w:val="clear"/>
      <w:lang w:eastAsia="ar-SA"/>
    </w:rPr>
  </w:style>
  <w:style w:type="paragraph" w:styleId="Style1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94774e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gov.ru/epz/contract/contractCard/common-info.html?reestrNumber=3461300404025000031" TargetMode="External"/><Relationship Id="rId3" Type="http://schemas.openxmlformats.org/officeDocument/2006/relationships/hyperlink" Target="https://zakupki.gov.ru/epz/contract/contractCard/common-info.html?reestrNumber=3461300404025000031" TargetMode="External"/><Relationship Id="rId4" Type="http://schemas.openxmlformats.org/officeDocument/2006/relationships/image" Target="media/image1.wmf"/><Relationship Id="rId5" Type="http://schemas.openxmlformats.org/officeDocument/2006/relationships/image" Target="media/image2.wmf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LibreOffice/7.6.7.2$Linux_X86_64 LibreOffice_project/60$Build-2</Application>
  <AppVersion>15.0000</AppVersion>
  <Pages>1</Pages>
  <Words>338</Words>
  <Characters>2232</Characters>
  <CharactersWithSpaces>2534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2024-10-22T07:40:00Z</dcterms:created>
  <dc:creator>mto1</dc:creator>
  <dc:description/>
  <dc:language>ru-RU</dc:language>
  <cp:lastModifiedBy/>
  <cp:lastPrinted>2025-02-25T12:16:00Z</cp:lastPrinted>
  <dcterms:modified xsi:type="dcterms:W3CDTF">2026-06-16T17:23:34Z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