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1"/>
        <w:spacing w:before="0" w:afterAutospacing="1"/>
        <w:jc w:val="right"/>
        <w:rPr>
          <w:rFonts w:eastAsia="Lucida Sans Unicode" w:cs="Tahoma"/>
          <w:sz w:val="24"/>
          <w:szCs w:val="24"/>
        </w:rPr>
      </w:pPr>
      <w:r>
        <w:rPr>
          <w:rFonts w:eastAsia="Lucida Sans Unicode" w:cs="Tahoma"/>
          <w:sz w:val="24"/>
          <w:szCs w:val="24"/>
        </w:rPr>
      </w:r>
      <w:bookmarkStart w:id="1" w:name="Лого"/>
      <w:bookmarkEnd w:id="1"/>
      <w:r>
        <w:rPr>
          <w:rFonts w:eastAsia="Lucida Sans Unicode" w:cs="Tahoma"/>
          <w:sz w:val="24"/>
          <w:szCs w:val="24"/>
        </w:rPr>
      </w:r>
    </w:p>
    <w:p>
      <w:pPr>
        <w:pStyle w:val="661"/>
        <w:jc w:val="center"/>
        <w:rPr>
          <w:rFonts w:eastAsia="Lucida Sans Unicode" w:cs="Tahoma"/>
          <w:b/>
          <w:sz w:val="24"/>
          <w:szCs w:val="24"/>
        </w:rPr>
      </w:pPr>
      <w:r>
        <w:rPr>
          <w:rFonts w:eastAsia="Lucida Sans Unicode" w:cs="Tahoma"/>
          <w:b/>
          <w:sz w:val="24"/>
          <w:szCs w:val="24"/>
        </w:rPr>
      </w:r>
      <w:r>
        <w:rPr>
          <w:rFonts w:eastAsia="Lucida Sans Unicode" w:cs="Tahoma"/>
          <w:b/>
          <w:sz w:val="24"/>
          <w:szCs w:val="24"/>
        </w:rPr>
      </w:r>
    </w:p>
    <w:p>
      <w:pPr>
        <w:pStyle w:val="661"/>
        <w:jc w:val="center"/>
        <w:rPr>
          <w:rFonts w:ascii="Georgia" w:hAnsi="Georgia" w:eastAsia="Lucida Sans Unicode" w:cs="Tahoma"/>
          <w:b/>
          <w:bCs/>
          <w:caps/>
          <w:sz w:val="22"/>
          <w:szCs w:val="22"/>
          <w:highlight w:val="none"/>
          <w:lang w:eastAsia="ar-SA"/>
        </w:rPr>
      </w:pPr>
      <w:r>
        <w:rPr>
          <w:rFonts w:eastAsia="Lucida Sans Unicode" w:cs="Tahoma"/>
          <w:b/>
          <w:color w:val="000000" w:themeColor="text1"/>
          <w:sz w:val="24"/>
          <w:szCs w:val="24"/>
        </w:rPr>
        <w:t xml:space="preserve">Договор</w:t>
      </w:r>
      <w:r>
        <w:rPr>
          <w:rFonts w:eastAsia="Lucida Sans Unicode" w:cs="Tahoma"/>
          <w:b/>
          <w:color w:val="000000" w:themeColor="text1"/>
          <w:sz w:val="24"/>
          <w:szCs w:val="24"/>
        </w:rPr>
        <w:t xml:space="preserve"> (Контракт)</w:t>
      </w:r>
      <w:r>
        <w:rPr>
          <w:rFonts w:eastAsia="Lucida Sans Unicode" w:cs="Tahoma"/>
          <w:b/>
          <w:color w:val="000000" w:themeColor="text1"/>
          <w:sz w:val="24"/>
          <w:szCs w:val="24"/>
        </w:rPr>
        <w:t xml:space="preserve"> на информационное абонентское обслуживание  №</w:t>
      </w:r>
      <w:r>
        <w:rPr>
          <w:rFonts w:ascii="Georgia" w:hAnsi="Georgia" w:eastAsia="Lucida Sans Unicode" w:cs="Tahoma"/>
          <w:b/>
          <w:bCs/>
          <w:caps/>
          <w:color w:val="000000" w:themeColor="text1"/>
          <w:sz w:val="22"/>
          <w:szCs w:val="24"/>
          <w:lang w:eastAsia="ar-SA"/>
        </w:rPr>
        <w:t xml:space="preserve">___</w:t>
      </w:r>
      <w:r>
        <w:rPr>
          <w:rFonts w:ascii="Georgia" w:hAnsi="Georgia" w:eastAsia="Lucida Sans Unicode" w:cs="Tahoma"/>
          <w:b/>
          <w:bCs/>
          <w:caps/>
          <w:sz w:val="22"/>
          <w:szCs w:val="24"/>
          <w:lang w:eastAsia="ar-SA"/>
        </w:rPr>
        <w:t xml:space="preserve">__________</w:t>
      </w:r>
      <w:r>
        <w:rPr>
          <w:rFonts w:ascii="Georgia" w:hAnsi="Georgia" w:eastAsia="Lucida Sans Unicode" w:cs="Tahoma"/>
          <w:b/>
          <w:bCs/>
          <w:caps/>
          <w:sz w:val="22"/>
          <w:szCs w:val="22"/>
          <w:highlight w:val="none"/>
          <w:lang w:eastAsia="ar-SA"/>
        </w:rPr>
      </w:r>
    </w:p>
    <w:p>
      <w:pPr>
        <w:jc w:val="center"/>
        <w:rPr>
          <w:rFonts w:ascii="Georgia" w:hAnsi="Georgia" w:eastAsia="Lucida Sans Unicode"/>
          <w:b/>
          <w:bCs/>
          <w:caps/>
          <w:sz w:val="22"/>
          <w:szCs w:val="22"/>
          <w:lang w:eastAsia="ar-SA"/>
        </w:rPr>
      </w:pPr>
      <w:r>
        <w:rPr>
          <w:rFonts w:ascii="Georgia" w:hAnsi="Georgia" w:eastAsia="Lucida Sans Unicode" w:cs="Tahoma"/>
          <w:b/>
          <w:bCs/>
          <w:caps/>
          <w:sz w:val="22"/>
          <w:szCs w:val="24"/>
          <w:highlight w:val="none"/>
          <w:lang w:eastAsia="ar-SA"/>
        </w:rPr>
        <w:t xml:space="preserve">ИКЗ </w:t>
      </w:r>
      <w:r>
        <w:rPr>
          <w:rFonts w:ascii="Tahoma" w:hAnsi="Tahoma" w:eastAsia="Tahoma" w:cs="Tahoma"/>
          <w:color w:val="000000"/>
          <w:sz w:val="20"/>
          <w:highlight w:val="none"/>
        </w:rPr>
        <w:t xml:space="preserve">261781200569378380100100080000000244</w:t>
      </w:r>
      <w:r>
        <w:rPr>
          <w:rFonts w:ascii="Georgia" w:hAnsi="Georgia" w:eastAsia="Lucida Sans Unicode" w:cs="Tahoma"/>
          <w:b/>
          <w:bCs/>
          <w:caps/>
          <w:sz w:val="22"/>
          <w:szCs w:val="24"/>
          <w:highlight w:val="none"/>
          <w:lang w:eastAsia="ar-SA"/>
        </w:rPr>
      </w:r>
      <w:r>
        <w:rPr>
          <w:rFonts w:ascii="Georgia" w:hAnsi="Georgia" w:eastAsia="Lucida Sans Unicode" w:cs="Tahoma"/>
          <w:b/>
          <w:bCs/>
          <w:caps/>
          <w:sz w:val="22"/>
          <w:szCs w:val="24"/>
          <w:highlight w:val="none"/>
          <w:lang w:eastAsia="ar-SA"/>
        </w:rPr>
      </w:r>
    </w:p>
    <w:p>
      <w:pPr>
        <w:pStyle w:val="661"/>
        <w:jc w:val="both"/>
        <w:rPr>
          <w:b/>
          <w:bCs/>
          <w:sz w:val="22"/>
          <w:highlight w:val="white"/>
        </w:rPr>
      </w:pPr>
      <w:r>
        <w:rPr>
          <w:b/>
          <w:bCs/>
          <w:sz w:val="22"/>
          <w:highlight w:val="white"/>
          <w:lang w:eastAsia="ar-SA"/>
        </w:rPr>
      </w:r>
      <w:r>
        <w:rPr>
          <w:b/>
          <w:bCs/>
          <w:sz w:val="22"/>
          <w:highlight w:val="white"/>
        </w:rPr>
      </w:r>
    </w:p>
    <w:p>
      <w:pPr>
        <w:pStyle w:val="661"/>
        <w:jc w:val="both"/>
        <w:rPr>
          <w:b/>
          <w:bCs/>
          <w:sz w:val="24"/>
          <w:highlight w:val="white"/>
        </w:rPr>
      </w:pPr>
      <w:r>
        <w:rPr>
          <w:b/>
          <w:sz w:val="22"/>
          <w:szCs w:val="24"/>
          <w:highlight w:val="white"/>
        </w:rPr>
        <w:t xml:space="preserve">г. Санкт-Петербург</w:t>
      </w:r>
      <w:r>
        <w:rPr>
          <w:b/>
          <w:sz w:val="24"/>
          <w:highlight w:val="white"/>
          <w:lang w:eastAsia="ar-SA"/>
        </w:rPr>
        <w:t xml:space="preserve"> </w:t>
        <w:tab/>
        <w:tab/>
        <w:tab/>
        <w:tab/>
        <w:t xml:space="preserve">  </w:t>
        <w:tab/>
        <w:tab/>
        <w:tab/>
      </w:r>
      <w:r>
        <w:rPr>
          <w:b/>
          <w:sz w:val="22"/>
          <w:szCs w:val="24"/>
          <w:highlight w:val="white"/>
        </w:rPr>
        <w:t xml:space="preserve">«____» ___________ 20___ г.</w:t>
      </w:r>
      <w:r>
        <w:rPr>
          <w:b/>
          <w:bCs/>
          <w:sz w:val="24"/>
          <w:highlight w:val="white"/>
        </w:rPr>
      </w:r>
    </w:p>
    <w:p>
      <w:pPr>
        <w:pStyle w:val="661"/>
        <w:spacing w:line="276" w:lineRule="auto"/>
        <w:jc w:val="both"/>
        <w:rPr>
          <w:bCs/>
          <w:color w:val="000000" w:themeColor="text1"/>
          <w:sz w:val="22"/>
          <w:highlight w:val="white"/>
        </w:rPr>
      </w:pPr>
      <w:r>
        <w:rPr>
          <w:bCs/>
          <w:color w:val="000000" w:themeColor="text1"/>
          <w:sz w:val="22"/>
          <w:highlight w:val="white"/>
          <w:lang w:eastAsia="ar-SA"/>
        </w:rPr>
      </w:r>
      <w:r>
        <w:rPr>
          <w:bCs/>
          <w:color w:val="000000" w:themeColor="text1"/>
          <w:sz w:val="22"/>
          <w:highlight w:val="white"/>
        </w:rPr>
      </w:r>
    </w:p>
    <w:p>
      <w:pPr>
        <w:pStyle w:val="661"/>
        <w:spacing w:line="276" w:lineRule="auto"/>
        <w:jc w:val="both"/>
        <w:rPr>
          <w:rFonts w:eastAsia="Lucida Sans Unicode"/>
          <w:color w:val="000000" w:themeColor="text1"/>
          <w:sz w:val="22"/>
          <w:szCs w:val="24"/>
          <w:highlight w:val="white"/>
        </w:rPr>
      </w:pPr>
      <w:r>
        <w:rPr>
          <w:bCs/>
          <w:color w:val="000000" w:themeColor="text1"/>
          <w:sz w:val="22"/>
          <w:highlight w:val="white"/>
          <w:lang w:eastAsia="ar-SA"/>
        </w:rPr>
        <w:t xml:space="preserve">___________________, именуемое в дальнейшем «Исполнитель», в лице ________________________, действующего на основании _______________, с одной стороны, и </w:t>
      </w:r>
      <w:r>
        <w:rPr>
          <w:rFonts w:eastAsia="Lucida Sans Unicode"/>
          <w:color w:val="000000" w:themeColor="text1"/>
          <w:sz w:val="22"/>
          <w:szCs w:val="24"/>
          <w:highlight w:val="white"/>
          <w:lang w:eastAsia="ar-SA"/>
        </w:rPr>
        <w:t xml:space="preserve">Федеральное государственное бюджетное научно-исследовательское учреждение “Российский институт истории искусств”</w:t>
      </w:r>
      <w:r>
        <w:rPr>
          <w:bCs/>
          <w:color w:val="000000" w:themeColor="text1"/>
          <w:sz w:val="22"/>
          <w:highlight w:val="white"/>
          <w:lang w:eastAsia="ar-SA"/>
        </w:rPr>
        <w:t xml:space="preserve">, именуемое в дальнейшем «Заказчик», </w:t>
      </w:r>
      <w:r>
        <w:rPr>
          <w:bCs/>
          <w:color w:val="000000" w:themeColor="text1"/>
          <w:sz w:val="22"/>
          <w:highlight w:val="white"/>
          <w:lang w:eastAsia="ar-SA"/>
        </w:rPr>
        <w:t xml:space="preserve">в лице заместителя директора Юрьевой Марины Михайловны</w:t>
      </w:r>
      <w:r>
        <w:rPr>
          <w:rFonts w:eastAsia="Lucida Sans Unicode"/>
          <w:color w:val="000000" w:themeColor="text1"/>
          <w:sz w:val="22"/>
          <w:szCs w:val="24"/>
          <w:highlight w:val="white"/>
          <w:lang w:eastAsia="ar-SA"/>
        </w:rPr>
        <w:t xml:space="preserve">, </w:t>
      </w:r>
      <w:r>
        <w:rPr>
          <w:color w:val="000000" w:themeColor="text1"/>
          <w:sz w:val="22"/>
          <w:szCs w:val="22"/>
          <w:highlight w:val="white"/>
          <w:shd w:val="clear" w:color="auto" w:fill="ffffff"/>
        </w:rPr>
        <w:t xml:space="preserve">действующей на основании доверенности 78 АБ 9555122 от 15.12.2020 года, </w:t>
      </w:r>
      <w:bookmarkStart w:id="2" w:name="undefined"/>
      <w:r>
        <w:rPr>
          <w:color w:val="000000" w:themeColor="text1"/>
          <w:sz w:val="22"/>
          <w:szCs w:val="22"/>
          <w:highlight w:val="white"/>
          <w:shd w:val="clear" w:color="auto" w:fill="ffffff"/>
        </w:rPr>
        <w:t xml:space="preserve">Приказа №65-п</w:t>
      </w:r>
      <w:bookmarkEnd w:id="2"/>
      <w:r>
        <w:rPr>
          <w:color w:val="000000" w:themeColor="text1"/>
          <w:sz w:val="22"/>
          <w:szCs w:val="22"/>
          <w:highlight w:val="white"/>
          <w:shd w:val="clear" w:color="auto" w:fill="ffffff"/>
        </w:rPr>
        <w:t xml:space="preserve"> от </w:t>
      </w:r>
      <w:r>
        <w:rPr>
          <w:i w:val="0"/>
          <w:iCs w:val="0"/>
          <w:color w:val="000000" w:themeColor="text1"/>
          <w:sz w:val="22"/>
          <w:szCs w:val="22"/>
          <w:highlight w:val="white"/>
          <w:u w:val="none"/>
          <w:shd w:val="clear" w:color="auto" w:fill="ffffff"/>
        </w:rPr>
        <w:t xml:space="preserve">29.12.2020 г. и Устава</w:t>
      </w:r>
      <w:r>
        <w:rPr>
          <w:rFonts w:eastAsia="Lucida Sans Unicode"/>
          <w:color w:val="000000" w:themeColor="text1"/>
          <w:sz w:val="22"/>
          <w:szCs w:val="24"/>
          <w:highlight w:val="white"/>
          <w:lang w:eastAsia="ar-SA"/>
        </w:rPr>
        <w:t xml:space="preserve">, с другой стороны, </w:t>
      </w:r>
      <w:r>
        <w:rPr>
          <w:rFonts w:eastAsia="Lucida Sans Unicode" w:cs="Times New Roman"/>
          <w:color w:val="000000" w:themeColor="text1"/>
          <w:sz w:val="22"/>
          <w:szCs w:val="22"/>
          <w:highlight w:val="white"/>
          <w:shd w:val="clear" w:color="auto" w:fill="ff860d"/>
          <w:lang w:eastAsia="ar-SA"/>
        </w:rPr>
        <w:t xml:space="preserve">на основании пункта 5</w:t>
      </w:r>
      <w:r>
        <w:rPr>
          <w:rFonts w:eastAsia="Lucida Sans Unicode" w:cs="Times New Roman"/>
          <w:color w:val="000000" w:themeColor="text1"/>
          <w:sz w:val="22"/>
          <w:szCs w:val="22"/>
          <w:highlight w:val="white"/>
          <w:shd w:val="clear" w:color="auto" w:fill="ff860d"/>
          <w:lang w:eastAsia="ar-SA"/>
        </w:rPr>
        <w:t xml:space="preserve"> части 1 статьи 93 Федерального закона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="Lucida Sans Unicode"/>
          <w:color w:val="000000" w:themeColor="text1"/>
          <w:sz w:val="22"/>
          <w:szCs w:val="24"/>
          <w:highlight w:val="white"/>
          <w:lang w:eastAsia="ar-SA"/>
        </w:rPr>
        <w:t xml:space="preserve"> заключили настоящий Договор  </w:t>
      </w:r>
      <w:r>
        <w:rPr>
          <w:rFonts w:eastAsia="Lucida Sans Unicode"/>
          <w:color w:val="000000" w:themeColor="text1"/>
          <w:sz w:val="22"/>
          <w:szCs w:val="24"/>
          <w:highlight w:val="white"/>
          <w:lang w:eastAsia="ar-SA"/>
        </w:rPr>
        <w:t xml:space="preserve">(Контракт,</w:t>
      </w:r>
      <w:r>
        <w:rPr>
          <w:rFonts w:eastAsia="Lucida Sans Unicode"/>
          <w:color w:val="000000" w:themeColor="text1"/>
          <w:sz w:val="22"/>
          <w:szCs w:val="24"/>
          <w:highlight w:val="white"/>
          <w:shd w:val="clear" w:color="auto" w:fill="e8a202"/>
          <w:lang w:eastAsia="ar-SA"/>
        </w:rPr>
        <w:t xml:space="preserve"> </w:t>
      </w:r>
      <w:r>
        <w:rPr>
          <w:rFonts w:eastAsia="Lucida Sans Unicode"/>
          <w:color w:val="000000" w:themeColor="text1"/>
          <w:sz w:val="22"/>
          <w:szCs w:val="24"/>
          <w:highlight w:val="white"/>
          <w:shd w:val="clear" w:color="auto" w:fill="ea7500"/>
          <w:lang w:eastAsia="ar-SA"/>
        </w:rPr>
        <w:t xml:space="preserve">далее - договор</w:t>
      </w:r>
      <w:r>
        <w:rPr>
          <w:rFonts w:eastAsia="Lucida Sans Unicode"/>
          <w:color w:val="000000" w:themeColor="text1"/>
          <w:sz w:val="22"/>
          <w:szCs w:val="24"/>
          <w:highlight w:val="white"/>
          <w:lang w:eastAsia="ar-SA"/>
        </w:rPr>
        <w:t xml:space="preserve">) </w:t>
      </w:r>
      <w:r>
        <w:rPr>
          <w:rFonts w:eastAsia="Lucida Sans Unicode"/>
          <w:color w:val="000000" w:themeColor="text1"/>
          <w:sz w:val="22"/>
          <w:szCs w:val="24"/>
          <w:highlight w:val="white"/>
          <w:lang w:eastAsia="ar-SA"/>
        </w:rPr>
        <w:t xml:space="preserve">о нижеследующем:</w:t>
      </w:r>
      <w:r>
        <w:rPr>
          <w:rFonts w:eastAsia="Lucida Sans Unicode"/>
          <w:color w:val="000000" w:themeColor="text1"/>
          <w:sz w:val="22"/>
          <w:szCs w:val="24"/>
          <w:highlight w:val="white"/>
        </w:rPr>
      </w:r>
    </w:p>
    <w:p>
      <w:pPr>
        <w:pStyle w:val="661"/>
        <w:spacing w:before="120" w:after="120"/>
        <w:rPr>
          <w:b/>
          <w:color w:val="000000" w:themeColor="text1"/>
          <w:sz w:val="28"/>
          <w:szCs w:val="24"/>
          <w:highlight w:val="white"/>
        </w:rPr>
      </w:pPr>
      <w:r>
        <w:rPr>
          <w:b/>
          <w:color w:val="000000" w:themeColor="text1"/>
          <w:sz w:val="28"/>
          <w:szCs w:val="24"/>
          <w:highlight w:val="white"/>
        </w:rPr>
        <w:t xml:space="preserve">1. ПРЕДМЕТ ДОГОВОРА</w:t>
      </w:r>
      <w:r>
        <w:rPr>
          <w:b/>
          <w:color w:val="000000" w:themeColor="text1"/>
          <w:sz w:val="28"/>
          <w:szCs w:val="24"/>
          <w:highlight w:val="white"/>
        </w:rPr>
      </w:r>
    </w:p>
    <w:p>
      <w:pPr>
        <w:pStyle w:val="661"/>
        <w:shd w:val="clear" w:color="auto" w:fill="ffffff"/>
        <w:tabs>
          <w:tab w:val="left" w:pos="709" w:leader="none"/>
        </w:tabs>
        <w:spacing w:before="120" w:after="0"/>
        <w:jc w:val="both"/>
        <w:rPr>
          <w:b/>
          <w:bCs/>
          <w:color w:val="000000" w:themeColor="text1"/>
          <w:sz w:val="28"/>
          <w:szCs w:val="24"/>
          <w:highlight w:val="white"/>
        </w:rPr>
      </w:pPr>
      <w:r>
        <w:rPr>
          <w:b/>
          <w:color w:val="000000" w:themeColor="text1"/>
          <w:sz w:val="22"/>
          <w:szCs w:val="24"/>
          <w:highlight w:val="white"/>
        </w:rPr>
        <w:t xml:space="preserve">1.1</w:t>
      </w:r>
      <w:r>
        <w:rPr>
          <w:color w:val="000000" w:themeColor="text1"/>
          <w:sz w:val="22"/>
          <w:szCs w:val="24"/>
          <w:highlight w:val="white"/>
        </w:rPr>
        <w:t xml:space="preserve"> Заказчик поручает, а Исполнитель оказывает услуги по информационному обслуживанию программных продуктов «1С: Бухгалтерия государственного учреждения 8.</w:t>
      </w:r>
      <w:r>
        <w:rPr>
          <w:color w:val="000000" w:themeColor="text1"/>
          <w:sz w:val="22"/>
          <w:szCs w:val="24"/>
          <w:highlight w:val="white"/>
        </w:rPr>
        <w:t xml:space="preserve">5 v2</w:t>
      </w:r>
      <w:r>
        <w:rPr>
          <w:color w:val="000000" w:themeColor="text1"/>
          <w:sz w:val="22"/>
          <w:szCs w:val="24"/>
          <w:highlight w:val="white"/>
        </w:rPr>
        <w:t xml:space="preserve">», «1С: Зарплата и кадры государственного учреждения, редакция</w:t>
      </w:r>
      <w:r>
        <w:rPr>
          <w:color w:val="000000" w:themeColor="text1"/>
          <w:sz w:val="22"/>
          <w:szCs w:val="24"/>
          <w:highlight w:val="white"/>
        </w:rPr>
        <w:t xml:space="preserve"> 3.1</w:t>
      </w:r>
      <w:r>
        <w:rPr>
          <w:color w:val="000000" w:themeColor="text1"/>
          <w:sz w:val="22"/>
          <w:szCs w:val="24"/>
          <w:highlight w:val="white"/>
        </w:rPr>
        <w:t xml:space="preserve">»  (далее ПП), </w:t>
      </w:r>
      <w:r>
        <w:rPr>
          <w:color w:val="000000" w:themeColor="text1"/>
          <w:sz w:val="22"/>
          <w:szCs w:val="24"/>
          <w:highlight w:val="white"/>
        </w:rPr>
        <w:t xml:space="preserve">в соответствии с техническим заданием (Приложение №1 к настоящему договору)</w:t>
      </w:r>
      <w:r>
        <w:rPr>
          <w:color w:val="000000" w:themeColor="text1"/>
          <w:sz w:val="22"/>
          <w:szCs w:val="24"/>
          <w:highlight w:val="white"/>
          <w:shd w:val="clear" w:color="auto" w:fill="ea7500"/>
        </w:rPr>
        <w:t xml:space="preserve"> </w:t>
      </w:r>
      <w:r>
        <w:rPr>
          <w:color w:val="000000" w:themeColor="text1"/>
          <w:sz w:val="22"/>
          <w:szCs w:val="24"/>
          <w:highlight w:val="white"/>
          <w:shd w:val="clear" w:color="auto" w:fill="ea7500"/>
        </w:rPr>
        <w:t xml:space="preserve">в установленный настоящим Договором срок</w:t>
      </w:r>
      <w:r>
        <w:rPr>
          <w:color w:val="000000" w:themeColor="text1"/>
          <w:sz w:val="22"/>
          <w:szCs w:val="24"/>
          <w:highlight w:val="white"/>
        </w:rPr>
        <w:t xml:space="preserve">.</w:t>
      </w:r>
      <w:r>
        <w:rPr>
          <w:color w:val="000000" w:themeColor="text1"/>
          <w:sz w:val="22"/>
          <w:highlight w:val="white"/>
        </w:rPr>
        <w:t xml:space="preserve"> </w:t>
      </w:r>
      <w:r>
        <w:rPr>
          <w:color w:val="000000" w:themeColor="text1"/>
          <w:sz w:val="22"/>
          <w:szCs w:val="24"/>
          <w:highlight w:val="white"/>
        </w:rPr>
        <w:t xml:space="preserve">Перечень видов услуг указан в разделе 4.</w:t>
      </w:r>
      <w:r>
        <w:rPr>
          <w:b/>
          <w:bCs/>
          <w:color w:val="000000" w:themeColor="text1"/>
          <w:sz w:val="28"/>
          <w:szCs w:val="24"/>
          <w:highlight w:val="white"/>
        </w:rPr>
      </w:r>
    </w:p>
    <w:p>
      <w:pPr>
        <w:pStyle w:val="661"/>
        <w:shd w:val="clear" w:color="auto" w:fill="ffffff"/>
        <w:tabs>
          <w:tab w:val="left" w:pos="709" w:leader="none"/>
        </w:tabs>
        <w:spacing w:before="120" w:after="0"/>
        <w:jc w:val="both"/>
        <w:rPr>
          <w:color w:val="000000" w:themeColor="text1"/>
          <w:highlight w:val="white"/>
          <w:shd w:val="clear" w:color="auto" w:fill="ff860d"/>
        </w:rPr>
      </w:pPr>
      <w:r>
        <w:rPr>
          <w:color w:val="000000" w:themeColor="text1"/>
          <w:sz w:val="22"/>
          <w:szCs w:val="24"/>
          <w:highlight w:val="white"/>
          <w:shd w:val="clear" w:color="auto" w:fill="ff860d"/>
        </w:rPr>
        <w:t xml:space="preserve">ОКПД 2 - 62.02.30.</w:t>
      </w:r>
      <w:r>
        <w:rPr>
          <w:color w:val="000000" w:themeColor="text1"/>
          <w:highlight w:val="white"/>
          <w:shd w:val="clear" w:color="auto" w:fill="ff860d"/>
        </w:rPr>
      </w:r>
    </w:p>
    <w:p>
      <w:pPr>
        <w:pStyle w:val="661"/>
        <w:shd w:val="clear" w:color="auto" w:fill="ffffff"/>
        <w:tabs>
          <w:tab w:val="left" w:pos="709" w:leader="none"/>
        </w:tabs>
        <w:spacing w:before="120" w:after="0"/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</w:r>
    </w:p>
    <w:p>
      <w:pPr>
        <w:pStyle w:val="661"/>
        <w:spacing w:before="120" w:after="120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2. ОБЯЗАННОСТЬ СТОРОН</w:t>
      </w:r>
      <w:r>
        <w:rPr>
          <w:b/>
          <w:sz w:val="28"/>
          <w:szCs w:val="24"/>
        </w:rPr>
      </w:r>
    </w:p>
    <w:p>
      <w:pPr>
        <w:pStyle w:val="661"/>
        <w:spacing w:before="120" w:after="120"/>
        <w:jc w:val="both"/>
        <w:rPr>
          <w:bCs/>
          <w:color w:val="000000" w:themeColor="text1"/>
          <w:sz w:val="28"/>
          <w:szCs w:val="24"/>
        </w:rPr>
      </w:pPr>
      <w:r>
        <w:rPr>
          <w:b/>
          <w:color w:val="000000" w:themeColor="text1"/>
          <w:sz w:val="28"/>
          <w:szCs w:val="24"/>
        </w:rPr>
        <w:t xml:space="preserve">2.1</w:t>
      </w:r>
      <w:r>
        <w:rPr>
          <w:color w:val="000000" w:themeColor="text1"/>
          <w:sz w:val="28"/>
          <w:szCs w:val="24"/>
        </w:rPr>
        <w:t xml:space="preserve"> </w:t>
      </w:r>
      <w:r>
        <w:rPr>
          <w:b/>
          <w:color w:val="000000" w:themeColor="text1"/>
          <w:sz w:val="28"/>
          <w:szCs w:val="24"/>
        </w:rPr>
        <w:t xml:space="preserve">Исполнитель обязан:</w:t>
      </w:r>
      <w:r>
        <w:rPr>
          <w:bCs/>
          <w:color w:val="000000" w:themeColor="text1"/>
          <w:sz w:val="28"/>
          <w:szCs w:val="24"/>
        </w:rPr>
      </w:r>
    </w:p>
    <w:p>
      <w:pPr>
        <w:pStyle w:val="661"/>
        <w:widowControl w:val="off"/>
        <w:numPr>
          <w:numId w:val="2"/>
          <w:ilvl w:val="2"/>
        </w:numPr>
        <w:tabs>
          <w:tab w:val="left" w:pos="567" w:leader="none"/>
          <w:tab w:val="clear" w:pos="709" w:leader="none"/>
        </w:tabs>
        <w:ind w:left="0" w:firstLine="0"/>
        <w:jc w:val="both"/>
        <w:rPr>
          <w:b/>
          <w:bCs/>
          <w:color w:val="000000" w:themeColor="text1"/>
          <w:sz w:val="22"/>
          <w:szCs w:val="24"/>
        </w:rPr>
      </w:pPr>
      <w:r>
        <w:rPr>
          <w:color w:val="000000" w:themeColor="text1"/>
          <w:sz w:val="22"/>
          <w:szCs w:val="24"/>
        </w:rPr>
        <w:t xml:space="preserve">Оказывать услуги по обслуживанию ПП на условиях, изложенных в разделе 4 </w:t>
      </w:r>
      <w:r>
        <w:rPr>
          <w:color w:val="000000" w:themeColor="text1"/>
          <w:sz w:val="22"/>
          <w:szCs w:val="24"/>
        </w:rPr>
        <w:t xml:space="preserve">и Техническом задании (Приложение №1 к настоящему Договору)</w:t>
      </w:r>
      <w:r>
        <w:rPr>
          <w:color w:val="000000" w:themeColor="text1"/>
          <w:sz w:val="22"/>
          <w:szCs w:val="24"/>
        </w:rPr>
        <w:t xml:space="preserve">.</w:t>
      </w:r>
      <w:r>
        <w:rPr>
          <w:b/>
          <w:bCs/>
          <w:color w:val="000000" w:themeColor="text1"/>
          <w:sz w:val="22"/>
          <w:szCs w:val="24"/>
        </w:rPr>
      </w:r>
    </w:p>
    <w:p>
      <w:pPr>
        <w:pStyle w:val="735"/>
        <w:spacing w:before="120" w:after="120"/>
        <w:ind w:left="0" w:firstLine="0"/>
        <w:contextualSpacing/>
        <w:jc w:val="both"/>
        <w:rPr>
          <w:bCs w:val="0"/>
          <w:szCs w:val="24"/>
        </w:rPr>
      </w:pPr>
      <w:r>
        <w:rPr>
          <w:bCs w:val="0"/>
          <w:szCs w:val="24"/>
        </w:rPr>
        <w:t xml:space="preserve">2.2 Заказчик обязан:</w:t>
      </w:r>
      <w:r>
        <w:rPr>
          <w:bCs w:val="0"/>
          <w:szCs w:val="24"/>
        </w:rPr>
      </w:r>
    </w:p>
    <w:p>
      <w:pPr>
        <w:pStyle w:val="661"/>
        <w:tabs>
          <w:tab w:val="clear" w:pos="709" w:leader="none"/>
          <w:tab w:val="left" w:pos="1080" w:leader="none"/>
        </w:tabs>
        <w:jc w:val="both"/>
        <w:rPr>
          <w:b/>
          <w:sz w:val="22"/>
          <w:szCs w:val="24"/>
        </w:rPr>
      </w:pPr>
      <w:r>
        <w:rPr>
          <w:b/>
          <w:sz w:val="22"/>
          <w:szCs w:val="24"/>
        </w:rPr>
        <w:t xml:space="preserve">2.2.1</w:t>
      </w:r>
      <w:r>
        <w:rPr>
          <w:sz w:val="22"/>
          <w:szCs w:val="24"/>
        </w:rPr>
        <w:t xml:space="preserve"> Своевременно оплачивать услуги Исполнителя в размере и в сроки, предусмотренные в разделе 3, настоящего Договора.</w:t>
      </w:r>
      <w:r>
        <w:rPr>
          <w:b/>
          <w:sz w:val="22"/>
          <w:szCs w:val="24"/>
        </w:rPr>
      </w:r>
    </w:p>
    <w:p>
      <w:pPr>
        <w:pStyle w:val="735"/>
        <w:numPr>
          <w:numId w:val="4"/>
          <w:ilvl w:val="2"/>
        </w:numPr>
        <w:tabs>
          <w:tab w:val="left" w:pos="0" w:leader="none"/>
          <w:tab w:val="left" w:pos="567" w:leader="none"/>
          <w:tab w:val="clear" w:pos="709" w:leader="none"/>
        </w:tabs>
        <w:ind w:left="0" w:firstLine="0"/>
        <w:jc w:val="both"/>
        <w:rPr>
          <w:b w:val="0"/>
          <w:bCs w:val="0"/>
          <w:sz w:val="22"/>
          <w:szCs w:val="24"/>
        </w:rPr>
      </w:pPr>
      <w:r>
        <w:rPr>
          <w:b w:val="0"/>
          <w:sz w:val="22"/>
          <w:szCs w:val="24"/>
        </w:rPr>
        <w:t xml:space="preserve">Обеспечить Исполнителю </w:t>
      </w:r>
      <w:r>
        <w:rPr>
          <w:b w:val="0"/>
          <w:bCs w:val="0"/>
          <w:sz w:val="22"/>
          <w:szCs w:val="24"/>
        </w:rPr>
        <w:t xml:space="preserve">доступ к ПП и необходимым техническим средствам;</w:t>
      </w:r>
      <w:r>
        <w:rPr>
          <w:b w:val="0"/>
          <w:bCs w:val="0"/>
          <w:sz w:val="22"/>
          <w:szCs w:val="24"/>
        </w:rPr>
      </w:r>
    </w:p>
    <w:p>
      <w:pPr>
        <w:pStyle w:val="661"/>
        <w:widowControl w:val="off"/>
        <w:numPr>
          <w:numId w:val="4"/>
          <w:ilvl w:val="2"/>
        </w:numPr>
        <w:tabs>
          <w:tab w:val="left" w:pos="567" w:leader="none"/>
          <w:tab w:val="clear" w:pos="709" w:leader="none"/>
        </w:tabs>
        <w:ind w:left="0" w:firstLine="0"/>
        <w:jc w:val="both"/>
        <w:rPr>
          <w:b/>
          <w:bCs/>
          <w:sz w:val="22"/>
          <w:szCs w:val="24"/>
        </w:rPr>
      </w:pPr>
      <w:r>
        <w:rPr>
          <w:sz w:val="22"/>
          <w:szCs w:val="24"/>
        </w:rPr>
        <w:t xml:space="preserve">В процессе эксплуатации ПП ежедневно создавать архивную копию базы данных программ с тем, чтобы исключить потерю данных по независящим от сторон причинам.</w:t>
      </w:r>
      <w:r>
        <w:rPr>
          <w:b/>
          <w:bCs/>
          <w:sz w:val="22"/>
          <w:szCs w:val="24"/>
        </w:rPr>
      </w:r>
    </w:p>
    <w:p>
      <w:pPr>
        <w:pStyle w:val="661"/>
        <w:spacing w:before="120" w:after="120"/>
        <w:rPr>
          <w:b/>
          <w:color w:val="000000" w:themeColor="text1"/>
          <w:sz w:val="28"/>
          <w:szCs w:val="24"/>
          <w:highlight w:val="white"/>
        </w:rPr>
      </w:pPr>
      <w:r>
        <w:rPr>
          <w:b/>
          <w:color w:val="000000" w:themeColor="text1"/>
          <w:sz w:val="28"/>
          <w:szCs w:val="24"/>
          <w:highlight w:val="white"/>
        </w:rPr>
        <w:t xml:space="preserve">3.  СТОИМОСТЬ УСЛУГ, ПОРЯДОК И СРОКИ РАСЧЕТОВ</w:t>
      </w:r>
      <w:r>
        <w:rPr>
          <w:b/>
          <w:color w:val="000000" w:themeColor="text1"/>
          <w:sz w:val="28"/>
          <w:szCs w:val="24"/>
          <w:highlight w:val="white"/>
        </w:rPr>
      </w:r>
    </w:p>
    <w:p>
      <w:pPr>
        <w:pStyle w:val="735"/>
        <w:widowControl/>
        <w:numPr>
          <w:numId w:val="14"/>
          <w:ilvl w:val="1"/>
        </w:numPr>
        <w:tabs>
          <w:tab w:val="left" w:pos="567" w:leader="none"/>
          <w:tab w:val="clear" w:pos="709" w:leader="none"/>
        </w:tabs>
        <w:ind w:left="0" w:firstLine="0"/>
        <w:jc w:val="both"/>
        <w:rPr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Общая стоимость услуг по Договору составляет 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______ </w:t>
      </w:r>
      <w:r>
        <w:rPr>
          <w:bCs w:val="0"/>
          <w:color w:val="000000" w:themeColor="text1"/>
          <w:sz w:val="22"/>
          <w:szCs w:val="22"/>
          <w:highlight w:val="white"/>
        </w:rPr>
        <w:t xml:space="preserve">(______________) рублей ___ копеек</w:t>
      </w:r>
      <w:r>
        <w:rPr>
          <w:b w:val="0"/>
          <w:color w:val="000000" w:themeColor="text1"/>
          <w:sz w:val="22"/>
          <w:szCs w:val="22"/>
          <w:highlight w:val="white"/>
        </w:rPr>
        <w:t xml:space="preserve"> включая НДС _____% (или без НДС)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pStyle w:val="661"/>
        <w:tabs>
          <w:tab w:val="left" w:pos="567" w:leader="none"/>
          <w:tab w:val="clear" w:pos="709" w:leader="none"/>
        </w:tabs>
        <w:jc w:val="both"/>
        <w:rPr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pStyle w:val="735"/>
        <w:widowControl/>
        <w:numPr>
          <w:numId w:val="15"/>
          <w:ilvl w:val="1"/>
        </w:numPr>
        <w:tabs>
          <w:tab w:val="left" w:pos="567" w:leader="none"/>
          <w:tab w:val="clear" w:pos="709" w:leader="none"/>
        </w:tabs>
        <w:ind w:left="0" w:firstLine="0"/>
        <w:jc w:val="both"/>
        <w:rPr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rFonts w:cs="Times New Roman"/>
          <w:b w:val="0"/>
          <w:bCs w:val="0"/>
          <w:color w:val="000000" w:themeColor="text1"/>
          <w:sz w:val="22"/>
          <w:szCs w:val="22"/>
          <w:highlight w:val="white"/>
          <w:shd w:val="clear" w:color="auto" w:fill="ea7500"/>
        </w:rPr>
        <w:t xml:space="preserve">Отчетным периодом по настоящему Контракту (этап оказания услуг) является календарный месяц.</w:t>
      </w:r>
      <w:r>
        <w:rPr>
          <w:rFonts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Общая стоимость услуг Исполнителя по Договору делится пропорционально общему количеству месяцев срока оказания услуг и в конце каждого месяца выставляется </w:t>
      </w:r>
      <w:r>
        <w:rPr>
          <w:b w:val="0"/>
          <w:bCs w:val="0"/>
          <w:color w:val="000000" w:themeColor="text1"/>
          <w:sz w:val="22"/>
          <w:szCs w:val="24"/>
          <w:highlight w:val="white"/>
        </w:rPr>
        <w:t xml:space="preserve">Счет на оплату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 и Универсальный передаточный документ (далее УПД), которые Заказчик оплачивает не позднее 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7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 рабочих дней со дня 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подписания 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соответствующих документов 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о приемке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. Документация выставляется с помощью электронного документооборота.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pStyle w:val="735"/>
        <w:widowControl/>
        <w:numPr>
          <w:numId w:val="17"/>
          <w:ilvl w:val="1"/>
        </w:numPr>
        <w:tabs>
          <w:tab w:val="left" w:pos="567" w:leader="none"/>
          <w:tab w:val="clear" w:pos="709" w:leader="none"/>
        </w:tabs>
        <w:ind w:left="0" w:firstLine="0"/>
        <w:jc w:val="both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Источник финансирования – субсидия на выполнение государственного задания</w:t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pStyle w:val="661"/>
        <w:jc w:val="both"/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</w:pPr>
      <w:r>
        <w:rPr>
          <w:color w:val="000000" w:themeColor="text1"/>
          <w:sz w:val="22"/>
          <w:szCs w:val="22"/>
          <w:shd w:val="clear" w:color="auto" w:fill="ffffff"/>
        </w:rPr>
        <w:t xml:space="preserve">3.4.  Сумма, подлежащая уплате Заказчиком Подрядчику уменьшается на размер налогов, сборов и иных обязательных платежей в бюджеты бюджетной системы Р</w:t>
      </w:r>
      <w:r>
        <w:rPr>
          <w:color w:val="000000" w:themeColor="text1"/>
          <w:sz w:val="22"/>
          <w:szCs w:val="22"/>
          <w:shd w:val="clear" w:color="auto" w:fill="ffffff"/>
        </w:rPr>
        <w:t xml:space="preserve">оссийской Федерации, связанных с оплатой Договора, если в соответствии с законодательством Российской Федерации о налогах </w:t>
        <w:br/>
        <w:t xml:space="preserve">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</w:r>
    </w:p>
    <w:p>
      <w:pPr>
        <w:pStyle w:val="661"/>
        <w:jc w:val="both"/>
        <w:rPr>
          <w:rFonts w:ascii="Times New Roman" w:hAnsi="Times New Roman"/>
          <w:color w:val="000000" w:themeColor="text1"/>
          <w:sz w:val="22"/>
          <w:szCs w:val="22"/>
          <w:highlight w:val="white"/>
          <w:shd w:val="clear" w:color="auto" w:fill="ffffff"/>
        </w:rPr>
      </w:pPr>
      <w:r>
        <w:rPr>
          <w:color w:val="000000" w:themeColor="text1"/>
          <w:sz w:val="22"/>
          <w:szCs w:val="22"/>
          <w:shd w:val="clear" w:color="auto" w:fill="ffffff"/>
        </w:rPr>
        <w:t xml:space="preserve">3.5. Цена Договора является твердой и определяется на весь срок исполнения Дого</w:t>
      </w:r>
      <w:r>
        <w:rPr>
          <w:color w:val="000000" w:themeColor="text1"/>
          <w:sz w:val="22"/>
          <w:szCs w:val="22"/>
          <w:shd w:val="clear" w:color="auto" w:fill="ffffff"/>
        </w:rPr>
        <w:t xml:space="preserve">вора. Цена Договора включает в себя расходы Исполнителя, необходимые для осуществления им своих обязательств по Договору в полном объёме и надлежащего качества, в том числе затраты на оборудование, материалы, транс</w:t>
      </w:r>
      <w:r>
        <w:rPr>
          <w:color w:val="000000" w:themeColor="text1"/>
          <w:sz w:val="22"/>
          <w:szCs w:val="22"/>
          <w:highlight w:val="white"/>
          <w:shd w:val="clear" w:color="auto" w:fill="ffffff"/>
        </w:rPr>
        <w:t xml:space="preserve">порт, дополнительные работы, страхование, </w:t>
      </w:r>
      <w:r>
        <w:rPr>
          <w:color w:val="000000" w:themeColor="text1"/>
          <w:spacing w:val="-6"/>
          <w:sz w:val="22"/>
          <w:szCs w:val="22"/>
          <w:highlight w:val="white"/>
          <w:shd w:val="clear" w:color="auto" w:fill="ffffff"/>
        </w:rPr>
        <w:t xml:space="preserve">уплату налогов, таможенных пошлин, сборов и других обязательных платежей</w:t>
      </w:r>
      <w:r>
        <w:rPr>
          <w:color w:val="000000" w:themeColor="text1"/>
          <w:sz w:val="22"/>
          <w:szCs w:val="22"/>
          <w:highlight w:val="white"/>
          <w:shd w:val="clear" w:color="auto" w:fill="ffffff"/>
        </w:rPr>
        <w:t xml:space="preserve">, а также прочие расходы, связанные с исполнением Договора.</w:t>
      </w:r>
      <w:r>
        <w:rPr>
          <w:rFonts w:ascii="Times New Roman" w:hAnsi="Times New Roman"/>
          <w:color w:val="000000" w:themeColor="text1"/>
          <w:sz w:val="22"/>
          <w:szCs w:val="22"/>
          <w:highlight w:val="white"/>
          <w:shd w:val="clear" w:color="auto" w:fill="ffffff"/>
        </w:rPr>
      </w:r>
    </w:p>
    <w:p>
      <w:pPr>
        <w:pStyle w:val="661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2"/>
          <w:szCs w:val="22"/>
          <w:highlight w:val="white"/>
          <w:shd w:val="clear" w:color="auto" w:fill="ea7500"/>
        </w:rPr>
        <w:t xml:space="preserve">3.6. </w:t>
      </w: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Стороны пришли к соглашению о применении электронного документооборота с использованием телекоммуникационных каналов связи. </w:t>
      </w: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Передача документов, указанных в п.</w:t>
      </w: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3</w:t>
      </w: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.</w:t>
      </w: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7</w:t>
      </w: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. </w:t>
      </w: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договора</w:t>
      </w: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, будет осуществляться через систему электронного документооборота.</w:t>
      </w:r>
      <w:r>
        <w:rPr>
          <w:color w:val="000000" w:themeColor="text1"/>
          <w:highlight w:val="white"/>
        </w:rPr>
      </w:r>
    </w:p>
    <w:p>
      <w:pPr>
        <w:pStyle w:val="661"/>
        <w:tabs>
          <w:tab w:val="left" w:pos="0" w:leader="none"/>
          <w:tab w:val="clear" w:pos="709" w:leader="none"/>
        </w:tabs>
        <w:spacing w:before="0" w:after="0"/>
        <w:ind w:left="0" w:right="0" w:firstLine="0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</w:rPr>
      </w:pP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3.7. </w:t>
      </w: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Под электронными документами понимаются следующие документы: Контракт, дополнения, изменения, приложения к Контракту, счета-фактуры, акты, счета, </w:t>
      </w: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УПД (</w:t>
      </w: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далее по тексту – «ЭД»</w:t>
      </w: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)</w:t>
      </w: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</w:rPr>
      </w:r>
    </w:p>
    <w:p>
      <w:pPr>
        <w:pStyle w:val="661"/>
        <w:tabs>
          <w:tab w:val="left" w:pos="0" w:leader="none"/>
          <w:tab w:val="clear" w:pos="709" w:leader="none"/>
        </w:tabs>
        <w:spacing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</w:rPr>
      </w:pP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ЭД подписываются усиленной квалифицированной электронной подписью уполномоченного лица, далее по тексту – «УКЭП», с соблюдением требований Федерального закона Российской Федерации от 06.04.2011 г. № 63-ФЗ «Об электронной подписи».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</w:rPr>
      </w:r>
    </w:p>
    <w:p>
      <w:pPr>
        <w:pStyle w:val="661"/>
        <w:tabs>
          <w:tab w:val="left" w:pos="0" w:leader="none"/>
          <w:tab w:val="clear" w:pos="709" w:leader="none"/>
        </w:tabs>
        <w:spacing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</w:rPr>
      </w:pP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Счета-фактуры и акты оказанных услуг по Контракту оформляются в виде универсального передаточного документа, далее по тексту – «УПД».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</w:rPr>
      </w:r>
    </w:p>
    <w:p>
      <w:pPr>
        <w:pStyle w:val="661"/>
        <w:tabs>
          <w:tab w:val="left" w:pos="0" w:leader="none"/>
          <w:tab w:val="clear" w:pos="709" w:leader="none"/>
        </w:tabs>
        <w:spacing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</w:rPr>
      </w:pP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3.8. Стороны признают, что ЭД, подписанные УКЭП уполномоченного лица, юридически эквивалентны документам на бумажных носителях, подписанным соответствующими подписями и скрепленным оттиском печатей.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</w:rPr>
      </w:r>
    </w:p>
    <w:p>
      <w:pPr>
        <w:pStyle w:val="661"/>
        <w:ind w:left="0" w:right="0" w:firstLine="708"/>
        <w:jc w:val="both"/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</w:rPr>
      </w:pP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3.9. В случае невозможности применения электронного документооборота по Контракту, Сторона уведомляет об этом другую Сторону по электронной поч</w:t>
      </w:r>
      <w:r>
        <w:rPr>
          <w:rFonts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  <w:lang w:bidi="ar-SA"/>
        </w:rPr>
        <w:t xml:space="preserve">те после чего, документы по Контракту оформляются Сторонами на бумажных носителях.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  <w:shd w:val="clear" w:color="auto" w:fill="ea7500"/>
        </w:rPr>
      </w:r>
    </w:p>
    <w:p>
      <w:pPr>
        <w:pStyle w:val="661"/>
        <w:jc w:val="both"/>
        <w:rPr>
          <w:rFonts w:ascii="Times New Roman" w:hAnsi="Times New Roman"/>
          <w:color w:val="0070c0"/>
          <w:sz w:val="22"/>
          <w:szCs w:val="22"/>
          <w:highlight w:val="white"/>
          <w:shd w:val="clear" w:color="auto" w:fill="ea7500"/>
        </w:rPr>
      </w:pPr>
      <w:r>
        <w:rPr>
          <w:color w:val="0070c0"/>
          <w:sz w:val="22"/>
          <w:szCs w:val="22"/>
          <w:highlight w:val="white"/>
          <w:shd w:val="clear" w:color="auto" w:fill="ea7500"/>
        </w:rPr>
      </w:r>
      <w:r>
        <w:rPr>
          <w:rFonts w:ascii="Times New Roman" w:hAnsi="Times New Roman"/>
          <w:color w:val="0070c0"/>
          <w:sz w:val="22"/>
          <w:szCs w:val="22"/>
          <w:highlight w:val="white"/>
          <w:shd w:val="clear" w:color="auto" w:fill="ea7500"/>
        </w:rPr>
      </w:r>
    </w:p>
    <w:p>
      <w:pPr>
        <w:pStyle w:val="661"/>
        <w:widowControl/>
        <w:tabs>
          <w:tab w:val="left" w:pos="567" w:leader="none"/>
          <w:tab w:val="clear" w:pos="709" w:leader="none"/>
        </w:tabs>
        <w:ind w:left="360" w:firstLine="0"/>
        <w:jc w:val="both"/>
        <w:rPr>
          <w:b w:val="0"/>
          <w:bCs w:val="0"/>
          <w:sz w:val="22"/>
          <w:szCs w:val="22"/>
          <w:highlight w:val="white"/>
        </w:rPr>
      </w:pPr>
      <w:r>
        <w:rPr>
          <w:b w:val="0"/>
          <w:bCs w:val="0"/>
          <w:sz w:val="22"/>
          <w:szCs w:val="22"/>
          <w:highlight w:val="white"/>
        </w:rPr>
      </w:r>
      <w:r>
        <w:rPr>
          <w:b w:val="0"/>
          <w:bCs w:val="0"/>
          <w:sz w:val="22"/>
          <w:szCs w:val="22"/>
          <w:highlight w:val="white"/>
        </w:rPr>
      </w:r>
    </w:p>
    <w:p>
      <w:pPr>
        <w:pStyle w:val="661"/>
        <w:tabs>
          <w:tab w:val="clear" w:pos="709" w:leader="none"/>
          <w:tab w:val="left" w:pos="1080" w:leader="none"/>
        </w:tabs>
        <w:spacing w:before="120" w:after="120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4. УСЛОВИЯ ОКАЗАНИЯ УСЛУГ</w:t>
      </w:r>
      <w:r>
        <w:rPr>
          <w:b/>
          <w:sz w:val="28"/>
          <w:szCs w:val="24"/>
        </w:rPr>
      </w:r>
    </w:p>
    <w:p>
      <w:pPr>
        <w:pStyle w:val="661"/>
        <w:widowControl w:val="off"/>
        <w:numPr>
          <w:numId w:val="9"/>
          <w:ilvl w:val="1"/>
        </w:numPr>
        <w:ind w:left="0" w:firstLine="0"/>
        <w:jc w:val="both"/>
        <w:rPr>
          <w:color w:val="000000" w:themeColor="text1"/>
          <w:sz w:val="22"/>
          <w:szCs w:val="24"/>
          <w:highlight w:val="white"/>
        </w:rPr>
      </w:pPr>
      <w:r>
        <w:rPr>
          <w:color w:val="000000" w:themeColor="text1"/>
          <w:sz w:val="22"/>
          <w:szCs w:val="24"/>
          <w:highlight w:val="white"/>
        </w:rPr>
        <w:t xml:space="preserve">Срок оказания услуг: </w:t>
      </w:r>
      <w:r>
        <w:rPr>
          <w:b/>
          <w:color w:val="000000" w:themeColor="text1"/>
          <w:sz w:val="22"/>
          <w:szCs w:val="24"/>
          <w:highlight w:val="white"/>
          <w:shd w:val="clear" w:color="auto" w:fill="ea7500"/>
        </w:rPr>
        <w:t xml:space="preserve">с </w:t>
      </w:r>
      <w:r>
        <w:rPr>
          <w:b/>
          <w:color w:val="000000" w:themeColor="text1"/>
          <w:sz w:val="22"/>
          <w:szCs w:val="24"/>
          <w:highlight w:val="white"/>
          <w:shd w:val="clear" w:color="auto" w:fill="ea7500"/>
        </w:rPr>
        <w:t xml:space="preserve">даты подписания договора</w:t>
      </w:r>
      <w:r>
        <w:rPr>
          <w:b/>
          <w:color w:val="000000" w:themeColor="text1"/>
          <w:sz w:val="22"/>
          <w:szCs w:val="24"/>
          <w:highlight w:val="white"/>
        </w:rPr>
        <w:t xml:space="preserve">  </w:t>
      </w:r>
      <w:r>
        <w:rPr>
          <w:b/>
          <w:color w:val="000000" w:themeColor="text1"/>
          <w:sz w:val="22"/>
          <w:szCs w:val="24"/>
          <w:highlight w:val="white"/>
        </w:rPr>
        <w:t xml:space="preserve">2026 г.  по 31 декабря 2026 г.</w:t>
      </w:r>
      <w:r>
        <w:rPr>
          <w:color w:val="000000" w:themeColor="text1"/>
          <w:sz w:val="22"/>
          <w:szCs w:val="24"/>
          <w:highlight w:val="white"/>
        </w:rPr>
        <w:t xml:space="preserve"> </w:t>
      </w:r>
      <w:r>
        <w:rPr>
          <w:color w:val="000000" w:themeColor="text1"/>
          <w:sz w:val="22"/>
          <w:szCs w:val="24"/>
          <w:highlight w:val="white"/>
        </w:rPr>
      </w:r>
    </w:p>
    <w:p>
      <w:pPr>
        <w:pStyle w:val="661"/>
        <w:widowControl w:val="off"/>
        <w:numPr>
          <w:numId w:val="9"/>
          <w:ilvl w:val="1"/>
        </w:numPr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Для целей учета заявок на работы от За</w:t>
      </w:r>
      <w:r>
        <w:rPr>
          <w:sz w:val="22"/>
          <w:szCs w:val="24"/>
        </w:rPr>
        <w:t xml:space="preserve">казчика к Исполнителю применяется Система Электронных Заявок (далее СЭЗ). Исполнитель проводит работы по подключению ответственных специалистов Заказчика к СЭЗ и обеспечивает доступ ответственных специалистов Заказчика к СЭЗ в течение срока оказания услуг.</w:t>
      </w:r>
      <w:r>
        <w:rPr>
          <w:sz w:val="22"/>
          <w:szCs w:val="24"/>
        </w:rPr>
      </w:r>
    </w:p>
    <w:p>
      <w:pPr>
        <w:pStyle w:val="661"/>
        <w:widowControl w:val="off"/>
        <w:numPr>
          <w:numId w:val="9"/>
          <w:ilvl w:val="1"/>
        </w:numPr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Исполнитель принимает посредством СЭЗ заявки Заказчика в </w:t>
      </w:r>
      <w:r>
        <w:rPr>
          <w:sz w:val="22"/>
          <w:szCs w:val="24"/>
          <w:u w:val="single"/>
        </w:rPr>
        <w:t xml:space="preserve">неограниченном количестве</w:t>
      </w:r>
      <w:r>
        <w:rPr>
          <w:sz w:val="22"/>
          <w:szCs w:val="24"/>
        </w:rPr>
        <w:t xml:space="preserve"> и приступает к исполнению принятых заявок в порядке общей очереди. Срок выполнения заявки зависит от ее сложности и определяется Исполнителем и доводится до Заказчика до начала выполнения заявки.</w:t>
      </w:r>
      <w:r>
        <w:rPr>
          <w:sz w:val="22"/>
          <w:szCs w:val="24"/>
        </w:rPr>
      </w:r>
    </w:p>
    <w:p>
      <w:pPr>
        <w:pStyle w:val="661"/>
        <w:widowControl w:val="off"/>
        <w:numPr>
          <w:numId w:val="9"/>
          <w:ilvl w:val="1"/>
        </w:numPr>
        <w:ind w:left="0" w:firstLine="0"/>
        <w:jc w:val="both"/>
        <w:rPr>
          <w:sz w:val="22"/>
          <w:szCs w:val="24"/>
        </w:rPr>
      </w:pPr>
      <w:r>
        <w:rPr>
          <w:sz w:val="22"/>
        </w:rPr>
        <w:t xml:space="preserve">Виды работ, производимые Исполнителем для решения заявок от Заказчика, могут быть следующих видов:</w:t>
      </w:r>
      <w:r>
        <w:rPr>
          <w:sz w:val="22"/>
          <w:szCs w:val="24"/>
        </w:rPr>
      </w:r>
    </w:p>
    <w:p>
      <w:pPr>
        <w:pStyle w:val="661"/>
        <w:widowControl w:val="off"/>
        <w:numPr>
          <w:numId w:val="7"/>
          <w:ilvl w:val="0"/>
        </w:numPr>
        <w:tabs>
          <w:tab w:val="left" w:pos="284" w:leader="none"/>
          <w:tab w:val="clear" w:pos="709" w:leader="none"/>
        </w:tabs>
        <w:ind w:left="284" w:firstLine="0"/>
        <w:jc w:val="both"/>
        <w:rPr>
          <w:sz w:val="22"/>
        </w:rPr>
      </w:pPr>
      <w:r>
        <w:rPr>
          <w:sz w:val="22"/>
        </w:rPr>
        <w:t xml:space="preserve">Консультирование пользователей ПП Заказчика правильному порядку работы в </w:t>
      </w:r>
      <w:r>
        <w:rPr>
          <w:sz w:val="22"/>
          <w:szCs w:val="24"/>
        </w:rPr>
        <w:t xml:space="preserve">ПП,</w:t>
      </w:r>
      <w:r>
        <w:rPr>
          <w:sz w:val="22"/>
        </w:rPr>
      </w:r>
    </w:p>
    <w:p>
      <w:pPr>
        <w:pStyle w:val="661"/>
        <w:widowControl w:val="off"/>
        <w:numPr>
          <w:numId w:val="7"/>
          <w:ilvl w:val="0"/>
        </w:numPr>
        <w:tabs>
          <w:tab w:val="left" w:pos="284" w:leader="none"/>
          <w:tab w:val="clear" w:pos="709" w:leader="none"/>
        </w:tabs>
        <w:ind w:left="284" w:firstLine="0"/>
        <w:jc w:val="both"/>
        <w:rPr>
          <w:sz w:val="22"/>
        </w:rPr>
      </w:pPr>
      <w:r>
        <w:rPr>
          <w:sz w:val="22"/>
        </w:rPr>
        <w:t xml:space="preserve">Поиск и устранение ошибок ведения учёта в ПП,</w:t>
      </w:r>
      <w:r>
        <w:rPr>
          <w:sz w:val="22"/>
        </w:rPr>
      </w:r>
    </w:p>
    <w:p>
      <w:pPr>
        <w:pStyle w:val="661"/>
        <w:widowControl w:val="off"/>
        <w:numPr>
          <w:numId w:val="7"/>
          <w:ilvl w:val="0"/>
        </w:numPr>
        <w:tabs>
          <w:tab w:val="left" w:pos="284" w:leader="none"/>
          <w:tab w:val="clear" w:pos="709" w:leader="none"/>
        </w:tabs>
        <w:ind w:left="284" w:firstLine="0"/>
        <w:jc w:val="both"/>
        <w:rPr>
          <w:sz w:val="22"/>
        </w:rPr>
      </w:pPr>
      <w:r>
        <w:rPr>
          <w:sz w:val="22"/>
        </w:rPr>
        <w:t xml:space="preserve">Настройка типового функционала ПП под специфику ведения учета в учреждении,</w:t>
      </w:r>
      <w:r>
        <w:rPr>
          <w:sz w:val="22"/>
        </w:rPr>
      </w:r>
    </w:p>
    <w:p>
      <w:pPr>
        <w:pStyle w:val="661"/>
        <w:widowControl w:val="off"/>
        <w:numPr>
          <w:numId w:val="7"/>
          <w:ilvl w:val="0"/>
        </w:numPr>
        <w:tabs>
          <w:tab w:val="left" w:pos="284" w:leader="none"/>
          <w:tab w:val="clear" w:pos="709" w:leader="none"/>
        </w:tabs>
        <w:ind w:left="284" w:firstLine="0"/>
        <w:jc w:val="both"/>
        <w:rPr>
          <w:sz w:val="22"/>
        </w:rPr>
      </w:pPr>
      <w:r>
        <w:rPr>
          <w:sz w:val="22"/>
        </w:rPr>
        <w:t xml:space="preserve">Обновления ПП, предоставляемые разработчиком – фирмой «1С» (в тех случаях, когда они выпущены разработчиком),</w:t>
      </w:r>
      <w:r>
        <w:rPr>
          <w:sz w:val="22"/>
        </w:rPr>
      </w:r>
    </w:p>
    <w:p>
      <w:pPr>
        <w:pStyle w:val="661"/>
        <w:widowControl w:val="off"/>
        <w:numPr>
          <w:numId w:val="7"/>
          <w:ilvl w:val="0"/>
        </w:numPr>
        <w:tabs>
          <w:tab w:val="left" w:pos="284" w:leader="none"/>
          <w:tab w:val="clear" w:pos="709" w:leader="none"/>
        </w:tabs>
        <w:ind w:left="284" w:firstLine="0"/>
        <w:jc w:val="both"/>
        <w:rPr>
          <w:sz w:val="22"/>
        </w:rPr>
      </w:pPr>
      <w:r>
        <w:rPr>
          <w:sz w:val="22"/>
        </w:rPr>
        <w:t xml:space="preserve">Доработка уже существующего типового функционала ПП.</w:t>
      </w:r>
      <w:r>
        <w:rPr>
          <w:sz w:val="22"/>
        </w:rPr>
      </w:r>
    </w:p>
    <w:p>
      <w:pPr>
        <w:pStyle w:val="661"/>
        <w:widowControl w:val="off"/>
        <w:tabs>
          <w:tab w:val="left" w:pos="284" w:leader="none"/>
          <w:tab w:val="clear" w:pos="709" w:leader="none"/>
        </w:tabs>
        <w:ind w:left="284" w:firstLine="0"/>
        <w:jc w:val="both"/>
        <w:rPr>
          <w:sz w:val="22"/>
        </w:rPr>
      </w:pPr>
      <w:r>
        <w:rPr>
          <w:sz w:val="22"/>
          <w:u w:val="single"/>
        </w:rPr>
        <w:t xml:space="preserve">При этом в случае, если задача Заказчика решается консультированием путем использования типовых средств ПП, то Исполнитель оставляет за собой право не производить доработку информационной базы ПП по требованию специалиста Заказчика</w:t>
      </w:r>
      <w:r>
        <w:rPr>
          <w:sz w:val="22"/>
        </w:rPr>
        <w:t xml:space="preserve">.</w:t>
      </w:r>
      <w:r>
        <w:rPr>
          <w:sz w:val="22"/>
        </w:rPr>
      </w:r>
    </w:p>
    <w:p>
      <w:pPr>
        <w:pStyle w:val="661"/>
        <w:ind w:left="284" w:firstLine="0"/>
        <w:rPr>
          <w:sz w:val="22"/>
        </w:rPr>
      </w:pPr>
      <w:r>
        <w:rPr>
          <w:sz w:val="22"/>
        </w:rPr>
        <w:t xml:space="preserve">Если Исполнитель не может решить задачу Заказчика консультированием, то дорабатывает существующие типовые механизмы ПП, указанного(-ых) в п. 1.1. При отсутствии необходимого для доработки типового функционала в ПП, </w:t>
      </w:r>
      <w:r>
        <w:rPr>
          <w:sz w:val="22"/>
          <w:szCs w:val="24"/>
        </w:rPr>
        <w:t xml:space="preserve">указанного(-ых) в п. 1.1,  </w:t>
      </w:r>
      <w:r>
        <w:rPr>
          <w:sz w:val="22"/>
        </w:rPr>
        <w:t xml:space="preserve">заключается отдельный Контракт с техническим заданием по задаче.</w:t>
      </w:r>
      <w:r>
        <w:rPr>
          <w:sz w:val="22"/>
        </w:rPr>
      </w:r>
    </w:p>
    <w:p>
      <w:pPr>
        <w:pStyle w:val="661"/>
        <w:widowControl w:val="off"/>
        <w:numPr>
          <w:numId w:val="9"/>
          <w:ilvl w:val="1"/>
        </w:numPr>
        <w:ind w:left="0" w:firstLine="0"/>
        <w:jc w:val="both"/>
        <w:rPr>
          <w:sz w:val="22"/>
        </w:rPr>
      </w:pPr>
      <w:r>
        <w:rPr>
          <w:sz w:val="22"/>
          <w:szCs w:val="24"/>
        </w:rPr>
        <w:t xml:space="preserve">Заявки на любые другие виды услуг Исполнителем не принимаются и выполнению по данному Договор</w:t>
      </w:r>
      <w:r>
        <w:rPr>
          <w:sz w:val="22"/>
        </w:rPr>
        <w:t xml:space="preserve">у</w:t>
      </w:r>
      <w:r>
        <w:rPr>
          <w:sz w:val="22"/>
          <w:szCs w:val="24"/>
        </w:rPr>
        <w:t xml:space="preserve"> не подлежат</w:t>
      </w:r>
      <w:r>
        <w:rPr>
          <w:sz w:val="22"/>
        </w:rPr>
        <w:t xml:space="preserve">. Услуги, которые не включены в список видов услуг по </w:t>
      </w:r>
      <w:r>
        <w:rPr>
          <w:sz w:val="22"/>
          <w:szCs w:val="24"/>
        </w:rPr>
        <w:t xml:space="preserve">Договор</w:t>
      </w:r>
      <w:r>
        <w:rPr>
          <w:sz w:val="22"/>
        </w:rPr>
        <w:t xml:space="preserve">у, могут быть выполнены на основании отдельных договоренностей с Исполнителем при заключении отдельного Контракта(с составлением Технического задания):</w:t>
      </w:r>
      <w:r>
        <w:rPr>
          <w:sz w:val="22"/>
        </w:rPr>
      </w:r>
    </w:p>
    <w:p>
      <w:pPr>
        <w:pStyle w:val="661"/>
        <w:widowControl w:val="off"/>
        <w:numPr>
          <w:numId w:val="10"/>
          <w:ilvl w:val="0"/>
        </w:numPr>
        <w:ind w:left="709" w:hanging="360"/>
        <w:jc w:val="both"/>
        <w:rPr>
          <w:sz w:val="22"/>
        </w:rPr>
      </w:pPr>
      <w:r>
        <w:rPr>
          <w:sz w:val="22"/>
        </w:rPr>
        <w:t xml:space="preserve">Внедрение программы «1С» или переход на новую редакцию,</w:t>
      </w:r>
      <w:r>
        <w:rPr>
          <w:sz w:val="22"/>
        </w:rPr>
      </w:r>
    </w:p>
    <w:p>
      <w:pPr>
        <w:pStyle w:val="661"/>
        <w:widowControl w:val="off"/>
        <w:numPr>
          <w:numId w:val="10"/>
          <w:ilvl w:val="0"/>
        </w:numPr>
        <w:ind w:left="709" w:hanging="360"/>
        <w:jc w:val="both"/>
        <w:rPr>
          <w:sz w:val="22"/>
        </w:rPr>
      </w:pPr>
      <w:r>
        <w:rPr>
          <w:sz w:val="22"/>
        </w:rPr>
        <w:t xml:space="preserve">Выполнение должностных обязанностей специалиста бухгалтерской службы Заказчика (внесение первичной документации в базу),</w:t>
      </w:r>
      <w:r>
        <w:rPr>
          <w:sz w:val="22"/>
        </w:rPr>
      </w:r>
    </w:p>
    <w:p>
      <w:pPr>
        <w:pStyle w:val="661"/>
        <w:widowControl w:val="off"/>
        <w:numPr>
          <w:numId w:val="10"/>
          <w:ilvl w:val="0"/>
        </w:numPr>
        <w:ind w:left="709" w:hanging="360"/>
        <w:jc w:val="both"/>
        <w:rPr>
          <w:sz w:val="22"/>
        </w:rPr>
      </w:pPr>
      <w:r>
        <w:rPr>
          <w:sz w:val="22"/>
        </w:rPr>
        <w:t xml:space="preserve">Разработка нового блока учета в ПП, не предусмотренного типовым функционалом ПП,</w:t>
      </w:r>
      <w:r>
        <w:rPr>
          <w:sz w:val="22"/>
        </w:rPr>
      </w:r>
    </w:p>
    <w:p>
      <w:pPr>
        <w:pStyle w:val="661"/>
        <w:widowControl w:val="off"/>
        <w:numPr>
          <w:numId w:val="10"/>
          <w:ilvl w:val="0"/>
        </w:numPr>
        <w:ind w:left="709" w:hanging="360"/>
        <w:jc w:val="both"/>
        <w:rPr>
          <w:sz w:val="22"/>
        </w:rPr>
      </w:pPr>
      <w:r>
        <w:rPr>
          <w:sz w:val="22"/>
        </w:rPr>
        <w:t xml:space="preserve">Доработка механизмов автоматического заполнения форм регламентированной отчетности (бухгалтерские, налоговые, статистические формы),</w:t>
      </w:r>
      <w:r>
        <w:rPr>
          <w:sz w:val="22"/>
        </w:rPr>
      </w:r>
    </w:p>
    <w:p>
      <w:pPr>
        <w:pStyle w:val="661"/>
        <w:widowControl w:val="off"/>
        <w:numPr>
          <w:numId w:val="10"/>
          <w:ilvl w:val="0"/>
        </w:numPr>
        <w:ind w:left="709" w:hanging="360"/>
        <w:jc w:val="both"/>
        <w:rPr>
          <w:sz w:val="22"/>
        </w:rPr>
      </w:pPr>
      <w:r>
        <w:rPr>
          <w:sz w:val="22"/>
        </w:rPr>
        <w:t xml:space="preserve">Объединение и разделение баз, переносы данных из одной базы в другую,</w:t>
      </w:r>
      <w:r>
        <w:rPr>
          <w:sz w:val="22"/>
        </w:rPr>
      </w:r>
    </w:p>
    <w:p>
      <w:pPr>
        <w:pStyle w:val="661"/>
        <w:widowControl w:val="off"/>
        <w:numPr>
          <w:numId w:val="10"/>
          <w:ilvl w:val="0"/>
        </w:numPr>
        <w:ind w:left="709" w:hanging="360"/>
        <w:jc w:val="both"/>
        <w:rPr>
          <w:sz w:val="22"/>
        </w:rPr>
      </w:pPr>
      <w:r>
        <w:rPr>
          <w:sz w:val="22"/>
        </w:rPr>
        <w:t xml:space="preserve">Чистка информационной базы,</w:t>
      </w:r>
      <w:r>
        <w:rPr>
          <w:sz w:val="22"/>
        </w:rPr>
      </w:r>
    </w:p>
    <w:p>
      <w:pPr>
        <w:pStyle w:val="661"/>
        <w:widowControl w:val="off"/>
        <w:numPr>
          <w:numId w:val="10"/>
          <w:ilvl w:val="0"/>
        </w:numPr>
        <w:ind w:left="709" w:hanging="360"/>
        <w:jc w:val="both"/>
        <w:rPr>
          <w:sz w:val="22"/>
        </w:rPr>
      </w:pPr>
      <w:r>
        <w:rPr>
          <w:sz w:val="22"/>
        </w:rPr>
        <w:t xml:space="preserve">Выезды и командировки на территорию Заказчика.</w:t>
      </w:r>
      <w:r>
        <w:rPr>
          <w:sz w:val="22"/>
        </w:rPr>
      </w:r>
    </w:p>
    <w:p>
      <w:pPr>
        <w:pStyle w:val="661"/>
        <w:widowControl w:val="off"/>
        <w:numPr>
          <w:numId w:val="9"/>
          <w:ilvl w:val="1"/>
        </w:numPr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Экспертное решение руководителя отдела сопровождения Исполнителя является определяющим при отнесении задачи Заказчика к определенному виду услуг.</w:t>
      </w:r>
      <w:r>
        <w:rPr>
          <w:sz w:val="22"/>
          <w:szCs w:val="24"/>
        </w:rPr>
      </w:r>
    </w:p>
    <w:p>
      <w:pPr>
        <w:pStyle w:val="661"/>
        <w:widowControl w:val="off"/>
        <w:numPr>
          <w:numId w:val="9"/>
          <w:ilvl w:val="1"/>
        </w:numPr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Исполнитель не несет ответственности за ошибки ПП, допущенные разработчиком – фирмой «1С». Во избежание проблем функционирования ПП такие ошибки исправляются только обновлениями, если таковые предоставил разработчик.</w:t>
      </w:r>
      <w:r>
        <w:rPr>
          <w:sz w:val="22"/>
          <w:szCs w:val="24"/>
        </w:rPr>
      </w:r>
    </w:p>
    <w:p>
      <w:pPr>
        <w:pStyle w:val="661"/>
        <w:widowControl w:val="off"/>
        <w:numPr>
          <w:numId w:val="9"/>
          <w:ilvl w:val="1"/>
        </w:numPr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Исполнитель обязуется оказывать услуги по выполнению заявок Заказчика в оговоренные после оценки заявок сроки </w:t>
      </w:r>
      <w:r>
        <w:rPr>
          <w:sz w:val="22"/>
          <w:szCs w:val="24"/>
          <w:u w:val="single"/>
        </w:rPr>
        <w:t xml:space="preserve">при наличии подписанного Договора на тот месяц, в который приходится сдача задачи Заказчику</w:t>
      </w:r>
      <w:r>
        <w:rPr>
          <w:sz w:val="22"/>
          <w:szCs w:val="24"/>
        </w:rPr>
        <w:t xml:space="preserve">.</w:t>
      </w:r>
      <w:r>
        <w:rPr>
          <w:sz w:val="22"/>
          <w:szCs w:val="24"/>
        </w:rPr>
      </w:r>
    </w:p>
    <w:p>
      <w:pPr>
        <w:pStyle w:val="661"/>
        <w:tabs>
          <w:tab w:val="clear" w:pos="709" w:leader="none"/>
          <w:tab w:val="left" w:pos="1080" w:leader="none"/>
        </w:tabs>
        <w:spacing w:before="120" w:after="120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5. ОТВЕТСТВЕННОСТЬ СТОРОН</w:t>
      </w:r>
      <w:r>
        <w:rPr>
          <w:b/>
          <w:sz w:val="28"/>
          <w:szCs w:val="24"/>
        </w:rPr>
      </w:r>
    </w:p>
    <w:p>
      <w:pPr>
        <w:pStyle w:val="709"/>
        <w:jc w:val="both"/>
        <w:rPr>
          <w:rFonts w:ascii="Times New Roman" w:hAnsi="Times New Roman"/>
          <w:color w:val="000000" w:themeColor="text1"/>
          <w:highlight w:val="white"/>
        </w:rPr>
      </w:pPr>
      <w:r>
        <w:rPr>
          <w:rFonts w:ascii="Times New Roman" w:hAnsi="Times New Roman"/>
          <w:iCs/>
          <w:color w:val="000000" w:themeColor="text1"/>
          <w:spacing w:val="-4"/>
          <w:highlight w:val="white"/>
          <w:lang w:eastAsia="ar-SA"/>
        </w:rPr>
        <w:t xml:space="preserve">5.1. </w:t>
      </w:r>
      <w:r>
        <w:rPr>
          <w:rFonts w:ascii="Times New Roman" w:hAnsi="Times New Roman"/>
          <w:color w:val="000000" w:themeColor="text1"/>
          <w:highlight w:val="white"/>
        </w:rPr>
        <w:t xml:space="preserve">Заказчик и Исполнитель несут ответственность за неисполнение или ненадлежащее исполнение своих обязательств по настоящему Договору в соответствии с Законодательством Российской Федерации </w:t>
      </w:r>
      <w:r>
        <w:rPr>
          <w:rFonts w:ascii="Times New Roman" w:hAnsi="Times New Roman"/>
          <w:color w:val="000000" w:themeColor="text1"/>
          <w:highlight w:val="white"/>
          <w:shd w:val="clear" w:color="auto" w:fill="ea7500"/>
        </w:rPr>
        <w:t xml:space="preserve">и условиями настоящего договора</w:t>
      </w:r>
      <w:r>
        <w:rPr>
          <w:rFonts w:ascii="Times New Roman" w:hAnsi="Times New Roman"/>
          <w:color w:val="000000" w:themeColor="text1"/>
          <w:highlight w:val="white"/>
          <w:shd w:val="clear" w:color="auto" w:fill="ea7500"/>
        </w:rPr>
        <w:t xml:space="preserve">.</w:t>
      </w:r>
      <w:r>
        <w:rPr>
          <w:rFonts w:ascii="Times New Roman" w:hAnsi="Times New Roman"/>
          <w:color w:val="000000" w:themeColor="text1"/>
          <w:highlight w:val="white"/>
        </w:rPr>
      </w:r>
    </w:p>
    <w:p>
      <w:pPr>
        <w:pStyle w:val="709"/>
        <w:jc w:val="both"/>
        <w:rPr>
          <w:rFonts w:ascii="Times New Roman" w:hAnsi="Times New Roman"/>
          <w:bCs/>
          <w:color w:val="000000" w:themeColor="text1"/>
          <w:highlight w:val="white"/>
        </w:rPr>
      </w:pPr>
      <w:r>
        <w:rPr>
          <w:rFonts w:ascii="Times New Roman" w:hAnsi="Times New Roman"/>
          <w:bCs/>
          <w:color w:val="000000" w:themeColor="text1"/>
          <w:highlight w:val="white"/>
        </w:rPr>
        <w:t xml:space="preserve">5.2. Стороны освобождаются от ответственности за частичное или по</w:t>
      </w:r>
      <w:r>
        <w:rPr>
          <w:rFonts w:ascii="Times New Roman" w:hAnsi="Times New Roman"/>
          <w:bCs/>
          <w:color w:val="000000" w:themeColor="text1"/>
          <w:highlight w:val="white"/>
        </w:rPr>
        <w:t xml:space="preserve">лное неисполнение своих обязательств по Договору, если оно явилось следствием действия обстоятельств непреодолимой силы, возникших после заключения Договора в результате событий чрезвычайного характера, которые стороны не могли предотвратить разумными мера</w:t>
      </w:r>
      <w:r>
        <w:rPr>
          <w:rFonts w:ascii="Times New Roman" w:hAnsi="Times New Roman"/>
          <w:bCs/>
          <w:color w:val="000000" w:themeColor="text1"/>
          <w:highlight w:val="white"/>
        </w:rPr>
        <w:t xml:space="preserve">ми. К обстоятельствам непреодолимой силы относятся события, на которые Стороны не могут оказать влияния. Таковыми являются: землетрясения, пожары, наводнения, забастовки, влияющие на исполнения обстоятельств по Договору, другие чрезвычайные обстоятельства.</w:t>
      </w:r>
      <w:r>
        <w:rPr>
          <w:rFonts w:ascii="Times New Roman" w:hAnsi="Times New Roman"/>
          <w:bCs/>
          <w:color w:val="000000" w:themeColor="text1"/>
          <w:highlight w:val="white"/>
        </w:rPr>
      </w:r>
    </w:p>
    <w:p>
      <w:pPr>
        <w:pStyle w:val="709"/>
        <w:jc w:val="both"/>
        <w:rPr>
          <w:rFonts w:ascii="Times New Roman" w:hAnsi="Times New Roman"/>
          <w:bCs/>
          <w:color w:val="000000" w:themeColor="text1"/>
          <w:highlight w:val="white"/>
        </w:rPr>
      </w:pPr>
      <w:r>
        <w:rPr>
          <w:rFonts w:ascii="Times New Roman" w:hAnsi="Times New Roman"/>
          <w:bCs/>
          <w:color w:val="000000" w:themeColor="text1"/>
          <w:highlight w:val="white"/>
        </w:rPr>
        <w:t xml:space="preserve">5.3. В случае наступления обстоятельств, указанных в пункте 5.2. Договора, Сторона, которая не в состоянии исполнить взятые на</w:t>
      </w:r>
      <w:r>
        <w:rPr>
          <w:rFonts w:ascii="Times New Roman" w:hAnsi="Times New Roman"/>
          <w:bCs/>
          <w:color w:val="000000" w:themeColor="text1"/>
          <w:highlight w:val="white"/>
        </w:rPr>
        <w:t xml:space="preserve"> себя обязательства, должна в пятидневный срок с момента их наступления сообщить об этом другой Стороне в письменной форме. С момента наступления форс-мажорных обстоятельств действие Договора приостанавливается до момента, определяемого соглашением Сторон.</w:t>
      </w:r>
      <w:r>
        <w:rPr>
          <w:rFonts w:ascii="Times New Roman" w:hAnsi="Times New Roman"/>
          <w:bCs/>
          <w:color w:val="000000" w:themeColor="text1"/>
          <w:highlight w:val="white"/>
        </w:rPr>
      </w:r>
    </w:p>
    <w:p>
      <w:pPr>
        <w:pStyle w:val="709"/>
        <w:jc w:val="both"/>
        <w:rPr>
          <w:rFonts w:ascii="Times New Roman" w:hAnsi="Times New Roman"/>
          <w:color w:val="000000" w:themeColor="text1"/>
          <w:highlight w:val="white"/>
        </w:rPr>
      </w:pPr>
      <w:r>
        <w:rPr>
          <w:rFonts w:ascii="Times New Roman" w:hAnsi="Times New Roman"/>
          <w:color w:val="000000" w:themeColor="text1"/>
          <w:highlight w:val="white"/>
        </w:rPr>
        <w:t xml:space="preserve">5.4. При невыполнении или ненадлежащем выполнении Сторонами обязательств по Договору Стороны несут ответственность в следующих случаях и объемах:</w:t>
      </w:r>
      <w:r>
        <w:rPr>
          <w:rFonts w:ascii="Times New Roman" w:hAnsi="Times New Roman"/>
          <w:color w:val="000000" w:themeColor="text1"/>
          <w:highlight w:val="white"/>
        </w:rPr>
      </w:r>
    </w:p>
    <w:p>
      <w:pPr>
        <w:pStyle w:val="709"/>
        <w:jc w:val="both"/>
        <w:rPr>
          <w:rFonts w:ascii="Times New Roman" w:hAnsi="Times New Roman"/>
          <w:color w:val="000000" w:themeColor="text1"/>
          <w:highlight w:val="white"/>
        </w:rPr>
      </w:pPr>
      <w:r>
        <w:rPr>
          <w:rFonts w:ascii="Times New Roman" w:hAnsi="Times New Roman"/>
          <w:color w:val="000000" w:themeColor="text1"/>
          <w:highlight w:val="white"/>
        </w:rPr>
        <w:t xml:space="preserve">5.4.1. В случае просрочки исполнения </w:t>
      </w:r>
      <w:r>
        <w:rPr>
          <w:rFonts w:ascii="Times New Roman" w:hAnsi="Times New Roman"/>
          <w:b/>
          <w:color w:val="000000" w:themeColor="text1"/>
          <w:highlight w:val="white"/>
        </w:rPr>
        <w:t xml:space="preserve">Заказчиком</w:t>
      </w:r>
      <w:r>
        <w:rPr>
          <w:rFonts w:ascii="Times New Roman" w:hAnsi="Times New Roman"/>
          <w:color w:val="000000" w:themeColor="text1"/>
          <w:highlight w:val="white"/>
        </w:rPr>
        <w:t xml:space="preserve"> обязательств, предусмотренных Договором, Исполнитель вправе потребовать уплаты пеней. Пеня начисляется за каждый день просрочки исполнения обязательства, предусмотренного Договором, начиная со</w:t>
      </w:r>
      <w:r>
        <w:rPr>
          <w:rFonts w:ascii="Times New Roman" w:hAnsi="Times New Roman"/>
          <w:color w:val="000000" w:themeColor="text1"/>
          <w:highlight w:val="white"/>
        </w:rPr>
        <w:t xml:space="preserve">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>
        <w:rPr>
          <w:rFonts w:ascii="Times New Roman" w:hAnsi="Times New Roman"/>
          <w:color w:val="000000" w:themeColor="text1"/>
          <w:highlight w:val="white"/>
        </w:rPr>
      </w:r>
    </w:p>
    <w:p>
      <w:pPr>
        <w:pStyle w:val="740"/>
        <w:spacing w:before="0" w:after="0"/>
        <w:jc w:val="both"/>
        <w:rPr>
          <w:bCs/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5.4.2. За каждый факт неисполнения </w:t>
      </w:r>
      <w:r>
        <w:rPr>
          <w:b/>
          <w:color w:val="000000" w:themeColor="text1"/>
          <w:sz w:val="22"/>
          <w:szCs w:val="22"/>
          <w:highlight w:val="white"/>
        </w:rPr>
        <w:t xml:space="preserve">Заказчиком</w:t>
      </w:r>
      <w:r>
        <w:rPr>
          <w:color w:val="000000" w:themeColor="text1"/>
          <w:sz w:val="22"/>
          <w:szCs w:val="22"/>
          <w:highlight w:val="white"/>
        </w:rPr>
        <w:t xml:space="preserve"> обязательств, предусмотренных Договором, за исключением просрочки исполнения обязательств, предусмотренных Договором, Исполнитель вправе требовать уплату штрафа. Размер штрафа устанавливается в соответствии с </w:t>
      </w:r>
      <w:r>
        <w:rPr>
          <w:rFonts w:eastAsia="Calibri"/>
          <w:color w:val="000000" w:themeColor="text1"/>
          <w:sz w:val="22"/>
          <w:szCs w:val="22"/>
          <w:highlight w:val="white"/>
        </w:rPr>
        <w:t xml:space="preserve">Правилами</w:t>
      </w:r>
      <w:r>
        <w:rPr>
          <w:color w:val="000000" w:themeColor="text1"/>
          <w:sz w:val="22"/>
          <w:szCs w:val="22"/>
          <w:highlight w:val="white"/>
        </w:rPr>
        <w:t xml:space="preserve"> определения размера штрафа, начисляемого в случае ненадлежащего исполнения поставщиком (подрядчиком, исполнителем) обязатель</w:t>
      </w:r>
      <w:r>
        <w:rPr>
          <w:color w:val="000000" w:themeColor="text1"/>
          <w:sz w:val="22"/>
          <w:szCs w:val="22"/>
          <w:highlight w:val="white"/>
        </w:rPr>
        <w:t xml:space="preserve">ств, предусмотренных контрактом (за исключением просрочки исполнения обязательств заказчиком, поставщиком (подрядчиком, исполнителем), утвержденных постановлением Правительства РФ от 30.08.2017г. № 1042, и составляет 1000,00 (Одна тысяча) рублей 00 копеек.</w:t>
      </w:r>
      <w:r>
        <w:rPr>
          <w:bCs/>
          <w:color w:val="000000" w:themeColor="text1"/>
          <w:sz w:val="22"/>
          <w:szCs w:val="22"/>
          <w:highlight w:val="white"/>
        </w:rPr>
      </w:r>
    </w:p>
    <w:p>
      <w:pPr>
        <w:pStyle w:val="709"/>
        <w:jc w:val="both"/>
        <w:rPr>
          <w:rFonts w:ascii="Times New Roman" w:hAnsi="Times New Roman"/>
          <w:color w:val="000000" w:themeColor="text1"/>
          <w:highlight w:val="white"/>
        </w:rPr>
      </w:pPr>
      <w:r>
        <w:rPr>
          <w:rFonts w:ascii="Times New Roman" w:hAnsi="Times New Roman"/>
          <w:color w:val="000000" w:themeColor="text1"/>
          <w:highlight w:val="white"/>
        </w:rPr>
        <w:t xml:space="preserve">5.4.3. В случае просрочки исполнения Исполнителем</w:t>
      </w:r>
      <w:r>
        <w:rPr>
          <w:rFonts w:ascii="Times New Roman" w:hAnsi="Times New Roman"/>
          <w:b/>
          <w:color w:val="000000" w:themeColor="text1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highlight w:val="white"/>
        </w:rPr>
        <w:t xml:space="preserve">обязате</w:t>
      </w:r>
      <w:r>
        <w:rPr>
          <w:rFonts w:ascii="Times New Roman" w:hAnsi="Times New Roman"/>
          <w:color w:val="000000" w:themeColor="text1"/>
          <w:highlight w:val="white"/>
        </w:rPr>
        <w:t xml:space="preserve">льств (в том числе гарантийного обязательства), предусмотренных Договором, а также в иных случаях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  <w:r>
        <w:rPr>
          <w:rFonts w:ascii="Times New Roman" w:hAnsi="Times New Roman"/>
          <w:color w:val="000000" w:themeColor="text1"/>
          <w:highlight w:val="white"/>
        </w:rPr>
      </w:r>
    </w:p>
    <w:p>
      <w:pPr>
        <w:pStyle w:val="709"/>
        <w:jc w:val="both"/>
        <w:rPr>
          <w:rFonts w:ascii="Times New Roman" w:hAnsi="Times New Roman"/>
          <w:color w:val="000000" w:themeColor="text1"/>
          <w:highlight w:val="white"/>
        </w:rPr>
      </w:pPr>
      <w:r>
        <w:rPr>
          <w:rFonts w:ascii="Times New Roman" w:hAnsi="Times New Roman"/>
          <w:color w:val="000000" w:themeColor="text1"/>
          <w:highlight w:val="white"/>
        </w:rPr>
        <w:t xml:space="preserve">5.4.3.1. За каждый день просрочки исполнения Исполнителем</w:t>
      </w:r>
      <w:r>
        <w:rPr>
          <w:rFonts w:ascii="Times New Roman" w:hAnsi="Times New Roman"/>
          <w:b/>
          <w:color w:val="000000" w:themeColor="text1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highlight w:val="white"/>
        </w:rPr>
        <w:t xml:space="preserve">обязательства, предусмотренного Договором, начиная со дня, следующего после дня истечения установленного Договором срока исполнения обязательства, начисляется пеня, </w:t>
      </w:r>
      <w:r>
        <w:rPr>
          <w:rFonts w:ascii="Times New Roman" w:hAnsi="Times New Roman"/>
          <w:color w:val="000000" w:themeColor="text1"/>
          <w:highlight w:val="white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  <w:r>
        <w:rPr>
          <w:rFonts w:ascii="Times New Roman" w:hAnsi="Times New Roman"/>
          <w:color w:val="000000" w:themeColor="text1"/>
          <w:highlight w:val="white"/>
        </w:rPr>
      </w:r>
    </w:p>
    <w:p>
      <w:pPr>
        <w:pStyle w:val="709"/>
        <w:jc w:val="both"/>
        <w:rPr>
          <w:rFonts w:ascii="Times New Roman" w:hAnsi="Times New Roman"/>
          <w:color w:val="000000" w:themeColor="text1"/>
          <w:highlight w:val="white"/>
        </w:rPr>
      </w:pPr>
      <w:r>
        <w:rPr>
          <w:rFonts w:ascii="Times New Roman" w:hAnsi="Times New Roman"/>
          <w:color w:val="000000" w:themeColor="text1"/>
          <w:highlight w:val="white"/>
        </w:rPr>
        <w:t xml:space="preserve">5.4.3.2. За каждый факт неисполнения или ненадлежащего исполнения Исполнителем обязательств, предусмотренных Договором, за исключением просрочк</w:t>
      </w:r>
      <w:r>
        <w:rPr>
          <w:rFonts w:ascii="Times New Roman" w:hAnsi="Times New Roman"/>
          <w:color w:val="000000" w:themeColor="text1"/>
          <w:highlight w:val="white"/>
        </w:rPr>
        <w:t xml:space="preserve">и исполнения обязательств (в том числе гарантийного обязательства), предусмотренных Договором начисляются штрафы. Размер штрафа устанавливается в соответствии с Правилами определения размера штрафа, начисляемого в случае ненадлежащего исполнения поставщико</w:t>
      </w:r>
      <w:r>
        <w:rPr>
          <w:rFonts w:ascii="Times New Roman" w:hAnsi="Times New Roman"/>
          <w:color w:val="000000" w:themeColor="text1"/>
          <w:highlight w:val="white"/>
        </w:rPr>
        <w:t xml:space="preserve">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утвержденных постановлением Правительства РФ от 30.08.2017г. № 1042, а именно: 10 </w:t>
      </w:r>
      <w:r>
        <w:rPr>
          <w:rFonts w:ascii="Times New Roman" w:hAnsi="Times New Roman"/>
          <w:bCs/>
          <w:color w:val="000000" w:themeColor="text1"/>
          <w:highlight w:val="white"/>
        </w:rPr>
        <w:t xml:space="preserve">(десять) процентов цены Договора. </w:t>
      </w:r>
      <w:r>
        <w:rPr>
          <w:rFonts w:ascii="Times New Roman" w:hAnsi="Times New Roman"/>
          <w:color w:val="000000" w:themeColor="text1"/>
          <w:highlight w:val="white"/>
        </w:rPr>
      </w:r>
    </w:p>
    <w:p>
      <w:pPr>
        <w:pStyle w:val="709"/>
        <w:jc w:val="both"/>
        <w:rPr>
          <w:rFonts w:ascii="Times New Roman" w:hAnsi="Times New Roman"/>
          <w:color w:val="000000" w:themeColor="text1"/>
          <w:highlight w:val="white"/>
        </w:rPr>
      </w:pPr>
      <w:r>
        <w:rPr>
          <w:rFonts w:ascii="Times New Roman" w:hAnsi="Times New Roman"/>
          <w:color w:val="000000" w:themeColor="text1"/>
          <w:highlight w:val="white"/>
        </w:rPr>
        <w:t xml:space="preserve">За каждый факт неисполнения или ненадлежащего исполнения Исполнителем</w:t>
      </w:r>
      <w:r>
        <w:rPr>
          <w:rFonts w:ascii="Times New Roman" w:hAnsi="Times New Roman"/>
          <w:b/>
          <w:color w:val="000000" w:themeColor="text1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highlight w:val="white"/>
        </w:rPr>
        <w:t xml:space="preserve">обязательства, предусмотренного </w:t>
      </w:r>
      <w:r>
        <w:rPr>
          <w:rFonts w:ascii="Times New Roman" w:hAnsi="Times New Roman"/>
          <w:color w:val="000000" w:themeColor="text1"/>
          <w:highlight w:val="white"/>
        </w:rPr>
        <w:t xml:space="preserve">Договором, которое не имеет стоимостного выражения, начисляются штрафы. Размер штрафа устанавливается (при наличии в Договоре таких обязательств) в соответствии Правилами определения размера штрафа, начисляемого в случае ненадлежащего исполнения поставщико</w:t>
      </w:r>
      <w:r>
        <w:rPr>
          <w:rFonts w:ascii="Times New Roman" w:hAnsi="Times New Roman"/>
          <w:color w:val="000000" w:themeColor="text1"/>
          <w:highlight w:val="white"/>
        </w:rPr>
        <w:t xml:space="preserve">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утвержденных постановлением Правительства РФ от 30.08.2017г. № 1042, и составляет: </w:t>
      </w:r>
      <w:r>
        <w:rPr>
          <w:rFonts w:ascii="Times New Roman" w:hAnsi="Times New Roman"/>
          <w:color w:val="000000" w:themeColor="text1"/>
          <w:highlight w:val="white"/>
        </w:rPr>
      </w:r>
    </w:p>
    <w:p>
      <w:pPr>
        <w:pStyle w:val="740"/>
        <w:spacing w:before="0" w:after="0"/>
        <w:jc w:val="both"/>
        <w:rPr>
          <w:bCs/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1000,00 (Одна тысяча) рублей 00 копеек.</w:t>
      </w:r>
      <w:r>
        <w:rPr>
          <w:bCs/>
          <w:color w:val="000000" w:themeColor="text1"/>
          <w:sz w:val="22"/>
          <w:szCs w:val="22"/>
          <w:highlight w:val="white"/>
        </w:rPr>
      </w:r>
    </w:p>
    <w:p>
      <w:pPr>
        <w:pStyle w:val="709"/>
        <w:jc w:val="both"/>
        <w:rPr>
          <w:rFonts w:ascii="Times New Roman" w:hAnsi="Times New Roman"/>
          <w:color w:val="000000" w:themeColor="text1"/>
          <w:highlight w:val="white"/>
        </w:rPr>
      </w:pPr>
      <w:r>
        <w:rPr>
          <w:rFonts w:ascii="Times New Roman" w:hAnsi="Times New Roman"/>
          <w:color w:val="000000" w:themeColor="text1"/>
          <w:highlight w:val="white"/>
        </w:rPr>
        <w:t xml:space="preserve">5.4.4 Общая сумма начисленной неустойки (штрафов, пени) за неисполнение или ненадлежащее исполнение Исполнителем</w:t>
      </w:r>
      <w:r>
        <w:rPr>
          <w:rFonts w:ascii="Times New Roman" w:hAnsi="Times New Roman"/>
          <w:b/>
          <w:color w:val="000000" w:themeColor="text1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highlight w:val="white"/>
        </w:rPr>
        <w:t xml:space="preserve">обязательств, предусмотренных контрактом, не может превышать цену Договора.</w:t>
      </w:r>
      <w:r>
        <w:rPr>
          <w:rFonts w:ascii="Times New Roman" w:hAnsi="Times New Roman"/>
          <w:color w:val="000000" w:themeColor="text1"/>
          <w:highlight w:val="white"/>
        </w:rPr>
      </w:r>
    </w:p>
    <w:p>
      <w:pPr>
        <w:pStyle w:val="709"/>
        <w:jc w:val="both"/>
        <w:rPr>
          <w:rFonts w:ascii="Times New Roman" w:hAnsi="Times New Roman"/>
          <w:color w:val="000000" w:themeColor="text1"/>
          <w:highlight w:val="white"/>
        </w:rPr>
      </w:pPr>
      <w:r>
        <w:rPr>
          <w:rFonts w:ascii="Times New Roman" w:hAnsi="Times New Roman"/>
          <w:color w:val="000000" w:themeColor="text1"/>
          <w:highlight w:val="white"/>
        </w:rPr>
        <w:t xml:space="preserve">5.4.5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ascii="Times New Roman" w:hAnsi="Times New Roman"/>
          <w:color w:val="000000" w:themeColor="text1"/>
          <w:highlight w:val="white"/>
        </w:rPr>
      </w:r>
    </w:p>
    <w:p>
      <w:pPr>
        <w:pStyle w:val="709"/>
        <w:jc w:val="both"/>
        <w:rPr>
          <w:rFonts w:ascii="Times New Roman" w:hAnsi="Times New Roman"/>
          <w:color w:val="000000" w:themeColor="text1"/>
          <w:highlight w:val="white"/>
        </w:rPr>
      </w:pPr>
      <w:r>
        <w:rPr>
          <w:rFonts w:ascii="Times New Roman" w:hAnsi="Times New Roman"/>
          <w:color w:val="000000" w:themeColor="text1"/>
          <w:highlight w:val="white"/>
        </w:rPr>
        <w:t xml:space="preserve">5.4.6. Уплата штрафных санкций за нарушение обязательств по Договору производится Исполнителем</w:t>
      </w:r>
      <w:r>
        <w:rPr>
          <w:rFonts w:ascii="Times New Roman" w:hAnsi="Times New Roman"/>
          <w:b/>
          <w:color w:val="000000" w:themeColor="text1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highlight w:val="white"/>
        </w:rPr>
        <w:t xml:space="preserve">на основании претензии Заказчика перечислением денежных средств на лицевой счет Заказчика.</w:t>
      </w:r>
      <w:r>
        <w:rPr>
          <w:rFonts w:ascii="Times New Roman" w:hAnsi="Times New Roman"/>
          <w:color w:val="000000" w:themeColor="text1"/>
          <w:highlight w:val="white"/>
        </w:rPr>
      </w:r>
    </w:p>
    <w:p>
      <w:pPr>
        <w:pStyle w:val="709"/>
        <w:jc w:val="both"/>
        <w:rPr>
          <w:rFonts w:ascii="Times New Roman" w:hAnsi="Times New Roman"/>
          <w:color w:val="000000" w:themeColor="text1"/>
          <w:highlight w:val="white"/>
        </w:rPr>
      </w:pPr>
      <w:r>
        <w:rPr>
          <w:rFonts w:ascii="Times New Roman" w:hAnsi="Times New Roman"/>
          <w:color w:val="000000" w:themeColor="text1"/>
          <w:highlight w:val="white"/>
        </w:rPr>
        <w:t xml:space="preserve">Если Исполнителем</w:t>
      </w:r>
      <w:r>
        <w:rPr>
          <w:rFonts w:ascii="Times New Roman" w:hAnsi="Times New Roman"/>
          <w:b/>
          <w:color w:val="000000" w:themeColor="text1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highlight w:val="white"/>
        </w:rPr>
        <w:t xml:space="preserve">добровольно не перечислит штрафные санкции по Договору в течение срока, указанного в претензии, Заказчик имеет право уменьшить размер оплаты по настоящему Договору на сумму штрафа санкций, предъявленных </w:t>
      </w:r>
      <w:r>
        <w:rPr>
          <w:rFonts w:ascii="Times New Roman" w:hAnsi="Times New Roman"/>
          <w:b/>
          <w:color w:val="000000" w:themeColor="text1"/>
          <w:highlight w:val="white"/>
        </w:rPr>
        <w:t xml:space="preserve">Исполнителю</w:t>
      </w:r>
      <w:r>
        <w:rPr>
          <w:rFonts w:ascii="Times New Roman" w:hAnsi="Times New Roman"/>
          <w:color w:val="000000" w:themeColor="text1"/>
          <w:highlight w:val="white"/>
        </w:rPr>
        <w:t xml:space="preserve">.</w:t>
      </w:r>
      <w:r>
        <w:rPr>
          <w:rFonts w:ascii="Times New Roman" w:hAnsi="Times New Roman"/>
          <w:color w:val="000000" w:themeColor="text1"/>
          <w:highlight w:val="white"/>
        </w:rPr>
      </w:r>
    </w:p>
    <w:p>
      <w:pPr>
        <w:pStyle w:val="709"/>
        <w:jc w:val="both"/>
        <w:rPr>
          <w:rFonts w:ascii="Times New Roman" w:hAnsi="Times New Roman"/>
          <w:color w:val="000000" w:themeColor="text1"/>
          <w:highlight w:val="white"/>
        </w:rPr>
      </w:pPr>
      <w:r>
        <w:rPr>
          <w:rFonts w:ascii="Times New Roman" w:hAnsi="Times New Roman"/>
          <w:color w:val="000000" w:themeColor="text1"/>
          <w:highlight w:val="white"/>
        </w:rPr>
        <w:t xml:space="preserve">5.4.7. Уплата пени (неустойки, штрафа) за просрочку или иное ненадлежащее исполнение обязательств по Договору, а также возмещение убытков, причиненных ненадлежащим исполнением обязательств, не освобождает Исполнителя</w:t>
      </w:r>
      <w:r>
        <w:rPr>
          <w:rFonts w:ascii="Times New Roman" w:hAnsi="Times New Roman"/>
          <w:b/>
          <w:color w:val="000000" w:themeColor="text1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highlight w:val="white"/>
        </w:rPr>
        <w:t xml:space="preserve">от исполнения этих обязательств в натуре.</w:t>
      </w:r>
      <w:r>
        <w:rPr>
          <w:rFonts w:ascii="Times New Roman" w:hAnsi="Times New Roman"/>
          <w:color w:val="000000" w:themeColor="text1"/>
          <w:highlight w:val="white"/>
        </w:rPr>
      </w:r>
    </w:p>
    <w:p>
      <w:pPr>
        <w:pStyle w:val="709"/>
        <w:jc w:val="both"/>
        <w:rPr>
          <w:rFonts w:ascii="Times New Roman" w:hAnsi="Times New Roman"/>
          <w:color w:val="000000" w:themeColor="text1"/>
          <w:highlight w:val="white"/>
        </w:rPr>
      </w:pPr>
      <w:r>
        <w:rPr>
          <w:rFonts w:ascii="Times New Roman" w:hAnsi="Times New Roman"/>
          <w:color w:val="000000" w:themeColor="text1"/>
          <w:highlight w:val="white"/>
        </w:rPr>
        <w:t xml:space="preserve">5.4.8. Указанная в настоящем Договоре пеня (неустойка, штраф) взимается за каждое нарушение в отдельности.</w:t>
      </w:r>
      <w:r>
        <w:rPr>
          <w:rFonts w:ascii="Times New Roman" w:hAnsi="Times New Roman"/>
          <w:color w:val="000000" w:themeColor="text1"/>
          <w:highlight w:val="white"/>
        </w:rPr>
      </w:r>
    </w:p>
    <w:p>
      <w:pPr>
        <w:pStyle w:val="709"/>
        <w:jc w:val="both"/>
        <w:rPr>
          <w:rFonts w:ascii="Times New Roman" w:hAnsi="Times New Roman"/>
          <w:color w:val="000000" w:themeColor="text1"/>
          <w:highlight w:val="white"/>
        </w:rPr>
      </w:pPr>
      <w:r>
        <w:rPr>
          <w:rFonts w:ascii="Times New Roman" w:hAnsi="Times New Roman"/>
          <w:color w:val="000000" w:themeColor="text1"/>
          <w:highlight w:val="white"/>
        </w:rPr>
        <w:t xml:space="preserve">5.5. Исполнитель</w:t>
      </w:r>
      <w:r>
        <w:rPr>
          <w:rFonts w:ascii="Times New Roman" w:hAnsi="Times New Roman"/>
          <w:b/>
          <w:color w:val="000000" w:themeColor="text1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highlight w:val="white"/>
        </w:rPr>
        <w:t xml:space="preserve">освобождается от уплаты неустойки (пени, штрафа) если докажет, что просрочка исполнения указанного обязательства произошла вследствие непреодолимой силы или по вине Заказчика.</w:t>
      </w:r>
      <w:r>
        <w:rPr>
          <w:rFonts w:ascii="Times New Roman" w:hAnsi="Times New Roman"/>
          <w:color w:val="000000" w:themeColor="text1"/>
          <w:highlight w:val="white"/>
        </w:rPr>
      </w:r>
    </w:p>
    <w:p>
      <w:pPr>
        <w:pStyle w:val="709"/>
        <w:jc w:val="both"/>
        <w:rPr>
          <w:rFonts w:ascii="Times New Roman" w:hAnsi="Times New Roman"/>
          <w:color w:val="000000" w:themeColor="text1"/>
          <w:highlight w:val="white"/>
        </w:rPr>
      </w:pPr>
      <w:r>
        <w:rPr>
          <w:rFonts w:ascii="Times New Roman" w:hAnsi="Times New Roman"/>
          <w:color w:val="000000" w:themeColor="text1"/>
          <w:highlight w:val="white"/>
        </w:rPr>
        <w:t xml:space="preserve">5.6. </w:t>
      </w:r>
      <w:r>
        <w:rPr>
          <w:rFonts w:ascii="Times New Roman" w:hAnsi="Times New Roman"/>
          <w:bCs/>
          <w:color w:val="000000" w:themeColor="text1"/>
          <w:highlight w:val="white"/>
        </w:rPr>
        <w:t xml:space="preserve">Настоящий Договор </w:t>
      </w:r>
      <w:r>
        <w:rPr>
          <w:rFonts w:ascii="Times New Roman" w:hAnsi="Times New Roman"/>
          <w:color w:val="000000" w:themeColor="text1"/>
          <w:highlight w:val="white"/>
        </w:rPr>
        <w:t xml:space="preserve">может быть расторгнут по соглашению сторон, по решению суда, в случае одностороннего отказа стороны контракта от исполнения Договора в соответствии со ст. 95 Федерального закона № 44-ФЗ и Гражданским кодексом Российской Федерации.</w:t>
      </w:r>
      <w:r>
        <w:rPr>
          <w:rFonts w:ascii="Times New Roman" w:hAnsi="Times New Roman"/>
          <w:color w:val="000000" w:themeColor="text1"/>
          <w:highlight w:val="white"/>
        </w:rPr>
      </w:r>
    </w:p>
    <w:p>
      <w:pPr>
        <w:pStyle w:val="661"/>
        <w:jc w:val="both"/>
        <w:rPr>
          <w:rFonts w:ascii="Times New Roman" w:hAnsi="Times New Roman"/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/>
          <w:color w:val="000000" w:themeColor="text1"/>
          <w:sz w:val="22"/>
          <w:szCs w:val="22"/>
          <w:highlight w:val="white"/>
        </w:rPr>
      </w:r>
    </w:p>
    <w:p>
      <w:pPr>
        <w:pStyle w:val="661"/>
        <w:spacing w:before="120" w:after="120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6. ИНТЕЛЛЕКТУАЛЬНАЯ СОБСТВЕННОСТЬ</w:t>
      </w:r>
      <w:r>
        <w:rPr>
          <w:b/>
          <w:sz w:val="28"/>
          <w:szCs w:val="24"/>
        </w:rPr>
      </w:r>
    </w:p>
    <w:p>
      <w:pPr>
        <w:pStyle w:val="661"/>
        <w:widowControl w:val="off"/>
        <w:numPr>
          <w:numId w:val="11"/>
          <w:ilvl w:val="1"/>
        </w:numPr>
        <w:tabs>
          <w:tab w:val="clear" w:pos="709" w:leader="none"/>
        </w:tabs>
        <w:ind w:left="0" w:firstLine="0"/>
        <w:jc w:val="both"/>
        <w:rPr>
          <w:b/>
          <w:bCs/>
          <w:sz w:val="22"/>
          <w:szCs w:val="24"/>
        </w:rPr>
      </w:pPr>
      <w:r>
        <w:rPr>
          <w:sz w:val="22"/>
          <w:szCs w:val="24"/>
        </w:rPr>
        <w:t xml:space="preserve">Стороны соглашаются в том, что со дня подписания настоящего Договора все права на воспроизведение и распространение выполненных Исполнителем настроек ПП, принадлежат Исполнителю без ограничения сроков и территории.</w:t>
      </w:r>
      <w:r>
        <w:rPr>
          <w:b/>
          <w:bCs/>
          <w:sz w:val="22"/>
          <w:szCs w:val="24"/>
        </w:rPr>
      </w:r>
    </w:p>
    <w:p>
      <w:pPr>
        <w:pStyle w:val="661"/>
        <w:widowControl w:val="off"/>
        <w:numPr>
          <w:numId w:val="11"/>
          <w:ilvl w:val="1"/>
        </w:numPr>
        <w:tabs>
          <w:tab w:val="clear" w:pos="709" w:leader="none"/>
        </w:tabs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Заказчик не должен пытаться осуществлять действия, которые могли бы нарушить или сделать недействительными указанные права Исполнителя в отношении интеллектуальной собственности на настройки ПП.</w:t>
      </w:r>
      <w:r>
        <w:rPr>
          <w:sz w:val="22"/>
          <w:szCs w:val="24"/>
        </w:rPr>
      </w:r>
    </w:p>
    <w:p>
      <w:pPr>
        <w:pStyle w:val="661"/>
        <w:widowControl w:val="off"/>
        <w:numPr>
          <w:numId w:val="11"/>
          <w:ilvl w:val="1"/>
        </w:numPr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В случае нарушения Заказчиком указанных в пп.6.1, 6</w:t>
      </w:r>
      <w:r>
        <w:rPr>
          <w:sz w:val="22"/>
          <w:szCs w:val="24"/>
        </w:rPr>
        <w:t xml:space="preserve">.2 настоящего Договора обязательств, Заказчик обязуется возместить Исполнителю убытки (реальный ущерб и упущенную выгоду), а также защитить Исполнителя от любых потерь, повреждений и расходов, вызванных прямо или косвенно нарушением указанных обязательств.</w:t>
      </w:r>
      <w:r>
        <w:rPr>
          <w:sz w:val="22"/>
          <w:szCs w:val="24"/>
        </w:rPr>
      </w:r>
    </w:p>
    <w:p>
      <w:pPr>
        <w:pStyle w:val="661"/>
        <w:spacing w:before="120" w:after="120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7. ПРОЧИЕ УСЛОВИЯ</w:t>
      </w:r>
      <w:r>
        <w:rPr>
          <w:b/>
          <w:sz w:val="28"/>
          <w:szCs w:val="24"/>
        </w:rPr>
      </w:r>
    </w:p>
    <w:p>
      <w:pPr>
        <w:pStyle w:val="661"/>
        <w:widowControl w:val="off"/>
        <w:numPr>
          <w:numId w:val="6"/>
          <w:ilvl w:val="1"/>
        </w:numPr>
        <w:jc w:val="both"/>
        <w:rPr>
          <w:color w:val="000000" w:themeColor="text1"/>
          <w:sz w:val="22"/>
          <w:szCs w:val="24"/>
        </w:rPr>
      </w:pPr>
      <w:r>
        <w:rPr>
          <w:color w:val="000000" w:themeColor="text1"/>
          <w:sz w:val="22"/>
          <w:szCs w:val="24"/>
        </w:rPr>
        <w:t xml:space="preserve">       </w:t>
      </w:r>
      <w:r>
        <w:rPr>
          <w:color w:val="000000" w:themeColor="text1"/>
          <w:sz w:val="22"/>
          <w:szCs w:val="24"/>
        </w:rPr>
        <w:t xml:space="preserve">Изменения в настоящий Договор вносятся сторонами путем заключения дополнительных соглашений </w:t>
      </w:r>
      <w:r>
        <w:rPr>
          <w:color w:val="000000" w:themeColor="text1"/>
          <w:sz w:val="22"/>
          <w:szCs w:val="24"/>
        </w:rPr>
        <w:t xml:space="preserve">в соответствии с требованиями законодательства РФ</w:t>
      </w:r>
      <w:r>
        <w:rPr>
          <w:color w:val="000000" w:themeColor="text1"/>
          <w:sz w:val="22"/>
          <w:szCs w:val="24"/>
        </w:rPr>
        <w:t xml:space="preserve">.</w:t>
      </w:r>
      <w:r>
        <w:rPr>
          <w:color w:val="000000" w:themeColor="text1"/>
          <w:sz w:val="22"/>
          <w:szCs w:val="24"/>
        </w:rPr>
      </w:r>
    </w:p>
    <w:p>
      <w:pPr>
        <w:pStyle w:val="661"/>
        <w:widowControl w:val="off"/>
        <w:numPr>
          <w:numId w:val="6"/>
          <w:ilvl w:val="1"/>
        </w:numPr>
        <w:ind w:left="0" w:firstLine="0"/>
        <w:jc w:val="both"/>
        <w:rPr>
          <w:b/>
          <w:bCs/>
          <w:color w:val="000000" w:themeColor="text1"/>
          <w:sz w:val="22"/>
          <w:szCs w:val="24"/>
        </w:rPr>
      </w:pPr>
      <w:r>
        <w:rPr>
          <w:color w:val="000000" w:themeColor="text1"/>
          <w:sz w:val="22"/>
          <w:szCs w:val="24"/>
        </w:rPr>
        <w:t xml:space="preserve">При разрешении споров, касающихся настоящего Договора, стороны руководствуются действующим законодательством Российской Федерации.</w:t>
      </w:r>
      <w:r>
        <w:rPr>
          <w:b/>
          <w:bCs/>
          <w:color w:val="000000" w:themeColor="text1"/>
          <w:sz w:val="22"/>
          <w:szCs w:val="24"/>
        </w:rPr>
      </w:r>
    </w:p>
    <w:p>
      <w:pPr>
        <w:pStyle w:val="661"/>
        <w:numPr>
          <w:numId w:val="0"/>
          <w:ilvl w:val="0"/>
        </w:numPr>
        <w:ind w:left="360" w:righ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Все споры и разногласия, которые могут возникнуть из настоящего </w:t>
      </w:r>
      <w:r>
        <w:rPr>
          <w:rFonts w:cs="Times New Roman"/>
          <w:color w:val="000000" w:themeColor="text1"/>
          <w:sz w:val="22"/>
          <w:szCs w:val="24"/>
        </w:rPr>
        <w:t xml:space="preserve">Договора</w:t>
      </w:r>
      <w:r>
        <w:rPr>
          <w:rFonts w:cs="Times New Roman"/>
          <w:color w:val="000000" w:themeColor="text1"/>
          <w:sz w:val="22"/>
          <w:szCs w:val="22"/>
        </w:rPr>
        <w:t xml:space="preserve"> между Сторонами, будут разрешаться путем переговоров, в том числе в претензионном порядке. Претензия оформляется в письменной форме. В претензии перечисляются допущенные при исполнении </w:t>
      </w:r>
      <w:r>
        <w:rPr>
          <w:rFonts w:cs="Times New Roman"/>
          <w:color w:val="000000" w:themeColor="text1"/>
          <w:sz w:val="22"/>
          <w:szCs w:val="24"/>
        </w:rPr>
        <w:t xml:space="preserve">Договора</w:t>
      </w:r>
      <w:r>
        <w:rPr>
          <w:rFonts w:cs="Times New Roman"/>
          <w:color w:val="000000" w:themeColor="text1"/>
          <w:sz w:val="22"/>
          <w:szCs w:val="22"/>
        </w:rPr>
        <w:t xml:space="preserve"> нарушения со ссылкой на соответствующие положения </w:t>
      </w:r>
      <w:r>
        <w:rPr>
          <w:rFonts w:cs="Times New Roman"/>
          <w:color w:val="000000" w:themeColor="text1"/>
          <w:sz w:val="22"/>
          <w:szCs w:val="24"/>
        </w:rPr>
        <w:t xml:space="preserve">Договора</w:t>
      </w:r>
      <w:r>
        <w:rPr>
          <w:rFonts w:cs="Times New Roman"/>
          <w:color w:val="000000" w:themeColor="text1"/>
          <w:sz w:val="22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</w:t>
      </w:r>
      <w:r>
        <w:rPr>
          <w:rFonts w:cs="Times New Roman"/>
          <w:color w:val="000000" w:themeColor="text1"/>
          <w:sz w:val="22"/>
          <w:szCs w:val="22"/>
        </w:rPr>
        <w:t xml:space="preserve">ий. Срок рассмотрения претензии не может превышать 10 (десяти)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742"/>
        <w:widowControl w:val="off"/>
        <w:numPr>
          <w:numId w:val="6"/>
          <w:ilvl w:val="1"/>
        </w:numPr>
        <w:ind w:left="0" w:right="0" w:firstLine="709"/>
        <w:jc w:val="both"/>
        <w:rPr>
          <w:b/>
          <w:bCs/>
          <w:color w:val="000000" w:themeColor="text1"/>
          <w:sz w:val="22"/>
          <w:szCs w:val="24"/>
        </w:rPr>
      </w:pPr>
      <w:r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При не урегулировании Сторонами спора в досудебном порядке спор разрешается в судебном порядке.</w:t>
      </w:r>
      <w:r>
        <w:rPr>
          <w:b/>
          <w:bCs/>
          <w:color w:val="000000" w:themeColor="text1"/>
          <w:sz w:val="22"/>
          <w:szCs w:val="24"/>
        </w:rPr>
      </w:r>
    </w:p>
    <w:p>
      <w:pPr>
        <w:pStyle w:val="661"/>
        <w:widowControl w:val="off"/>
        <w:numPr>
          <w:numId w:val="6"/>
          <w:ilvl w:val="1"/>
        </w:numPr>
        <w:ind w:left="0" w:firstLine="0"/>
        <w:jc w:val="both"/>
        <w:rPr>
          <w:b/>
          <w:bCs/>
          <w:color w:val="000000" w:themeColor="text1"/>
          <w:sz w:val="22"/>
          <w:szCs w:val="24"/>
        </w:rPr>
      </w:pPr>
      <w:r>
        <w:rPr>
          <w:color w:val="000000" w:themeColor="text1"/>
          <w:sz w:val="22"/>
          <w:szCs w:val="24"/>
        </w:rPr>
        <w:t xml:space="preserve">Настоящий Договор составлен в двух экземплярах, имеющих одинаковую юридическую силу, каждой стороне передается один экземпляр Договора.</w:t>
      </w:r>
      <w:r>
        <w:rPr>
          <w:b/>
          <w:bCs/>
          <w:color w:val="000000" w:themeColor="text1"/>
          <w:sz w:val="22"/>
          <w:szCs w:val="24"/>
        </w:rPr>
      </w:r>
    </w:p>
    <w:p>
      <w:pPr>
        <w:pStyle w:val="661"/>
        <w:spacing w:before="120" w:after="120"/>
        <w:rPr>
          <w:b/>
          <w:bCs/>
          <w:color w:val="000000" w:themeColor="text1"/>
          <w:sz w:val="28"/>
          <w:szCs w:val="24"/>
        </w:rPr>
      </w:pPr>
      <w:r>
        <w:rPr>
          <w:b/>
          <w:color w:val="000000" w:themeColor="text1"/>
          <w:sz w:val="28"/>
          <w:szCs w:val="24"/>
        </w:rPr>
        <w:t xml:space="preserve">8. СРОК ДЕЙСТВИЯ ДОГОВОРА</w:t>
      </w:r>
      <w:r>
        <w:rPr>
          <w:b/>
          <w:bCs/>
          <w:color w:val="000000" w:themeColor="text1"/>
          <w:sz w:val="28"/>
          <w:szCs w:val="24"/>
        </w:rPr>
      </w:r>
    </w:p>
    <w:p>
      <w:pPr>
        <w:pStyle w:val="661"/>
        <w:widowControl w:val="off"/>
        <w:numPr>
          <w:numId w:val="5"/>
          <w:ilvl w:val="1"/>
        </w:numPr>
        <w:ind w:left="360" w:hanging="360"/>
        <w:jc w:val="both"/>
        <w:rPr>
          <w:b/>
          <w:bCs/>
          <w:color w:val="000000" w:themeColor="text1"/>
          <w:sz w:val="22"/>
          <w:szCs w:val="24"/>
          <w:highlight w:val="white"/>
        </w:rPr>
      </w:pPr>
      <w:r>
        <w:rPr>
          <w:color w:val="000000" w:themeColor="text1"/>
          <w:sz w:val="22"/>
          <w:szCs w:val="24"/>
        </w:rPr>
        <w:t xml:space="preserve">Настоящий Договор считается заключенным со дня его подписания. Днем подписания является дата, указанная в правом верхнем углу первой страницы текста настоящего Договора. </w:t>
      </w:r>
      <w:r>
        <w:rPr>
          <w:color w:val="000000" w:themeColor="text1"/>
          <w:sz w:val="22"/>
          <w:szCs w:val="24"/>
        </w:rPr>
        <w:t xml:space="preserve">Днем подписания является дата подписания договора в системе электронного документооборота. Договор действует до </w:t>
      </w:r>
      <w:r>
        <w:rPr>
          <w:color w:val="000000" w:themeColor="text1"/>
          <w:sz w:val="22"/>
          <w:szCs w:val="24"/>
          <w:highlight w:val="white"/>
        </w:rPr>
        <w:t xml:space="preserve">31 января 2027 года.</w:t>
      </w:r>
      <w:r>
        <w:rPr>
          <w:b/>
          <w:bCs/>
          <w:color w:val="000000" w:themeColor="text1"/>
          <w:sz w:val="22"/>
          <w:szCs w:val="24"/>
          <w:highlight w:val="white"/>
        </w:rPr>
      </w:r>
    </w:p>
    <w:p>
      <w:pPr>
        <w:pStyle w:val="661"/>
        <w:jc w:val="center"/>
        <w:rPr>
          <w:rFonts w:ascii="Times New Roman" w:hAnsi="Times New Roman"/>
          <w:color w:val="000000" w:themeColor="text1"/>
          <w:sz w:val="22"/>
          <w:szCs w:val="22"/>
          <w:highlight w:val="white"/>
        </w:rPr>
      </w:pPr>
      <w:r>
        <w:rPr>
          <w:b/>
          <w:color w:val="000000" w:themeColor="text1"/>
          <w:sz w:val="22"/>
          <w:szCs w:val="22"/>
          <w:highlight w:val="white"/>
        </w:rPr>
        <w:t xml:space="preserve">9. ЗАКЛЮЧИТЕЛЬНЫЕ ПОЛОЖЕНИЯ</w:t>
      </w:r>
      <w:r>
        <w:rPr>
          <w:rFonts w:ascii="Times New Roman" w:hAnsi="Times New Roman"/>
          <w:color w:val="000000" w:themeColor="text1"/>
          <w:sz w:val="22"/>
          <w:szCs w:val="22"/>
          <w:highlight w:val="white"/>
        </w:rPr>
      </w:r>
    </w:p>
    <w:p>
      <w:pPr>
        <w:pStyle w:val="661"/>
        <w:rPr>
          <w:rFonts w:ascii="Times New Roman" w:hAnsi="Times New Roman"/>
          <w:b/>
          <w:color w:val="000000" w:themeColor="text1"/>
          <w:sz w:val="22"/>
          <w:szCs w:val="22"/>
          <w:highlight w:val="white"/>
        </w:rPr>
      </w:pPr>
      <w:r>
        <w:rPr>
          <w:b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/>
          <w:b/>
          <w:color w:val="000000" w:themeColor="text1"/>
          <w:sz w:val="22"/>
          <w:szCs w:val="22"/>
          <w:highlight w:val="white"/>
        </w:rPr>
      </w:r>
    </w:p>
    <w:p>
      <w:pPr>
        <w:pStyle w:val="661"/>
        <w:jc w:val="both"/>
        <w:rPr>
          <w:rFonts w:ascii="Times New Roman" w:hAnsi="Times New Roman"/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9.1. В остальном, что не предусмотрено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  <w:color w:val="000000" w:themeColor="text1"/>
          <w:sz w:val="22"/>
          <w:szCs w:val="22"/>
          <w:highlight w:val="white"/>
        </w:rPr>
      </w:r>
    </w:p>
    <w:p>
      <w:pPr>
        <w:pStyle w:val="661"/>
        <w:jc w:val="both"/>
        <w:rPr>
          <w:rFonts w:ascii="Times New Roman" w:hAnsi="Times New Roman"/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9.2. </w:t>
      </w:r>
      <w:r>
        <w:rPr>
          <w:rFonts w:cs="Times New Roman"/>
          <w:color w:val="000000" w:themeColor="text1"/>
          <w:sz w:val="22"/>
          <w:szCs w:val="22"/>
          <w:highlight w:val="white"/>
          <w:shd w:val="clear" w:color="auto" w:fill="ea7500"/>
        </w:rPr>
        <w:t xml:space="preserve">Изменение условий </w:t>
      </w:r>
      <w:r>
        <w:rPr>
          <w:rFonts w:cs="Times New Roman"/>
          <w:color w:val="000000" w:themeColor="text1"/>
          <w:sz w:val="22"/>
          <w:szCs w:val="22"/>
          <w:highlight w:val="white"/>
          <w:shd w:val="clear" w:color="auto" w:fill="ea7500"/>
        </w:rPr>
        <w:t xml:space="preserve">Договор</w:t>
      </w:r>
      <w:r>
        <w:rPr>
          <w:rFonts w:cs="Times New Roman"/>
          <w:color w:val="000000" w:themeColor="text1"/>
          <w:sz w:val="22"/>
          <w:szCs w:val="22"/>
          <w:highlight w:val="white"/>
          <w:shd w:val="clear" w:color="auto" w:fill="ea7500"/>
        </w:rPr>
        <w:t xml:space="preserve">а при его исполнении не допускается, за исключением случаев, предусмотренных Федеральн</w:t>
      </w:r>
      <w:r>
        <w:rPr>
          <w:rFonts w:cs="Times New Roman"/>
          <w:color w:val="000000" w:themeColor="text1"/>
          <w:sz w:val="22"/>
          <w:szCs w:val="22"/>
          <w:highlight w:val="white"/>
          <w:shd w:val="clear" w:color="auto" w:fill="ea7500"/>
        </w:rPr>
        <w:t xml:space="preserve">ым</w:t>
      </w:r>
      <w:r>
        <w:rPr>
          <w:rFonts w:cs="Times New Roman"/>
          <w:color w:val="000000" w:themeColor="text1"/>
          <w:sz w:val="22"/>
          <w:szCs w:val="22"/>
          <w:highlight w:val="white"/>
          <w:shd w:val="clear" w:color="auto" w:fill="ea7500"/>
        </w:rPr>
        <w:t xml:space="preserve"> закон</w:t>
      </w:r>
      <w:r>
        <w:rPr>
          <w:rFonts w:cs="Times New Roman"/>
          <w:color w:val="000000" w:themeColor="text1"/>
          <w:sz w:val="22"/>
          <w:szCs w:val="22"/>
          <w:highlight w:val="white"/>
          <w:shd w:val="clear" w:color="auto" w:fill="ea7500"/>
        </w:rPr>
        <w:t xml:space="preserve">ом</w:t>
      </w:r>
      <w:r>
        <w:rPr>
          <w:rFonts w:cs="Times New Roman"/>
          <w:color w:val="000000" w:themeColor="text1"/>
          <w:sz w:val="22"/>
          <w:szCs w:val="22"/>
          <w:highlight w:val="white"/>
          <w:shd w:val="clear" w:color="auto" w:fill="ea7500"/>
        </w:rPr>
        <w:t xml:space="preserve"> № 44-ФЗ.</w:t>
      </w:r>
      <w:r>
        <w:rPr>
          <w:rFonts w:cs="Times New Roman"/>
          <w:color w:val="000000" w:themeColor="text1"/>
          <w:sz w:val="22"/>
          <w:szCs w:val="22"/>
          <w:highlight w:val="white"/>
        </w:rPr>
        <w:t xml:space="preserve"> </w:t>
      </w:r>
      <w:r>
        <w:rPr>
          <w:color w:val="000000" w:themeColor="text1"/>
          <w:sz w:val="22"/>
          <w:szCs w:val="22"/>
          <w:highlight w:val="white"/>
        </w:rPr>
        <w:t xml:space="preserve">Изменение условий настоящего Договора оформляется путем составления дополнительных соглашений, которые вступают в силу с момента их подписания Сторонами.</w:t>
      </w:r>
      <w:r>
        <w:rPr>
          <w:rFonts w:ascii="Times New Roman" w:hAnsi="Times New Roman"/>
          <w:color w:val="000000" w:themeColor="text1"/>
          <w:sz w:val="22"/>
          <w:szCs w:val="22"/>
          <w:highlight w:val="white"/>
        </w:rPr>
      </w:r>
    </w:p>
    <w:p>
      <w:pPr>
        <w:pStyle w:val="661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9.3. Настоящий Договор подписан с использованием функционала Единого агрегатора торговли, все изменения и дополнения также формируются с использованием упомянутого функционала.</w:t>
      </w:r>
      <w:r>
        <w:rPr>
          <w:color w:val="000000" w:themeColor="text1"/>
          <w:highlight w:val="white"/>
        </w:rPr>
      </w:r>
    </w:p>
    <w:p>
      <w:pPr>
        <w:pStyle w:val="661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9.4. Неотъемлемой частью настоящего Договора являются Приложения:</w:t>
      </w:r>
      <w:r>
        <w:rPr>
          <w:color w:val="000000" w:themeColor="text1"/>
          <w:highlight w:val="white"/>
        </w:rPr>
      </w:r>
    </w:p>
    <w:p>
      <w:pPr>
        <w:pStyle w:val="661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9.4.1. Техническое задание (Приложение № 1).</w:t>
      </w:r>
      <w:r>
        <w:rPr>
          <w:color w:val="000000" w:themeColor="text1"/>
          <w:highlight w:val="white"/>
        </w:rPr>
      </w:r>
    </w:p>
    <w:p>
      <w:pPr>
        <w:pStyle w:val="661"/>
        <w:jc w:val="both"/>
        <w:rPr>
          <w:rFonts w:ascii="Times New Roman" w:hAnsi="Times New Roman"/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9.4.2. Акт приемки товаров, работ, услуг (ф.0510452), утвержденного </w:t>
      </w:r>
      <w:hyperlink r:id="rId11" w:tooltip="file:///C:/Users/_blank" w:history="1">
        <w:r>
          <w:rPr>
            <w:color w:val="000000" w:themeColor="text1"/>
            <w:sz w:val="22"/>
            <w:szCs w:val="22"/>
            <w:highlight w:val="white"/>
          </w:rPr>
          <w:t xml:space="preserve">приказом Минфина от 15.04.2021 № 61н</w:t>
        </w:r>
      </w:hyperlink>
      <w:r>
        <w:rPr>
          <w:color w:val="000000" w:themeColor="text1"/>
          <w:sz w:val="22"/>
          <w:szCs w:val="22"/>
          <w:highlight w:val="white"/>
        </w:rPr>
        <w:t xml:space="preserve"> (Приложение №2)</w:t>
      </w:r>
      <w:r>
        <w:rPr>
          <w:rFonts w:ascii="Times New Roman" w:hAnsi="Times New Roman"/>
          <w:color w:val="000000" w:themeColor="text1"/>
          <w:sz w:val="22"/>
          <w:szCs w:val="22"/>
          <w:highlight w:val="white"/>
        </w:rPr>
      </w:r>
    </w:p>
    <w:p>
      <w:pPr>
        <w:pStyle w:val="661"/>
        <w:rPr>
          <w:rFonts w:ascii="Times New Roman" w:hAnsi="Times New Roman"/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/>
          <w:color w:val="000000" w:themeColor="text1"/>
          <w:sz w:val="22"/>
          <w:szCs w:val="22"/>
          <w:highlight w:val="white"/>
        </w:rPr>
      </w:r>
    </w:p>
    <w:p>
      <w:pPr>
        <w:pStyle w:val="661"/>
        <w:jc w:val="center"/>
        <w:rPr>
          <w:rFonts w:ascii="Times New Roman" w:hAnsi="Times New Roman"/>
          <w:b/>
          <w:color w:val="000000" w:themeColor="text1"/>
          <w:sz w:val="22"/>
          <w:szCs w:val="22"/>
          <w:highlight w:val="white"/>
        </w:rPr>
      </w:pPr>
      <w:r>
        <w:rPr>
          <w:b/>
          <w:color w:val="000000" w:themeColor="text1"/>
          <w:sz w:val="22"/>
          <w:szCs w:val="22"/>
          <w:highlight w:val="white"/>
        </w:rPr>
        <w:t xml:space="preserve">10. АНТИКОРРУПЦИОННАЯ ОГОВОРКА</w:t>
      </w:r>
      <w:r>
        <w:rPr>
          <w:rFonts w:ascii="Times New Roman" w:hAnsi="Times New Roman"/>
          <w:b/>
          <w:color w:val="000000" w:themeColor="text1"/>
          <w:sz w:val="22"/>
          <w:szCs w:val="22"/>
          <w:highlight w:val="white"/>
        </w:rPr>
      </w:r>
    </w:p>
    <w:p>
      <w:pPr>
        <w:pStyle w:val="661"/>
        <w:jc w:val="both"/>
        <w:rPr>
          <w:rFonts w:ascii="Times New Roman" w:hAnsi="Times New Roman"/>
          <w:b/>
          <w:color w:val="000000" w:themeColor="text1"/>
          <w:sz w:val="22"/>
          <w:szCs w:val="22"/>
          <w:highlight w:val="white"/>
        </w:rPr>
      </w:pPr>
      <w:r>
        <w:rPr>
          <w:b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/>
          <w:b/>
          <w:color w:val="000000" w:themeColor="text1"/>
          <w:sz w:val="22"/>
          <w:szCs w:val="22"/>
          <w:highlight w:val="white"/>
        </w:rPr>
      </w:r>
    </w:p>
    <w:p>
      <w:pPr>
        <w:pStyle w:val="661"/>
        <w:jc w:val="both"/>
        <w:rPr>
          <w:rFonts w:ascii="Times New Roman" w:hAnsi="Times New Roman"/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10.1. 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</w:t>
      </w:r>
      <w:r>
        <w:rPr>
          <w:color w:val="000000" w:themeColor="text1"/>
          <w:sz w:val="22"/>
          <w:szCs w:val="22"/>
          <w:highlight w:val="white"/>
        </w:rPr>
        <w:t xml:space="preserve">адрес </w:t>
        <w:br/>
        <w:t xml:space="preserve">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</w:t>
      </w:r>
      <w:r>
        <w:rPr>
          <w:rFonts w:ascii="Times New Roman" w:hAnsi="Times New Roman"/>
          <w:color w:val="000000" w:themeColor="text1"/>
          <w:sz w:val="22"/>
          <w:szCs w:val="22"/>
          <w:highlight w:val="white"/>
        </w:rPr>
      </w:r>
    </w:p>
    <w:p>
      <w:pPr>
        <w:pStyle w:val="741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  <w:t xml:space="preserve">10.2. При исполнении своих обязательств по Договору Стороны, их аффилированные лица, работники или 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  <w:t xml:space="preserve">посредники не осуществляют действия, наказуемые в соответствии с главой </w:t>
        <w:br/>
        <w:t xml:space="preserve">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pStyle w:val="741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  <w:t xml:space="preserve">10.3. В случае выявления у Сторон информации, что произошло или может произойти нарушение каких-либо положений настоящего Раздела, соответствующая Сторона обязуется незамедлительно уведомить другую Сторону в письменной форме, по возможности также 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  <w:t xml:space="preserve">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  <w:t xml:space="preserve">бо положений настоящего Раздела контрагентом, его аффилированными лицами, работниками или посредниками. О результатах рассмотрения уведомления Сторона должна сообщить Стороне, направившей уведомление, не позднее 10 (десяти) рабочих дней в письменной форме.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pStyle w:val="661"/>
        <w:jc w:val="both"/>
        <w:rPr>
          <w:rFonts w:ascii="Times New Roman" w:hAnsi="Times New Roman"/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10.4. 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товаров, р</w:t>
      </w:r>
      <w:r>
        <w:rPr>
          <w:color w:val="000000" w:themeColor="text1"/>
          <w:sz w:val="22"/>
          <w:szCs w:val="22"/>
          <w:highlight w:val="white"/>
        </w:rPr>
        <w:t xml:space="preserve">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</w:t>
        <w:br/>
        <w:t xml:space="preserve">в соответствии с законодательством Российской Федерации.</w:t>
      </w:r>
      <w:r>
        <w:rPr>
          <w:rFonts w:ascii="Times New Roman" w:hAnsi="Times New Roman"/>
          <w:color w:val="000000" w:themeColor="text1"/>
          <w:sz w:val="22"/>
          <w:szCs w:val="22"/>
          <w:highlight w:val="white"/>
        </w:rPr>
      </w:r>
    </w:p>
    <w:p>
      <w:pPr>
        <w:pStyle w:val="661"/>
        <w:widowControl w:val="off"/>
        <w:ind w:left="360" w:firstLine="0"/>
        <w:jc w:val="both"/>
        <w:rPr>
          <w:b/>
          <w:bCs/>
          <w:color w:val="000000" w:themeColor="text1"/>
          <w:sz w:val="22"/>
          <w:szCs w:val="22"/>
          <w:highlight w:val="white"/>
        </w:rPr>
      </w:pPr>
      <w:r>
        <w:rPr>
          <w:b/>
          <w:bCs/>
          <w:color w:val="000000" w:themeColor="text1"/>
          <w:sz w:val="22"/>
          <w:szCs w:val="22"/>
          <w:highlight w:val="white"/>
        </w:rPr>
      </w:r>
      <w:r>
        <w:rPr>
          <w:b/>
          <w:bCs/>
          <w:color w:val="000000" w:themeColor="text1"/>
          <w:sz w:val="22"/>
          <w:szCs w:val="22"/>
          <w:highlight w:val="white"/>
        </w:rPr>
      </w:r>
    </w:p>
    <w:p>
      <w:pPr>
        <w:pStyle w:val="661"/>
        <w:spacing w:before="120" w:after="120"/>
        <w:rPr>
          <w:b/>
          <w:sz w:val="28"/>
        </w:rPr>
      </w:pPr>
      <w:r>
        <w:rPr>
          <w:b/>
          <w:sz w:val="28"/>
        </w:rPr>
        <w:t xml:space="preserve">11. ЮРИДИЧЕСКИЕ АДРЕСА СТОРОН И ПЛАТЕЖНЫЕ РЕКВИЗИТЫ</w:t>
      </w:r>
      <w:r>
        <w:rPr>
          <w:b/>
          <w:sz w:val="28"/>
        </w:rPr>
      </w:r>
    </w:p>
    <w:tbl>
      <w:tblPr>
        <w:tblW w:w="10173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3"/>
        <w:gridCol w:w="4819"/>
      </w:tblGrid>
      <w:tr>
        <w:trPr>
          <w:trHeight w:val="142"/>
        </w:trPr>
        <w:tblPrEx/>
        <w:tc>
          <w:tcPr>
            <w:tcW w:w="5353" w:type="dxa"/>
            <w:noWrap w:val="false"/>
            <w:textDirection w:val="lrTb"/>
          </w:tcPr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spacing w:before="0" w:after="120"/>
              <w:rPr>
                <w:sz w:val="28"/>
              </w:rPr>
            </w:pPr>
            <w:r>
              <w:rPr>
                <w:sz w:val="24"/>
              </w:rPr>
              <w:t xml:space="preserve">ИСПОЛНИТЕЛЬ</w:t>
            </w:r>
            <w:r>
              <w:rPr>
                <w:sz w:val="28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W w:w="4819" w:type="dxa"/>
            <w:noWrap w:val="false"/>
            <w:textDirection w:val="lrTb"/>
          </w:tcPr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spacing w:before="0" w:after="120"/>
              <w:rPr>
                <w:sz w:val="24"/>
              </w:rPr>
            </w:pPr>
            <w:r>
              <w:rPr>
                <w:sz w:val="24"/>
              </w:rPr>
              <w:t xml:space="preserve">ЗАКАЗЧИК</w:t>
            </w:r>
            <w:r>
              <w:rPr>
                <w:sz w:val="24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b/>
                <w:sz w:val="22"/>
              </w:rPr>
            </w:pPr>
            <w:r>
              <w:rPr>
                <w:rFonts w:eastAsia="Lucida Sans Unicode"/>
                <w:sz w:val="22"/>
                <w:szCs w:val="24"/>
                <w:lang w:eastAsia="ar-SA"/>
              </w:rPr>
              <w:t xml:space="preserve">Федеральное государственное бюджетное научно-исследовательское учреждение “Российский институт истории искусств”</w:t>
            </w:r>
            <w:r>
              <w:rPr>
                <w:b/>
                <w:sz w:val="22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sz w:val="22"/>
                <w:highlight w:val="yellow"/>
              </w:rPr>
            </w:pPr>
            <w:r>
              <w:rPr>
                <w:sz w:val="22"/>
                <w:highlight w:val="yellow"/>
              </w:rPr>
            </w:r>
            <w:r>
              <w:rPr>
                <w:sz w:val="22"/>
                <w:highlight w:val="yellow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АДРЕС: 190000 Санкт-Петербург, Исаакиевская пл., д.5 </w:t>
            </w:r>
            <w:r>
              <w:rPr>
                <w:sz w:val="22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b/>
                <w:sz w:val="22"/>
              </w:rPr>
            </w:pPr>
            <w:r>
              <w:rPr>
                <w:sz w:val="22"/>
              </w:rPr>
              <w:t xml:space="preserve">ТЕЛ.: 8 (812) 315-38-29</w:t>
            </w:r>
            <w:r>
              <w:rPr>
                <w:b/>
                <w:sz w:val="22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ИНН: 7812005693</w:t>
            </w:r>
            <w:r>
              <w:rPr>
                <w:sz w:val="22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КПП: 783801001,</w:t>
            </w:r>
            <w:r>
              <w:rPr>
                <w:sz w:val="22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р/с 03214643000000013225</w:t>
            </w:r>
            <w:r>
              <w:rPr>
                <w:sz w:val="22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в ОКЦ № 1 ВВ ГУ Банка России//УФК по Нижегородской   области, г. Нижний Новгород</w:t>
            </w:r>
            <w:r>
              <w:rPr>
                <w:sz w:val="22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БИК: 012202102</w:t>
            </w:r>
            <w:r>
              <w:rPr>
                <w:sz w:val="22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b/>
                <w:sz w:val="22"/>
              </w:rPr>
            </w:pPr>
            <w:r>
              <w:rPr>
                <w:sz w:val="22"/>
              </w:rPr>
              <w:t xml:space="preserve">40102810745370000024</w:t>
            </w:r>
            <w:r>
              <w:rPr>
                <w:b/>
                <w:sz w:val="22"/>
              </w:rPr>
            </w:r>
          </w:p>
        </w:tc>
      </w:tr>
      <w:tr>
        <w:trPr>
          <w:trHeight w:val="737"/>
        </w:trPr>
        <w:tblPrEx/>
        <w:tc>
          <w:tcPr>
            <w:tcW w:w="5353" w:type="dxa"/>
            <w:noWrap w:val="false"/>
            <w:textDirection w:val="lrTb"/>
          </w:tcPr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ИСПОЛНИТЕЛЬ</w:t>
            </w:r>
            <w:r>
              <w:rPr>
                <w:sz w:val="24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b/>
                <w:sz w:val="24"/>
              </w:rPr>
            </w:pPr>
            <w:bookmarkStart w:id="3" w:name="Полоса"/>
            <w:bookmarkEnd w:id="3"/>
            <w:r>
              <w:rPr>
                <w:b/>
                <w:sz w:val="24"/>
              </w:rPr>
              <w:t xml:space="preserve">__________________________________________</w:t>
            </w:r>
            <w:r>
              <w:rPr>
                <w:b/>
                <w:sz w:val="24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/                       </w:t>
            </w:r>
            <w:bookmarkStart w:id="4" w:name="МП"/>
            <w:bookmarkEnd w:id="4"/>
            <w:r>
              <w:rPr>
                <w:sz w:val="24"/>
              </w:rPr>
              <w:t xml:space="preserve">М.П.</w:t>
            </w:r>
            <w:r>
              <w:rPr>
                <w:b/>
                <w:sz w:val="24"/>
              </w:rPr>
            </w:r>
          </w:p>
        </w:tc>
        <w:tc>
          <w:tcPr>
            <w:tcW w:w="4819" w:type="dxa"/>
            <w:noWrap w:val="false"/>
            <w:textDirection w:val="lrTb"/>
          </w:tcPr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ЗАКАЗЧИК</w:t>
            </w:r>
            <w:r>
              <w:rPr>
                <w:sz w:val="24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661"/>
              <w:widowControl w:val="off"/>
              <w:tabs>
                <w:tab w:val="left" w:pos="0" w:leader="none"/>
                <w:tab w:val="left" w:pos="567" w:leader="none"/>
                <w:tab w:val="clear" w:pos="709" w:leader="none"/>
                <w:tab w:val="left" w:pos="127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______________________________________</w:t>
            </w:r>
            <w:r>
              <w:rPr>
                <w:sz w:val="24"/>
              </w:rPr>
            </w:r>
          </w:p>
          <w:p>
            <w:pPr>
              <w:pStyle w:val="661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/М.М. Юрьева/                        М.П.</w:t>
            </w:r>
            <w:r>
              <w:rPr>
                <w:sz w:val="24"/>
              </w:rPr>
            </w:r>
          </w:p>
        </w:tc>
      </w:tr>
    </w:tbl>
    <w:p>
      <w:pPr>
        <w:pStyle w:val="661"/>
        <w:tabs>
          <w:tab w:val="left" w:pos="0" w:leader="none"/>
          <w:tab w:val="left" w:pos="567" w:leader="none"/>
          <w:tab w:val="clear" w:pos="709" w:leader="none"/>
          <w:tab w:val="left" w:pos="1276" w:leader="none"/>
        </w:tabs>
        <w:spacing w:before="0" w:after="18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61"/>
        <w:tabs>
          <w:tab w:val="left" w:pos="0" w:leader="none"/>
          <w:tab w:val="left" w:pos="567" w:leader="none"/>
          <w:tab w:val="clear" w:pos="709" w:leader="none"/>
          <w:tab w:val="left" w:pos="1276" w:leader="none"/>
        </w:tabs>
        <w:spacing w:before="0" w:after="18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default" r:id="rId9"/>
      <w:footnotePr/>
      <w:endnotePr/>
      <w:type w:val="nextPage"/>
      <w:pgSz w:w="11906" w:h="16838" w:orient="portrait"/>
      <w:pgMar w:top="709" w:right="851" w:bottom="426" w:left="1134" w:header="0" w:footer="153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ucida Sans Unicode">
    <w:panose1 w:val="020B0602030504020204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Wingdings">
    <w:panose1 w:val="05000000000000000000"/>
  </w:font>
  <w:font w:name="Lucida Sans">
    <w:panose1 w:val="020B0602030504020204"/>
  </w:font>
  <w:font w:name="Liberation Sans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4"/>
      <w:tabs>
        <w:tab w:val="clear" w:pos="4677" w:leader="none"/>
        <w:tab w:val="clear" w:pos="9355" w:leader="none"/>
      </w:tabs>
    </w:pPr>
  </w:p>
  <w:p>
    <w:pPr>
      <w:pStyle w:val="734"/>
      <w:tabs>
        <w:tab w:val="clear" w:pos="4677" w:leader="none"/>
        <w:tab w:val="clear" w:pos="9355" w:leader="none"/>
      </w:tabs>
      <w:rPr>
        <w:sz w:val="18"/>
        <w:szCs w:val="18"/>
        <w:lang w:val="ru-RU"/>
      </w:rPr>
    </w:pPr>
    <w:r>
      <w:rPr>
        <w:sz w:val="18"/>
        <w:szCs w:val="18"/>
      </w:rPr>
      <w:tab/>
    </w:r>
    <w:r>
      <w:rPr>
        <w:sz w:val="18"/>
        <w:szCs w:val="18"/>
        <w:lang w:val="ru-RU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pStyle w:val="730"/>
      <w:isLgl w:val="false"/>
      <w:suff w:val="tab"/>
      <w:lvlText w:val="%1."/>
      <w:lvlJc w:val="left"/>
      <w:pPr>
        <w:tabs>
          <w:tab w:val="num" w:pos="720" w:leader="none"/>
        </w:tabs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tabs>
          <w:tab w:val="num" w:pos="3811" w:leader="none"/>
        </w:tabs>
        <w:ind w:left="3811" w:hanging="550"/>
      </w:p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1440" w:leader="none"/>
        </w:tabs>
        <w:ind w:left="1080" w:hanging="360"/>
      </w:pPr>
    </w:lvl>
    <w:lvl w:ilvl="3">
      <w:start w:val="1"/>
      <w:numFmt w:val="bullet"/>
      <w:isLgl w:val="false"/>
      <w:suff w:val="tab"/>
      <w:lvlText w:val=""/>
      <w:lvlJc w:val="left"/>
      <w:pPr>
        <w:tabs>
          <w:tab w:val="num" w:pos="1440" w:leader="none"/>
        </w:tabs>
        <w:ind w:left="144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"/>
      <w:lvlJc w:val="left"/>
      <w:pPr>
        <w:tabs>
          <w:tab w:val="num" w:pos="1800" w:leader="none"/>
        </w:tabs>
        <w:ind w:left="1800" w:hanging="360"/>
      </w:pPr>
      <w:rPr>
        <w:rFonts w:hint="default" w:ascii="Symbol" w:hAnsi="Symbol" w:cs="Symbol"/>
      </w:rPr>
    </w:lvl>
    <w:lvl w:ilvl="5">
      <w:start w:val="1"/>
      <w:numFmt w:val="bullet"/>
      <w:isLgl w:val="false"/>
      <w:suff w:val="tab"/>
      <w:lvlText w:val=""/>
      <w:lvlJc w:val="left"/>
      <w:pPr>
        <w:tabs>
          <w:tab w:val="num" w:pos="2160" w:leader="none"/>
        </w:tabs>
        <w:ind w:left="216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"/>
      <w:lvlJc w:val="left"/>
      <w:pPr>
        <w:tabs>
          <w:tab w:val="num" w:pos="2520" w:leader="none"/>
        </w:tabs>
        <w:ind w:left="2520" w:hanging="360"/>
      </w:pPr>
      <w:rPr>
        <w:rFonts w:hint="default" w:ascii="Wingdings" w:hAnsi="Wingdings" w:cs="Wingdings"/>
      </w:rPr>
    </w:lvl>
    <w:lvl w:ilvl="7">
      <w:start w:val="1"/>
      <w:numFmt w:val="bullet"/>
      <w:isLgl w:val="false"/>
      <w:suff w:val="tab"/>
      <w:lvlText w:val=""/>
      <w:lvlJc w:val="left"/>
      <w:pPr>
        <w:tabs>
          <w:tab w:val="num" w:pos="2880" w:leader="none"/>
        </w:tabs>
        <w:ind w:left="2880" w:hanging="360"/>
      </w:pPr>
      <w:rPr>
        <w:rFonts w:hint="default" w:ascii="Symbol" w:hAnsi="Symbol" w:cs="Symbol"/>
      </w:rPr>
    </w:lvl>
    <w:lvl w:ilvl="8">
      <w:start w:val="1"/>
      <w:numFmt w:val="bullet"/>
      <w:isLgl w:val="false"/>
      <w:suff w:val="tab"/>
      <w:lvlText w:val=""/>
      <w:lvlJc w:val="left"/>
      <w:pPr>
        <w:tabs>
          <w:tab w:val="num" w:pos="3240" w:leader="none"/>
        </w:tabs>
        <w:ind w:left="3240" w:hanging="360"/>
      </w:pPr>
      <w:rPr>
        <w:rFonts w:hint="default" w:ascii="Symbol" w:hAnsi="Symbol" w:cs="Symbol"/>
      </w:r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tabs>
          <w:tab w:val="num" w:pos="0" w:leader="none"/>
        </w:tabs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tabs>
          <w:tab w:val="num" w:pos="0" w:leader="none"/>
        </w:tabs>
        <w:ind w:left="72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  <w:ind w:left="6391" w:hanging="720"/>
      </w:pPr>
      <w:rPr>
        <w:b/>
        <w:sz w:val="22"/>
      </w:rPr>
    </w:lvl>
    <w:lvl w:ilvl="3">
      <w:start w:val="1"/>
      <w:numFmt w:val="decimal"/>
      <w:isLgl w:val="false"/>
      <w:suff w:val="tab"/>
      <w:lvlText w:val="%1.%2.%3.%4"/>
      <w:lvlJc w:val="left"/>
      <w:pPr>
        <w:tabs>
          <w:tab w:val="num" w:pos="0" w:leader="none"/>
        </w:tabs>
        <w:ind w:left="180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tabs>
          <w:tab w:val="num" w:pos="0" w:leader="none"/>
        </w:tabs>
        <w:ind w:left="252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tabs>
          <w:tab w:val="num" w:pos="0" w:leader="none"/>
        </w:tabs>
        <w:ind w:left="28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tabs>
          <w:tab w:val="num" w:pos="0" w:leader="none"/>
        </w:tabs>
        <w:ind w:left="360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tabs>
          <w:tab w:val="num" w:pos="0" w:leader="none"/>
        </w:tabs>
        <w:ind w:left="396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tabs>
          <w:tab w:val="num" w:pos="0" w:leader="none"/>
        </w:tabs>
        <w:ind w:left="4680" w:hanging="1800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tabs>
          <w:tab w:val="num" w:pos="0" w:leader="none"/>
        </w:tabs>
        <w:ind w:left="360" w:hanging="360"/>
      </w:pPr>
    </w:lvl>
    <w:lvl w:ilvl="1">
      <w:start w:val="1"/>
      <w:numFmt w:val="decimal"/>
      <w:isLgl w:val="false"/>
      <w:suff w:val="tab"/>
      <w:lvlText w:val="5.%2"/>
      <w:lvlJc w:val="left"/>
      <w:pPr>
        <w:tabs>
          <w:tab w:val="num" w:pos="0" w:leader="none"/>
        </w:tabs>
        <w:ind w:left="360" w:hanging="360"/>
      </w:pPr>
      <w:rPr>
        <w:b/>
        <w:sz w:val="22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tabs>
          <w:tab w:val="num" w:pos="0" w:leader="none"/>
        </w:tabs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tabs>
          <w:tab w:val="num" w:pos="0" w:leader="none"/>
        </w:tabs>
        <w:ind w:left="10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tabs>
          <w:tab w:val="num" w:pos="0" w:leader="none"/>
        </w:tabs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tabs>
          <w:tab w:val="num" w:pos="0" w:leader="none"/>
        </w:tabs>
        <w:ind w:left="144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tabs>
          <w:tab w:val="num" w:pos="0" w:leader="none"/>
        </w:tabs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tabs>
          <w:tab w:val="num" w:pos="0" w:leader="none"/>
        </w:tabs>
        <w:ind w:left="1800" w:hanging="1800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tabs>
          <w:tab w:val="num" w:pos="0" w:leader="none"/>
        </w:tabs>
        <w:ind w:left="480" w:hanging="480"/>
      </w:pPr>
    </w:lvl>
    <w:lvl w:ilvl="1">
      <w:start w:val="2"/>
      <w:numFmt w:val="decimal"/>
      <w:isLgl w:val="false"/>
      <w:suff w:val="tab"/>
      <w:lvlText w:val="%1.%2"/>
      <w:lvlJc w:val="left"/>
      <w:pPr>
        <w:tabs>
          <w:tab w:val="num" w:pos="0" w:leader="none"/>
        </w:tabs>
        <w:ind w:left="840" w:hanging="480"/>
      </w:pPr>
    </w:lvl>
    <w:lvl w:ilvl="2">
      <w:start w:val="2"/>
      <w:numFmt w:val="decimal"/>
      <w:isLgl w:val="false"/>
      <w:suff w:val="tab"/>
      <w:lvlText w:val="%1.%2.%3"/>
      <w:lvlJc w:val="left"/>
      <w:pPr>
        <w:tabs>
          <w:tab w:val="num" w:pos="0" w:leader="none"/>
        </w:tabs>
        <w:ind w:left="1440" w:hanging="720"/>
      </w:pPr>
      <w:rPr>
        <w:b/>
        <w:sz w:val="22"/>
      </w:rPr>
    </w:lvl>
    <w:lvl w:ilvl="3">
      <w:start w:val="1"/>
      <w:numFmt w:val="decimal"/>
      <w:isLgl w:val="false"/>
      <w:suff w:val="tab"/>
      <w:lvlText w:val="%1.%2.%3.%4"/>
      <w:lvlJc w:val="left"/>
      <w:pPr>
        <w:tabs>
          <w:tab w:val="num" w:pos="0" w:leader="none"/>
        </w:tabs>
        <w:ind w:left="180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tabs>
          <w:tab w:val="num" w:pos="0" w:leader="none"/>
        </w:tabs>
        <w:ind w:left="252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tabs>
          <w:tab w:val="num" w:pos="0" w:leader="none"/>
        </w:tabs>
        <w:ind w:left="28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tabs>
          <w:tab w:val="num" w:pos="0" w:leader="none"/>
        </w:tabs>
        <w:ind w:left="360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tabs>
          <w:tab w:val="num" w:pos="0" w:leader="none"/>
        </w:tabs>
        <w:ind w:left="396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tabs>
          <w:tab w:val="num" w:pos="0" w:leader="none"/>
        </w:tabs>
        <w:ind w:left="4680" w:hanging="1800"/>
      </w:pPr>
    </w:lvl>
  </w:abstractNum>
  <w:abstractNum w:abstractNumId="4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tabs>
          <w:tab w:val="num" w:pos="0" w:leader="none"/>
        </w:tabs>
        <w:ind w:left="360" w:hanging="360"/>
      </w:pPr>
    </w:lvl>
    <w:lvl w:ilvl="1">
      <w:start w:val="1"/>
      <w:numFmt w:val="decimal"/>
      <w:isLgl w:val="false"/>
      <w:suff w:val="tab"/>
      <w:lvlText w:val="8.%2"/>
      <w:lvlJc w:val="left"/>
      <w:pPr>
        <w:tabs>
          <w:tab w:val="num" w:pos="0" w:leader="none"/>
        </w:tabs>
        <w:ind w:left="700" w:hanging="360"/>
      </w:pPr>
      <w:rPr>
        <w:b/>
        <w:sz w:val="22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  <w:ind w:left="140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tabs>
          <w:tab w:val="num" w:pos="0" w:leader="none"/>
        </w:tabs>
        <w:ind w:left="174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tabs>
          <w:tab w:val="num" w:pos="0" w:leader="none"/>
        </w:tabs>
        <w:ind w:left="244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tabs>
          <w:tab w:val="num" w:pos="0" w:leader="none"/>
        </w:tabs>
        <w:ind w:left="27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tabs>
          <w:tab w:val="num" w:pos="0" w:leader="none"/>
        </w:tabs>
        <w:ind w:left="348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tabs>
          <w:tab w:val="num" w:pos="0" w:leader="none"/>
        </w:tabs>
        <w:ind w:left="382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tabs>
          <w:tab w:val="num" w:pos="0" w:leader="none"/>
        </w:tabs>
        <w:ind w:left="4520" w:hanging="1800"/>
      </w:pPr>
    </w:lvl>
  </w:abstractNum>
  <w:abstractNum w:abstractNumId="5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tabs>
          <w:tab w:val="num" w:pos="0" w:leader="none"/>
        </w:tabs>
        <w:ind w:left="360" w:hanging="360"/>
      </w:pPr>
    </w:lvl>
    <w:lvl w:ilvl="1">
      <w:start w:val="1"/>
      <w:numFmt w:val="decimal"/>
      <w:isLgl w:val="false"/>
      <w:suff w:val="tab"/>
      <w:lvlText w:val="7.%2"/>
      <w:lvlJc w:val="left"/>
      <w:pPr>
        <w:tabs>
          <w:tab w:val="num" w:pos="0" w:leader="none"/>
        </w:tabs>
        <w:ind w:left="360" w:hanging="360"/>
      </w:pPr>
      <w:rPr>
        <w:b/>
        <w:sz w:val="22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tabs>
          <w:tab w:val="num" w:pos="0" w:leader="none"/>
        </w:tabs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tabs>
          <w:tab w:val="num" w:pos="0" w:leader="none"/>
        </w:tabs>
        <w:ind w:left="10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tabs>
          <w:tab w:val="num" w:pos="0" w:leader="none"/>
        </w:tabs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tabs>
          <w:tab w:val="num" w:pos="0" w:leader="none"/>
        </w:tabs>
        <w:ind w:left="144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tabs>
          <w:tab w:val="num" w:pos="0" w:leader="none"/>
        </w:tabs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tabs>
          <w:tab w:val="num" w:pos="0" w:leader="none"/>
        </w:tabs>
        <w:ind w:left="1800" w:hanging="180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0" w:leader="none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0" w:leader="none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0" w:leader="none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tabs>
          <w:tab w:val="num" w:pos="0" w:leader="none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tabs>
          <w:tab w:val="num" w:pos="0" w:leader="none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0" w:leader="none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tabs>
          <w:tab w:val="num" w:pos="0" w:leader="none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tabs>
          <w:tab w:val="num" w:pos="0" w:leader="none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0" w:leader="none"/>
        </w:tabs>
        <w:ind w:left="6480" w:hanging="360"/>
      </w:pPr>
      <w:rPr>
        <w:rFonts w:hint="default" w:ascii="Wingdings" w:hAnsi="Wingdings" w:cs="Wingdings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tabs>
          <w:tab w:val="num" w:pos="0" w:leader="none"/>
        </w:tabs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tabs>
          <w:tab w:val="num" w:pos="0" w:leader="none"/>
        </w:tabs>
        <w:ind w:left="360" w:hanging="360"/>
      </w:pPr>
      <w:rPr>
        <w:b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tabs>
          <w:tab w:val="num" w:pos="0" w:leader="none"/>
        </w:tabs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tabs>
          <w:tab w:val="num" w:pos="0" w:leader="none"/>
        </w:tabs>
        <w:ind w:left="720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tabs>
          <w:tab w:val="num" w:pos="0" w:leader="none"/>
        </w:tabs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tabs>
          <w:tab w:val="num" w:pos="0" w:leader="none"/>
        </w:tabs>
        <w:ind w:left="1080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tabs>
          <w:tab w:val="num" w:pos="0" w:leader="none"/>
        </w:tabs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tabs>
          <w:tab w:val="num" w:pos="0" w:leader="none"/>
        </w:tabs>
        <w:ind w:left="1440" w:hanging="1440"/>
      </w:p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tabs>
          <w:tab w:val="num" w:pos="0" w:leader="none"/>
        </w:tabs>
        <w:ind w:left="360" w:hanging="360"/>
      </w:pPr>
      <w:rPr>
        <w:u w:val="single"/>
      </w:rPr>
    </w:lvl>
    <w:lvl w:ilvl="1">
      <w:start w:val="1"/>
      <w:numFmt w:val="decimal"/>
      <w:isLgl w:val="false"/>
      <w:suff w:val="tab"/>
      <w:lvlText w:val="%1.%2"/>
      <w:lvlJc w:val="left"/>
      <w:pPr>
        <w:tabs>
          <w:tab w:val="num" w:pos="0" w:leader="none"/>
        </w:tabs>
        <w:ind w:left="360" w:hanging="360"/>
      </w:pPr>
      <w:rPr>
        <w:b/>
        <w:u w:val="none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  <w:ind w:left="720" w:hanging="720"/>
      </w:pPr>
      <w:rPr>
        <w:u w:val="single"/>
      </w:rPr>
    </w:lvl>
    <w:lvl w:ilvl="3">
      <w:start w:val="1"/>
      <w:numFmt w:val="decimal"/>
      <w:isLgl w:val="false"/>
      <w:suff w:val="tab"/>
      <w:lvlText w:val="%1.%2.%3.%4"/>
      <w:lvlJc w:val="left"/>
      <w:pPr>
        <w:tabs>
          <w:tab w:val="num" w:pos="0" w:leader="none"/>
        </w:tabs>
        <w:ind w:left="720" w:hanging="720"/>
      </w:pPr>
      <w:rPr>
        <w:u w:val="single"/>
      </w:rPr>
    </w:lvl>
    <w:lvl w:ilvl="4">
      <w:start w:val="1"/>
      <w:numFmt w:val="decimal"/>
      <w:isLgl w:val="false"/>
      <w:suff w:val="tab"/>
      <w:lvlText w:val="%1.%2.%3.%4.%5"/>
      <w:lvlJc w:val="left"/>
      <w:pPr>
        <w:tabs>
          <w:tab w:val="num" w:pos="0" w:leader="none"/>
        </w:tabs>
        <w:ind w:left="720" w:hanging="720"/>
      </w:pPr>
      <w:rPr>
        <w:u w:val="single"/>
      </w:rPr>
    </w:lvl>
    <w:lvl w:ilvl="5">
      <w:start w:val="1"/>
      <w:numFmt w:val="decimal"/>
      <w:isLgl w:val="false"/>
      <w:suff w:val="tab"/>
      <w:lvlText w:val="%1.%2.%3.%4.%5.%6"/>
      <w:lvlJc w:val="left"/>
      <w:pPr>
        <w:tabs>
          <w:tab w:val="num" w:pos="0" w:leader="none"/>
        </w:tabs>
        <w:ind w:left="1080" w:hanging="1080"/>
      </w:pPr>
      <w:rPr>
        <w:u w:val="single"/>
      </w:rPr>
    </w:lvl>
    <w:lvl w:ilvl="6">
      <w:start w:val="1"/>
      <w:numFmt w:val="decimal"/>
      <w:isLgl w:val="false"/>
      <w:suff w:val="tab"/>
      <w:lvlText w:val="%1.%2.%3.%4.%5.%6.%7"/>
      <w:lvlJc w:val="left"/>
      <w:pPr>
        <w:tabs>
          <w:tab w:val="num" w:pos="0" w:leader="none"/>
        </w:tabs>
        <w:ind w:left="1080" w:hanging="1080"/>
      </w:pPr>
      <w:rPr>
        <w:u w:val="single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tabs>
          <w:tab w:val="num" w:pos="0" w:leader="none"/>
        </w:tabs>
        <w:ind w:left="1440" w:hanging="1440"/>
      </w:pPr>
      <w:rPr>
        <w:u w:val="single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tabs>
          <w:tab w:val="num" w:pos="0" w:leader="none"/>
        </w:tabs>
        <w:ind w:left="1440" w:hanging="1440"/>
      </w:pPr>
      <w:rPr>
        <w:u w:val="single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0" w:leader="none"/>
        </w:tabs>
        <w:ind w:left="360" w:hanging="360"/>
      </w:pPr>
      <w:rPr>
        <w:rFonts w:hint="default" w:ascii="Symbol" w:hAnsi="Symbol" w:cs="Symbol"/>
        <w:u w:val="none"/>
      </w:rPr>
    </w:lvl>
    <w:lvl w:ilvl="1">
      <w:start w:val="1"/>
      <w:numFmt w:val="decimal"/>
      <w:isLgl w:val="false"/>
      <w:suff w:val="tab"/>
      <w:lvlText w:val="%1.%2"/>
      <w:lvlJc w:val="left"/>
      <w:pPr>
        <w:tabs>
          <w:tab w:val="num" w:pos="0" w:leader="none"/>
        </w:tabs>
        <w:ind w:left="360" w:hanging="360"/>
      </w:pPr>
      <w:rPr>
        <w:b/>
        <w:u w:val="none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  <w:ind w:left="720" w:hanging="720"/>
      </w:pPr>
      <w:rPr>
        <w:u w:val="single"/>
      </w:rPr>
    </w:lvl>
    <w:lvl w:ilvl="3">
      <w:start w:val="1"/>
      <w:numFmt w:val="decimal"/>
      <w:isLgl w:val="false"/>
      <w:suff w:val="tab"/>
      <w:lvlText w:val="%1.%2.%3.%4"/>
      <w:lvlJc w:val="left"/>
      <w:pPr>
        <w:tabs>
          <w:tab w:val="num" w:pos="0" w:leader="none"/>
        </w:tabs>
        <w:ind w:left="720" w:hanging="720"/>
      </w:pPr>
      <w:rPr>
        <w:u w:val="single"/>
      </w:rPr>
    </w:lvl>
    <w:lvl w:ilvl="4">
      <w:start w:val="1"/>
      <w:numFmt w:val="decimal"/>
      <w:isLgl w:val="false"/>
      <w:suff w:val="tab"/>
      <w:lvlText w:val="%1.%2.%3.%4.%5"/>
      <w:lvlJc w:val="left"/>
      <w:pPr>
        <w:tabs>
          <w:tab w:val="num" w:pos="0" w:leader="none"/>
        </w:tabs>
        <w:ind w:left="720" w:hanging="720"/>
      </w:pPr>
      <w:rPr>
        <w:u w:val="single"/>
      </w:rPr>
    </w:lvl>
    <w:lvl w:ilvl="5">
      <w:start w:val="1"/>
      <w:numFmt w:val="decimal"/>
      <w:isLgl w:val="false"/>
      <w:suff w:val="tab"/>
      <w:lvlText w:val="%1.%2.%3.%4.%5.%6"/>
      <w:lvlJc w:val="left"/>
      <w:pPr>
        <w:tabs>
          <w:tab w:val="num" w:pos="0" w:leader="none"/>
        </w:tabs>
        <w:ind w:left="1080" w:hanging="1080"/>
      </w:pPr>
      <w:rPr>
        <w:u w:val="single"/>
      </w:rPr>
    </w:lvl>
    <w:lvl w:ilvl="6">
      <w:start w:val="1"/>
      <w:numFmt w:val="decimal"/>
      <w:isLgl w:val="false"/>
      <w:suff w:val="tab"/>
      <w:lvlText w:val="%1.%2.%3.%4.%5.%6.%7"/>
      <w:lvlJc w:val="left"/>
      <w:pPr>
        <w:tabs>
          <w:tab w:val="num" w:pos="0" w:leader="none"/>
        </w:tabs>
        <w:ind w:left="1080" w:hanging="1080"/>
      </w:pPr>
      <w:rPr>
        <w:u w:val="single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tabs>
          <w:tab w:val="num" w:pos="0" w:leader="none"/>
        </w:tabs>
        <w:ind w:left="1440" w:hanging="1440"/>
      </w:pPr>
      <w:rPr>
        <w:u w:val="single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tabs>
          <w:tab w:val="num" w:pos="0" w:leader="none"/>
        </w:tabs>
        <w:ind w:left="1440" w:hanging="1440"/>
      </w:pPr>
      <w:rPr>
        <w:u w:val="single"/>
      </w:rPr>
    </w:lvl>
  </w:abstractNum>
  <w:abstractNum w:abstractNumId="1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tabs>
          <w:tab w:val="num" w:pos="0" w:leader="none"/>
        </w:tabs>
        <w:ind w:left="360" w:hanging="360"/>
      </w:pPr>
    </w:lvl>
    <w:lvl w:ilvl="1">
      <w:start w:val="1"/>
      <w:numFmt w:val="decimal"/>
      <w:isLgl w:val="false"/>
      <w:suff w:val="tab"/>
      <w:lvlText w:val="6.%2"/>
      <w:lvlJc w:val="left"/>
      <w:pPr>
        <w:tabs>
          <w:tab w:val="num" w:pos="0" w:leader="none"/>
        </w:tabs>
        <w:ind w:left="360" w:hanging="360"/>
      </w:pPr>
      <w:rPr>
        <w:b/>
        <w:sz w:val="22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tabs>
          <w:tab w:val="num" w:pos="0" w:leader="none"/>
        </w:tabs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tabs>
          <w:tab w:val="num" w:pos="0" w:leader="none"/>
        </w:tabs>
        <w:ind w:left="10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tabs>
          <w:tab w:val="num" w:pos="0" w:leader="none"/>
        </w:tabs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tabs>
          <w:tab w:val="num" w:pos="0" w:leader="none"/>
        </w:tabs>
        <w:ind w:left="144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tabs>
          <w:tab w:val="num" w:pos="0" w:leader="none"/>
        </w:tabs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tabs>
          <w:tab w:val="num" w:pos="0" w:leader="none"/>
        </w:tabs>
        <w:ind w:left="1800" w:hanging="1800"/>
      </w:p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tabs>
          <w:tab w:val="num" w:pos="0" w:leader="none"/>
        </w:tabs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tabs>
          <w:tab w:val="num" w:pos="0" w:leader="none"/>
        </w:tabs>
        <w:ind w:left="360" w:hanging="360"/>
      </w:pPr>
      <w:rPr>
        <w:b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tabs>
          <w:tab w:val="num" w:pos="0" w:leader="none"/>
        </w:tabs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tabs>
          <w:tab w:val="num" w:pos="0" w:leader="none"/>
        </w:tabs>
        <w:ind w:left="720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tabs>
          <w:tab w:val="num" w:pos="0" w:leader="none"/>
        </w:tabs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tabs>
          <w:tab w:val="num" w:pos="0" w:leader="none"/>
        </w:tabs>
        <w:ind w:left="1080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tabs>
          <w:tab w:val="num" w:pos="0" w:leader="none"/>
        </w:tabs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tabs>
          <w:tab w:val="num" w:pos="0" w:leader="none"/>
        </w:tabs>
        <w:ind w:left="1440" w:hanging="1440"/>
      </w:pPr>
    </w:lvl>
  </w:abstractNum>
  <w:abstractNum w:abstractNumId="1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  <w:ind w:left="0" w:firstLine="0"/>
      </w:pPr>
    </w:lvl>
    <w:lvl w:ilvl="1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  <w:ind w:left="0" w:firstLine="0"/>
      </w:pPr>
    </w:lvl>
    <w:lvl w:ilvl="2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  <w:ind w:left="0" w:firstLine="0"/>
      </w:pPr>
    </w:lvl>
    <w:lvl w:ilvl="3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  <w:ind w:left="0" w:firstLine="0"/>
      </w:pPr>
    </w:lvl>
    <w:lvl w:ilvl="4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  <w:ind w:left="0" w:firstLine="0"/>
      </w:pPr>
    </w:lvl>
    <w:lvl w:ilvl="5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  <w:ind w:left="0" w:firstLine="0"/>
      </w:pPr>
    </w:lvl>
    <w:lvl w:ilvl="6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  <w:ind w:left="0" w:firstLine="0"/>
      </w:pPr>
    </w:lvl>
    <w:lvl w:ilvl="7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  <w:ind w:left="0" w:firstLine="0"/>
      </w:pPr>
    </w:lvl>
    <w:lvl w:ilvl="8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1"/>
    <w:lvlOverride w:ilvl="1">
      <w:startOverride w:val="1"/>
    </w:lvlOverride>
  </w:num>
  <w:num w:numId="15">
    <w:abstractNumId w:val="11"/>
  </w:num>
  <w:num w:numId="16">
    <w:abstractNumId w:val="1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4">
    <w:name w:val="Hyperlink"/>
    <w:uiPriority w:val="99"/>
    <w:unhideWhenUsed/>
    <w:rPr>
      <w:color w:val="0000ff" w:themeColor="hyperlink"/>
      <w:u w:val="single"/>
    </w:rPr>
  </w:style>
  <w:style w:type="character" w:styleId="177">
    <w:name w:val="footnote reference"/>
    <w:basedOn w:val="694"/>
    <w:uiPriority w:val="99"/>
    <w:unhideWhenUsed/>
    <w:rPr>
      <w:vertAlign w:val="superscript"/>
    </w:rPr>
  </w:style>
  <w:style w:type="character" w:styleId="180">
    <w:name w:val="endnote reference"/>
    <w:basedOn w:val="694"/>
    <w:uiPriority w:val="99"/>
    <w:semiHidden/>
    <w:unhideWhenUsed/>
    <w:rPr>
      <w:vertAlign w:val="superscript"/>
    </w:rPr>
  </w:style>
  <w:style w:type="paragraph" w:styleId="661" w:default="1">
    <w:name w:val="Normal"/>
    <w:qFormat/>
    <w:pPr>
      <w:widowControl/>
      <w:spacing w:before="0" w:after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662">
    <w:name w:val="Heading 1"/>
    <w:basedOn w:val="661"/>
    <w:next w:val="661"/>
    <w:uiPriority w:val="9"/>
    <w:qFormat/>
    <w:pPr>
      <w:keepNext/>
      <w:keepLines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63">
    <w:name w:val="Heading 2"/>
    <w:basedOn w:val="661"/>
    <w:next w:val="661"/>
    <w:uiPriority w:val="9"/>
    <w:unhideWhenUsed/>
    <w:qFormat/>
    <w:pPr>
      <w:keepNext/>
      <w:keepLines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64">
    <w:name w:val="Heading 3"/>
    <w:basedOn w:val="661"/>
    <w:next w:val="661"/>
    <w:uiPriority w:val="9"/>
    <w:unhideWhenUsed/>
    <w:qFormat/>
    <w:pPr>
      <w:keepNext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65">
    <w:name w:val="Heading 4"/>
    <w:basedOn w:val="661"/>
    <w:next w:val="661"/>
    <w:uiPriority w:val="9"/>
    <w:unhideWhenUsed/>
    <w:qFormat/>
    <w:pPr>
      <w:keepNext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6">
    <w:name w:val="Heading 5"/>
    <w:basedOn w:val="661"/>
    <w:next w:val="661"/>
    <w:uiPriority w:val="9"/>
    <w:unhideWhenUsed/>
    <w:qFormat/>
    <w:pPr>
      <w:keepNext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661"/>
    <w:next w:val="661"/>
    <w:uiPriority w:val="9"/>
    <w:unhideWhenUsed/>
    <w:qFormat/>
    <w:pPr>
      <w:keepNext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8">
    <w:name w:val="Heading 7"/>
    <w:basedOn w:val="661"/>
    <w:next w:val="661"/>
    <w:uiPriority w:val="9"/>
    <w:unhideWhenUsed/>
    <w:qFormat/>
    <w:pPr>
      <w:keepNext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661"/>
    <w:next w:val="661"/>
    <w:uiPriority w:val="9"/>
    <w:unhideWhenUsed/>
    <w:qFormat/>
    <w:pPr>
      <w:keepNext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0">
    <w:name w:val="Heading 9"/>
    <w:basedOn w:val="661"/>
    <w:next w:val="661"/>
    <w:uiPriority w:val="9"/>
    <w:unhideWhenUsed/>
    <w:qFormat/>
    <w:pPr>
      <w:keepNext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1 Char"/>
    <w:basedOn w:val="694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672">
    <w:name w:val="Heading 2 Char"/>
    <w:basedOn w:val="694"/>
    <w:uiPriority w:val="9"/>
    <w:qFormat/>
    <w:rPr>
      <w:rFonts w:ascii="Liberation Sans" w:hAnsi="Liberation Sans" w:eastAsia="Liberation Sans" w:cs="Liberation Sans"/>
      <w:sz w:val="34"/>
    </w:rPr>
  </w:style>
  <w:style w:type="character" w:styleId="673">
    <w:name w:val="Heading 3 Char"/>
    <w:basedOn w:val="694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674">
    <w:name w:val="Heading 4 Char"/>
    <w:basedOn w:val="694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5">
    <w:name w:val="Heading 5 Char"/>
    <w:basedOn w:val="694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6">
    <w:name w:val="Heading 6 Char"/>
    <w:basedOn w:val="694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7">
    <w:name w:val="Heading 7 Char"/>
    <w:basedOn w:val="694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8">
    <w:name w:val="Heading 8 Char"/>
    <w:basedOn w:val="694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9">
    <w:name w:val="Heading 9 Char"/>
    <w:basedOn w:val="694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0">
    <w:name w:val="Title Char"/>
    <w:basedOn w:val="694"/>
    <w:uiPriority w:val="10"/>
    <w:qFormat/>
    <w:rPr>
      <w:sz w:val="48"/>
      <w:szCs w:val="48"/>
    </w:rPr>
  </w:style>
  <w:style w:type="character" w:styleId="681">
    <w:name w:val="Subtitle Char"/>
    <w:basedOn w:val="694"/>
    <w:uiPriority w:val="11"/>
    <w:qFormat/>
    <w:rPr>
      <w:sz w:val="24"/>
      <w:szCs w:val="24"/>
    </w:rPr>
  </w:style>
  <w:style w:type="character" w:styleId="682">
    <w:name w:val="Quote Char"/>
    <w:uiPriority w:val="29"/>
    <w:qFormat/>
    <w:rPr>
      <w:i/>
    </w:rPr>
  </w:style>
  <w:style w:type="character" w:styleId="683">
    <w:name w:val="Intense Quote Char"/>
    <w:uiPriority w:val="30"/>
    <w:qFormat/>
    <w:rPr>
      <w:i/>
    </w:rPr>
  </w:style>
  <w:style w:type="character" w:styleId="684">
    <w:name w:val="Header Char"/>
    <w:basedOn w:val="694"/>
    <w:uiPriority w:val="99"/>
    <w:qFormat/>
  </w:style>
  <w:style w:type="character" w:styleId="685">
    <w:name w:val="Footer Char"/>
    <w:basedOn w:val="694"/>
    <w:uiPriority w:val="99"/>
    <w:qFormat/>
  </w:style>
  <w:style w:type="character" w:styleId="686">
    <w:name w:val="Caption Char"/>
    <w:basedOn w:val="694"/>
    <w:uiPriority w:val="35"/>
    <w:qFormat/>
    <w:rPr>
      <w:b/>
      <w:bCs/>
      <w:color w:val="4f81bd" w:themeColor="accent1"/>
      <w:sz w:val="18"/>
      <w:szCs w:val="18"/>
    </w:rPr>
  </w:style>
  <w:style w:type="character" w:styleId="687">
    <w:name w:val="Интернет-ссылка"/>
    <w:uiPriority w:val="99"/>
    <w:unhideWhenUsed/>
    <w:rPr>
      <w:color w:val="0000ff" w:themeColor="hyperlink"/>
      <w:u w:val="single"/>
    </w:rPr>
  </w:style>
  <w:style w:type="character" w:styleId="688">
    <w:name w:val="Footnote Text Char"/>
    <w:uiPriority w:val="99"/>
    <w:qFormat/>
    <w:rPr>
      <w:sz w:val="18"/>
    </w:rPr>
  </w:style>
  <w:style w:type="character" w:styleId="689">
    <w:name w:val="Привязка сноски"/>
    <w:rPr>
      <w:vertAlign w:val="superscript"/>
    </w:rPr>
  </w:style>
  <w:style w:type="character" w:styleId="690">
    <w:name w:val="Footnote Characters"/>
    <w:basedOn w:val="694"/>
    <w:uiPriority w:val="99"/>
    <w:unhideWhenUsed/>
    <w:qFormat/>
    <w:rPr>
      <w:vertAlign w:val="superscript"/>
    </w:rPr>
  </w:style>
  <w:style w:type="character" w:styleId="691">
    <w:name w:val="Endnote Text Char"/>
    <w:uiPriority w:val="99"/>
    <w:qFormat/>
    <w:rPr>
      <w:sz w:val="20"/>
    </w:rPr>
  </w:style>
  <w:style w:type="character" w:styleId="692">
    <w:name w:val="Привязка концевой сноски"/>
    <w:rPr>
      <w:vertAlign w:val="superscript"/>
    </w:rPr>
  </w:style>
  <w:style w:type="character" w:styleId="693">
    <w:name w:val="Endnote Characters"/>
    <w:basedOn w:val="694"/>
    <w:uiPriority w:val="99"/>
    <w:semiHidden/>
    <w:unhideWhenUsed/>
    <w:qFormat/>
    <w:rPr>
      <w:vertAlign w:val="superscript"/>
    </w:rPr>
  </w:style>
  <w:style w:type="character" w:styleId="694" w:default="1">
    <w:name w:val="Default Paragraph Font"/>
    <w:uiPriority w:val="1"/>
    <w:semiHidden/>
    <w:unhideWhenUsed/>
    <w:qFormat/>
  </w:style>
  <w:style w:type="character" w:styleId="695" w:customStyle="1">
    <w:name w:val="Название Знак"/>
    <w:qFormat/>
    <w:rPr>
      <w:rFonts w:ascii="Times New Roman" w:hAnsi="Times New Roman" w:eastAsia="Times New Roman" w:cs="Times New Roman"/>
      <w:sz w:val="32"/>
      <w:szCs w:val="20"/>
      <w:lang w:eastAsia="ru-RU"/>
    </w:rPr>
  </w:style>
  <w:style w:type="character" w:styleId="696" w:customStyle="1">
    <w:name w:val="Основной текст Знак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697" w:customStyle="1">
    <w:name w:val="Основной текст 2 Знак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698" w:customStyle="1">
    <w:name w:val="Основной текст 3 Знак"/>
    <w:qFormat/>
    <w:rPr>
      <w:rFonts w:ascii="Times New Roman" w:hAnsi="Times New Roman" w:eastAsia="Times New Roman" w:cs="Times New Roman"/>
      <w:b/>
      <w:bCs/>
      <w:sz w:val="24"/>
      <w:szCs w:val="20"/>
      <w:lang w:eastAsia="ru-RU"/>
    </w:rPr>
  </w:style>
  <w:style w:type="character" w:styleId="699">
    <w:name w:val="Strong"/>
    <w:qFormat/>
    <w:rPr>
      <w:b/>
      <w:bCs/>
    </w:rPr>
  </w:style>
  <w:style w:type="character" w:styleId="700" w:customStyle="1">
    <w:name w:val="Нижний колонтитул Знак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01" w:customStyle="1">
    <w:name w:val="Текст выноски Знак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702" w:customStyle="1">
    <w:name w:val="Верхний колонтитул Знак"/>
    <w:uiPriority w:val="99"/>
    <w:qFormat/>
    <w:rPr>
      <w:rFonts w:ascii="Times New Roman" w:hAnsi="Times New Roman" w:eastAsia="Times New Roman"/>
    </w:rPr>
  </w:style>
  <w:style w:type="character" w:styleId="703" w:customStyle="1">
    <w:name w:val="Основной текст с отступом Знак"/>
    <w:uiPriority w:val="99"/>
    <w:semiHidden/>
    <w:qFormat/>
    <w:rPr>
      <w:rFonts w:ascii="Times New Roman" w:hAnsi="Times New Roman" w:eastAsia="Times New Roman"/>
    </w:rPr>
  </w:style>
  <w:style w:type="paragraph" w:styleId="704">
    <w:name w:val="Заголовок"/>
    <w:basedOn w:val="661"/>
    <w:next w:val="705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705">
    <w:name w:val="Body Text"/>
    <w:basedOn w:val="661"/>
    <w:pPr>
      <w:jc w:val="both"/>
    </w:pPr>
    <w:rPr>
      <w:sz w:val="24"/>
    </w:rPr>
  </w:style>
  <w:style w:type="paragraph" w:styleId="706">
    <w:name w:val="List"/>
    <w:basedOn w:val="705"/>
    <w:rPr>
      <w:rFonts w:cs="Lucida Sans"/>
    </w:rPr>
  </w:style>
  <w:style w:type="paragraph" w:styleId="707">
    <w:name w:val="Caption"/>
    <w:basedOn w:val="661"/>
    <w:next w:val="6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708">
    <w:name w:val="Указатель"/>
    <w:basedOn w:val="661"/>
    <w:qFormat/>
    <w:pPr>
      <w:suppressLineNumbers/>
    </w:pPr>
    <w:rPr>
      <w:rFonts w:cs="Lucida Sans"/>
    </w:rPr>
  </w:style>
  <w:style w:type="paragraph" w:styleId="709">
    <w:name w:val="No Spacing"/>
    <w:uiPriority w:val="1"/>
    <w:qFormat/>
    <w:pPr>
      <w:widowControl/>
      <w:spacing w:before="0" w:after="0" w:line="240" w:lineRule="auto"/>
      <w:jc w:val="left"/>
    </w:pPr>
    <w:rPr>
      <w:rFonts w:ascii="Calibri" w:hAnsi="Calibri" w:eastAsia="Calibri" w:cs="Times New Roman"/>
      <w:color w:val="auto"/>
      <w:sz w:val="20"/>
      <w:szCs w:val="20"/>
      <w:lang w:val="ru-RU" w:eastAsia="ru-RU" w:bidi="ar-SA"/>
    </w:rPr>
  </w:style>
  <w:style w:type="paragraph" w:styleId="710">
    <w:name w:val="Title"/>
    <w:basedOn w:val="661"/>
    <w:next w:val="661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711">
    <w:name w:val="Subtitle"/>
    <w:basedOn w:val="661"/>
    <w:next w:val="661"/>
    <w:uiPriority w:val="11"/>
    <w:qFormat/>
    <w:pPr>
      <w:spacing w:before="200" w:after="200"/>
    </w:pPr>
    <w:rPr>
      <w:sz w:val="24"/>
      <w:szCs w:val="24"/>
    </w:rPr>
  </w:style>
  <w:style w:type="paragraph" w:styleId="712">
    <w:name w:val="Quote"/>
    <w:basedOn w:val="661"/>
    <w:next w:val="661"/>
    <w:uiPriority w:val="29"/>
    <w:qFormat/>
    <w:pPr>
      <w:ind w:left="720" w:right="720" w:firstLine="0"/>
    </w:pPr>
    <w:rPr>
      <w:i/>
    </w:rPr>
  </w:style>
  <w:style w:type="paragraph" w:styleId="713">
    <w:name w:val="Intense Quote"/>
    <w:basedOn w:val="661"/>
    <w:next w:val="66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 w:before="0" w:after="0"/>
      <w:ind w:left="720" w:right="720" w:firstLine="0"/>
    </w:pPr>
    <w:rPr>
      <w:i/>
    </w:rPr>
  </w:style>
  <w:style w:type="paragraph" w:styleId="714">
    <w:name w:val="footnote text"/>
    <w:basedOn w:val="66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15">
    <w:name w:val="endnote text"/>
    <w:basedOn w:val="66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16">
    <w:name w:val="toc 1"/>
    <w:basedOn w:val="661"/>
    <w:next w:val="661"/>
    <w:uiPriority w:val="39"/>
    <w:unhideWhenUsed/>
    <w:pPr>
      <w:spacing w:before="0" w:after="57"/>
      <w:ind w:left="0" w:right="0" w:firstLine="0"/>
    </w:pPr>
  </w:style>
  <w:style w:type="paragraph" w:styleId="717">
    <w:name w:val="toc 2"/>
    <w:basedOn w:val="661"/>
    <w:next w:val="661"/>
    <w:uiPriority w:val="39"/>
    <w:unhideWhenUsed/>
    <w:pPr>
      <w:spacing w:before="0" w:after="57"/>
      <w:ind w:left="283" w:right="0" w:firstLine="0"/>
    </w:pPr>
  </w:style>
  <w:style w:type="paragraph" w:styleId="718">
    <w:name w:val="toc 3"/>
    <w:basedOn w:val="661"/>
    <w:next w:val="661"/>
    <w:uiPriority w:val="39"/>
    <w:unhideWhenUsed/>
    <w:pPr>
      <w:spacing w:before="0" w:after="57"/>
      <w:ind w:left="567" w:right="0" w:firstLine="0"/>
    </w:pPr>
  </w:style>
  <w:style w:type="paragraph" w:styleId="719">
    <w:name w:val="toc 4"/>
    <w:basedOn w:val="661"/>
    <w:next w:val="661"/>
    <w:uiPriority w:val="39"/>
    <w:unhideWhenUsed/>
    <w:pPr>
      <w:spacing w:before="0" w:after="57"/>
      <w:ind w:left="850" w:right="0" w:firstLine="0"/>
    </w:pPr>
  </w:style>
  <w:style w:type="paragraph" w:styleId="720">
    <w:name w:val="toc 5"/>
    <w:basedOn w:val="661"/>
    <w:next w:val="661"/>
    <w:uiPriority w:val="39"/>
    <w:unhideWhenUsed/>
    <w:pPr>
      <w:spacing w:before="0" w:after="57"/>
      <w:ind w:left="1134" w:right="0" w:firstLine="0"/>
    </w:pPr>
  </w:style>
  <w:style w:type="paragraph" w:styleId="721">
    <w:name w:val="toc 6"/>
    <w:basedOn w:val="661"/>
    <w:next w:val="661"/>
    <w:uiPriority w:val="39"/>
    <w:unhideWhenUsed/>
    <w:pPr>
      <w:spacing w:before="0" w:after="57"/>
      <w:ind w:left="1417" w:right="0" w:firstLine="0"/>
    </w:pPr>
  </w:style>
  <w:style w:type="paragraph" w:styleId="722">
    <w:name w:val="toc 7"/>
    <w:basedOn w:val="661"/>
    <w:next w:val="661"/>
    <w:uiPriority w:val="39"/>
    <w:unhideWhenUsed/>
    <w:pPr>
      <w:spacing w:before="0" w:after="57"/>
      <w:ind w:left="1701" w:right="0" w:firstLine="0"/>
    </w:pPr>
  </w:style>
  <w:style w:type="paragraph" w:styleId="723">
    <w:name w:val="toc 8"/>
    <w:basedOn w:val="661"/>
    <w:next w:val="661"/>
    <w:uiPriority w:val="39"/>
    <w:unhideWhenUsed/>
    <w:pPr>
      <w:spacing w:before="0" w:after="57"/>
      <w:ind w:left="1984" w:right="0" w:firstLine="0"/>
    </w:pPr>
  </w:style>
  <w:style w:type="paragraph" w:styleId="724">
    <w:name w:val="toc 9"/>
    <w:basedOn w:val="661"/>
    <w:next w:val="661"/>
    <w:uiPriority w:val="39"/>
    <w:unhideWhenUsed/>
    <w:pPr>
      <w:spacing w:before="0" w:after="57"/>
      <w:ind w:left="2268" w:right="0" w:firstLine="0"/>
    </w:pPr>
  </w:style>
  <w:style w:type="paragraph" w:styleId="725">
    <w:name w:val="TOC Heading"/>
    <w:uiPriority w:val="39"/>
    <w:unhideWhenUsed/>
    <w:qFormat/>
    <w:pPr>
      <w:widowControl/>
      <w:spacing w:before="0" w:after="0"/>
      <w:jc w:val="left"/>
    </w:pPr>
    <w:rPr>
      <w:rFonts w:ascii="Calibri" w:hAnsi="Calibri" w:eastAsia="Calibri" w:cs="Times New Roman"/>
      <w:color w:val="auto"/>
      <w:sz w:val="20"/>
      <w:szCs w:val="20"/>
      <w:lang w:val="ru-RU" w:eastAsia="ru-RU" w:bidi="ar-SA"/>
    </w:rPr>
  </w:style>
  <w:style w:type="paragraph" w:styleId="726">
    <w:name w:val="table of figures"/>
    <w:basedOn w:val="661"/>
    <w:next w:val="661"/>
    <w:uiPriority w:val="99"/>
    <w:unhideWhenUsed/>
    <w:qFormat/>
    <w:pPr>
      <w:spacing w:before="0" w:after="0" w:afterAutospacing="0"/>
    </w:pPr>
  </w:style>
  <w:style w:type="paragraph" w:styleId="727" w:customStyle="1">
    <w:name w:val="Название1"/>
    <w:basedOn w:val="661"/>
    <w:qFormat/>
    <w:pPr>
      <w:jc w:val="center"/>
    </w:pPr>
    <w:rPr>
      <w:sz w:val="32"/>
    </w:rPr>
  </w:style>
  <w:style w:type="paragraph" w:styleId="728">
    <w:name w:val="Body Text 2"/>
    <w:basedOn w:val="661"/>
    <w:qFormat/>
    <w:pPr>
      <w:jc w:val="center"/>
    </w:pPr>
    <w:rPr>
      <w:sz w:val="24"/>
    </w:rPr>
  </w:style>
  <w:style w:type="paragraph" w:styleId="729">
    <w:name w:val="Body Text 3"/>
    <w:basedOn w:val="661"/>
    <w:qFormat/>
    <w:pPr>
      <w:jc w:val="center"/>
    </w:pPr>
    <w:rPr>
      <w:b/>
      <w:bCs/>
      <w:sz w:val="24"/>
    </w:rPr>
  </w:style>
  <w:style w:type="paragraph" w:styleId="730" w:customStyle="1">
    <w:name w:val="Заголовок 11"/>
    <w:basedOn w:val="661"/>
    <w:next w:val="661"/>
    <w:qFormat/>
    <w:pPr>
      <w:keepNext/>
      <w:numPr>
        <w:numId w:val="1"/>
        <w:ilvl w:val="0"/>
      </w:numPr>
      <w:spacing w:before="240" w:after="60"/>
      <w:jc w:val="center"/>
    </w:pPr>
    <w:rPr>
      <w:b/>
      <w:caps/>
      <w:sz w:val="24"/>
    </w:rPr>
  </w:style>
  <w:style w:type="paragraph" w:styleId="731" w:customStyle="1">
    <w:name w:val="Нумерованный список1"/>
    <w:basedOn w:val="661"/>
    <w:qFormat/>
    <w:pPr>
      <w:numPr>
        <w:numId w:val="1"/>
        <w:ilvl w:val="0"/>
      </w:numPr>
      <w:spacing w:before="120" w:after="0"/>
      <w:jc w:val="both"/>
    </w:pPr>
    <w:rPr>
      <w:sz w:val="24"/>
    </w:rPr>
  </w:style>
  <w:style w:type="paragraph" w:styleId="732" w:customStyle="1">
    <w:name w:val="Абзац списка1"/>
    <w:basedOn w:val="661"/>
    <w:qFormat/>
    <w:pPr>
      <w:spacing w:before="0" w:after="0"/>
      <w:ind w:left="720" w:firstLine="0"/>
      <w:contextualSpacing/>
    </w:pPr>
  </w:style>
  <w:style w:type="paragraph" w:styleId="733">
    <w:name w:val="Верхний и нижний колонтитулы"/>
    <w:basedOn w:val="661"/>
    <w:qFormat/>
  </w:style>
  <w:style w:type="paragraph" w:styleId="734">
    <w:name w:val="Footer"/>
    <w:basedOn w:val="661"/>
    <w:pPr>
      <w:tabs>
        <w:tab w:val="clear" w:pos="709" w:leader="none"/>
        <w:tab w:val="center" w:pos="4677" w:leader="none"/>
        <w:tab w:val="right" w:pos="9355" w:leader="none"/>
      </w:tabs>
    </w:pPr>
  </w:style>
  <w:style w:type="paragraph" w:styleId="735">
    <w:name w:val="List Paragraph"/>
    <w:basedOn w:val="661"/>
    <w:uiPriority w:val="34"/>
    <w:qFormat/>
    <w:pPr>
      <w:widowControl w:val="off"/>
      <w:spacing w:before="0" w:after="0"/>
      <w:ind w:left="720" w:firstLine="0"/>
      <w:contextualSpacing/>
    </w:pPr>
    <w:rPr>
      <w:b/>
      <w:bCs/>
      <w:sz w:val="28"/>
      <w:szCs w:val="28"/>
    </w:rPr>
  </w:style>
  <w:style w:type="paragraph" w:styleId="736">
    <w:name w:val="Balloon Text"/>
    <w:basedOn w:val="661"/>
    <w:uiPriority w:val="99"/>
    <w:semiHidden/>
    <w:unhideWhenUsed/>
    <w:qFormat/>
    <w:rPr>
      <w:rFonts w:ascii="Tahoma" w:hAnsi="Tahoma"/>
      <w:sz w:val="16"/>
      <w:szCs w:val="16"/>
    </w:rPr>
  </w:style>
  <w:style w:type="paragraph" w:styleId="737">
    <w:name w:val="Header"/>
    <w:basedOn w:val="661"/>
    <w:uiPriority w:val="99"/>
    <w:unhideWhenUsed/>
    <w:pPr>
      <w:tabs>
        <w:tab w:val="clear" w:pos="709" w:leader="none"/>
        <w:tab w:val="center" w:pos="4677" w:leader="none"/>
        <w:tab w:val="right" w:pos="9355" w:leader="none"/>
      </w:tabs>
    </w:pPr>
  </w:style>
  <w:style w:type="paragraph" w:styleId="738" w:customStyle="1">
    <w:name w:val="FR1"/>
    <w:qFormat/>
    <w:pPr>
      <w:widowControl w:val="off"/>
      <w:spacing w:before="0" w:after="0"/>
      <w:ind w:left="80" w:firstLine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739">
    <w:name w:val="Body Text Indent"/>
    <w:basedOn w:val="661"/>
    <w:uiPriority w:val="99"/>
    <w:semiHidden/>
    <w:unhideWhenUsed/>
    <w:pPr>
      <w:spacing w:before="0" w:after="120"/>
      <w:ind w:left="283" w:firstLine="0"/>
    </w:pPr>
  </w:style>
  <w:style w:type="paragraph" w:styleId="740" w:customStyle="1">
    <w:name w:val="s_1"/>
    <w:qFormat/>
    <w:pPr>
      <w:keepNext w:val="0"/>
      <w:keepLines w:val="0"/>
      <w:pageBreakBefore w:val="0"/>
      <w:widowControl/>
      <w:shd w:val="nil"/>
      <w:spacing w:before="280" w:beforeAutospacing="0" w:after="280" w:afterAutospacing="0" w:line="240" w:lineRule="auto"/>
      <w:ind w:left="0" w:right="0" w:firstLine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u w:val="none"/>
      <w:vertAlign w:val="baseline"/>
      <w:lang w:val="ru-RU" w:eastAsia="zh-CN" w:bidi="ar-SA"/>
      <w14:ligatures w14:val="none"/>
    </w:rPr>
  </w:style>
  <w:style w:type="paragraph" w:styleId="741" w:customStyle="1">
    <w:name w:val="ConsPlusNormal"/>
    <w:qFormat/>
    <w:pPr>
      <w:keepNext w:val="0"/>
      <w:keepLines w:val="0"/>
      <w:pageBreakBefore w:val="0"/>
      <w:widowControl w:val="off"/>
      <w:shd w:val="nil"/>
      <w:spacing w:before="0" w:beforeAutospacing="0" w:after="0" w:afterAutospacing="0" w:line="240" w:lineRule="auto"/>
      <w:ind w:left="0" w:right="0" w:firstLine="0"/>
      <w:jc w:val="left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paragraph" w:styleId="742">
    <w:name w:val="Без интервала"/>
    <w:qFormat/>
    <w:pPr>
      <w:widowControl/>
      <w:spacing w:before="0" w:after="0"/>
      <w:jc w:val="left"/>
    </w:pPr>
    <w:rPr>
      <w:rFonts w:ascii="Calibri" w:hAnsi="Calibri" w:eastAsia="Calibri" w:cs="Times New Roman"/>
      <w:color w:val="auto"/>
      <w:sz w:val="20"/>
      <w:szCs w:val="20"/>
      <w:lang w:val="ru-RU" w:eastAsia="zh-CN" w:bidi="ar-SA"/>
    </w:rPr>
  </w:style>
  <w:style w:type="numbering" w:styleId="743" w:default="1">
    <w:name w:val="No List"/>
    <w:uiPriority w:val="99"/>
    <w:semiHidden/>
    <w:unhideWhenUsed/>
    <w:qFormat/>
  </w:style>
  <w:style w:type="table" w:styleId="744">
    <w:name w:val="Table Grid"/>
    <w:basedOn w:val="87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basedOn w:val="87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7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47">
    <w:name w:val="Plain Table 2"/>
    <w:basedOn w:val="87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48">
    <w:name w:val="Plain Table 3"/>
    <w:basedOn w:val="8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1">
    <w:name w:val="Grid Table 1 Light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9">
    <w:name w:val="Grid Table 2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0">
    <w:name w:val="Grid Table 2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1">
    <w:name w:val="Grid Table 2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2">
    <w:name w:val="Grid Table 2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3">
    <w:name w:val="Grid Table 2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4">
    <w:name w:val="Grid Table 2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5">
    <w:name w:val="Grid Table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6">
    <w:name w:val="Grid Table 3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7">
    <w:name w:val="Grid Table 3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8">
    <w:name w:val="Grid Table 3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9">
    <w:name w:val="Grid Table 3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0">
    <w:name w:val="Grid Table 3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1">
    <w:name w:val="Grid Table 3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2">
    <w:name w:val="Grid Table 4"/>
    <w:basedOn w:val="8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ae3f3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37fc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774">
    <w:name w:val="Grid Table 4 - Accent 2"/>
    <w:basedOn w:val="8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775">
    <w:name w:val="Grid Table 4 - Accent 3"/>
    <w:basedOn w:val="8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776">
    <w:name w:val="Grid Table 4 - Accent 4"/>
    <w:basedOn w:val="8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777">
    <w:name w:val="Grid Table 4 - Accent 5"/>
    <w:basedOn w:val="8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80">
    <w:name w:val="Grid Table 5 Dark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1" w:themeFillTint="75"/>
      </w:tcPr>
    </w:tblStylePr>
    <w:tblStylePr w:type="band1Vert">
      <w:tcPr>
        <w:shd w:val="clear" w:color="ffffff" w:fill="aabfe3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472c4" w:themeFill="accent1"/>
      </w:tcPr>
    </w:tblStylePr>
    <w:tblStylePr w:type="firstRow">
      <w:rPr>
        <w:b/>
        <w:color w:val="ffffff"/>
        <w:sz w:val="22"/>
      </w:rPr>
      <w:tcPr>
        <w:shd w:val="clear" w:color="ffffff" w:fill="4472c4" w:themeFill="accent1"/>
      </w:tcPr>
    </w:tblStylePr>
    <w:tblStylePr w:type="lastCol">
      <w:rPr>
        <w:b/>
        <w:color w:val="ffffff"/>
        <w:sz w:val="22"/>
      </w:rPr>
      <w:tcPr>
        <w:shd w:val="clear" w:color="ffffff" w:fill="4472c4" w:themeFill="accent1"/>
      </w:tcPr>
    </w:tblStylePr>
    <w:tblStylePr w:type="lastRow">
      <w:rPr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4472c4" w:themeFill="accent1"/>
      </w:tcPr>
    </w:tblStylePr>
  </w:style>
  <w:style w:type="table" w:styleId="781">
    <w:name w:val="Grid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782">
    <w:name w:val="Grid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783">
    <w:name w:val="Grid Table 5 Dark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784">
    <w:name w:val="Grid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5" w:themeFillTint="75"/>
      </w:tcPr>
    </w:tblStylePr>
    <w:tblStylePr w:type="band1Vert">
      <w:tcPr>
        <w:shd w:val="clear" w:color="ffffff" w:fill="b4d2eb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5b9bd5" w:themeFill="accent5"/>
      </w:tcPr>
    </w:tblStylePr>
    <w:tblStylePr w:type="firstRow">
      <w:rPr>
        <w:b/>
        <w:color w:val="ffffff"/>
        <w:sz w:val="22"/>
      </w:rPr>
      <w:tcPr>
        <w:shd w:val="clear" w:color="ffffff" w:fill="5b9bd5" w:themeFill="accent5"/>
      </w:tcPr>
    </w:tblStylePr>
    <w:tblStylePr w:type="lastCol">
      <w:rPr>
        <w:b/>
        <w:color w:val="ffffff"/>
        <w:sz w:val="22"/>
      </w:rPr>
      <w:tcPr>
        <w:shd w:val="clear" w:color="ffffff" w:fill="5b9bd5" w:themeFill="accent5"/>
      </w:tcPr>
    </w:tblStylePr>
    <w:tblStylePr w:type="lastRow">
      <w:rPr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5b9bd5" w:themeFill="accent5"/>
      </w:tcPr>
    </w:tblStylePr>
  </w:style>
  <w:style w:type="table" w:styleId="785">
    <w:name w:val="Grid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786">
    <w:name w:val="Grid Table 6 Colorful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9e2f2" w:themeFill="accent1" w:themeFillTint="34"/>
      </w:tcPr>
    </w:tblStylePr>
    <w:tblStylePr w:type="band1Vert">
      <w:tcPr>
        <w:shd w:val="clear" w:color="ffffff" w:fill="d9e2f2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debf6" w:themeFill="accent5" w:themeFillTint="34"/>
      </w:tcPr>
    </w:tblStylePr>
    <w:tblStylePr w:type="band1Vert">
      <w:tcPr>
        <w:shd w:val="clear" w:color="ffffff" w:fill="ddebf6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92">
    <w:name w:val="Grid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93">
    <w:name w:val="Grid Table 7 Colorful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94">
    <w:name w:val="Grid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664a9" w:themeColor="accent1" w:themeTint="80" w:themeShade="95"/>
        <w:sz w:val="22"/>
      </w:rPr>
      <w:tcPr>
        <w:shd w:val="clear" w:color="ffffff" w:fill="d9e2f2" w:themeFill="accent1" w:themeFillTint="34"/>
      </w:tcPr>
    </w:tblStylePr>
    <w:tblStylePr w:type="band1Vert">
      <w:tcPr>
        <w:shd w:val="clear" w:color="ffffff" w:fill="d9e2f2" w:themeFill="accent1" w:themeFillTint="34"/>
      </w:tcPr>
    </w:tblStylePr>
    <w:tblStylePr w:type="band2Horz">
      <w:rPr>
        <w:color w:val="3664a9" w:themeColor="accent1" w:themeTint="80" w:themeShade="95"/>
        <w:sz w:val="22"/>
      </w:rPr>
    </w:tblStylePr>
    <w:tblStylePr w:type="firstCol">
      <w:rPr>
        <w:i/>
        <w:color w:val="3664a9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664a9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664a9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664a9" w:themeColor="accent1" w:themeTint="80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95">
    <w:name w:val="Grid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c95712" w:themeColor="accent2" w:themeTint="97" w:themeShade="95"/>
        <w:sz w:val="22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96">
    <w:name w:val="Grid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606060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06060" w:themeColor="accent3" w:themeTint="FE" w:themeShade="95"/>
        <w:sz w:val="22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97">
    <w:name w:val="Grid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cd9600" w:themeColor="accent4" w:themeTint="9A" w:themeShade="95"/>
        <w:sz w:val="22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98">
    <w:name w:val="Grid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45d8d" w:themeColor="accent5" w:themeShade="95"/>
        <w:sz w:val="22"/>
      </w:rPr>
      <w:tcPr>
        <w:shd w:val="clear" w:color="ffffff" w:fill="ddebf6" w:themeFill="accent5" w:themeFillTint="34"/>
      </w:tcPr>
    </w:tblStylePr>
    <w:tblStylePr w:type="band1Vert">
      <w:tcPr>
        <w:shd w:val="clear" w:color="ffffff" w:fill="ddebf6" w:themeFill="accent5" w:themeFillTint="34"/>
      </w:tcPr>
    </w:tblStylePr>
    <w:tblStylePr w:type="band2Horz">
      <w:rPr>
        <w:color w:val="245d8d" w:themeColor="accent5" w:themeShade="95"/>
        <w:sz w:val="22"/>
      </w:rPr>
    </w:tblStylePr>
    <w:tblStylePr w:type="firstCol">
      <w:rPr>
        <w:i/>
        <w:color w:val="245d8d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45d8d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45d8d" w:themeColor="accent5" w:themeShade="95"/>
        <w:sz w:val="22"/>
      </w:rPr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45d8d" w:themeColor="accent5" w:themeShade="95"/>
        <w:sz w:val="22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99">
    <w:name w:val="Grid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42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26429" w:themeColor="accent6" w:themeShade="95"/>
        <w:sz w:val="22"/>
      </w:rPr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26429" w:themeColor="accent6" w:themeShade="95"/>
        <w:sz w:val="22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00">
    <w:name w:val="List Table 1 Light"/>
    <w:basedOn w:val="8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1" w:themeFillTint="40"/>
      </w:tcPr>
    </w:tblStylePr>
    <w:tblStylePr w:type="band1Vert">
      <w:tcPr>
        <w:shd w:val="clear" w:color="ffffff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5" w:themeFillTint="40"/>
      </w:tcPr>
    </w:tblStylePr>
    <w:tblStylePr w:type="band1Vert">
      <w:tcPr>
        <w:shd w:val="clear" w:color="ffffff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14">
    <w:name w:val="List Table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29">
    <w:name w:val="List Table 5 Dark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472c4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472c4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0">
    <w:name w:val="List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1">
    <w:name w:val="List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2">
    <w:name w:val="List Table 5 Dark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3">
    <w:name w:val="List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4e5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cc4e5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4e5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cc4e5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4">
    <w:name w:val="List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5">
    <w:name w:val="List Table 6 Colorful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36">
    <w:name w:val="List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cfdcf0" w:themeFill="accent1" w:themeFillTint="40"/>
      </w:tcPr>
    </w:tblStylePr>
    <w:tblStylePr w:type="band1Vert">
      <w:tcPr>
        <w:shd w:val="clear" w:color="ffffff" w:fill="cfdcf0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38">
    <w:name w:val="List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39">
    <w:name w:val="List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40">
    <w:name w:val="List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5e6f4" w:themeFill="accent5" w:themeFillTint="40"/>
      </w:tcPr>
    </w:tblStylePr>
    <w:tblStylePr w:type="band1Vert">
      <w:tcPr>
        <w:shd w:val="clear" w:color="ffffff" w:fill="d5e6f4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41">
    <w:name w:val="List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42">
    <w:name w:val="List Table 7 Colorful"/>
    <w:basedOn w:val="8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54374" w:themeColor="accent1" w:themeShade="95"/>
        <w:sz w:val="22"/>
      </w:rPr>
      <w:tcPr>
        <w:shd w:val="clear" w:color="ffffff" w:fill="cfdcf0" w:themeFill="accent1" w:themeFillTint="40"/>
      </w:tcPr>
    </w:tblStylePr>
    <w:tblStylePr w:type="band1Vert">
      <w:tcPr>
        <w:shd w:val="clear" w:color="ffffff" w:fill="cfdcf0" w:themeFill="accent1" w:themeFillTint="40"/>
      </w:tcPr>
    </w:tblStylePr>
    <w:tblStylePr w:type="band2Horz">
      <w:rPr>
        <w:color w:val="254374" w:themeColor="accent1" w:themeShade="95"/>
        <w:sz w:val="22"/>
      </w:rPr>
    </w:tblStylePr>
    <w:tblStylePr w:type="firstCol">
      <w:rPr>
        <w:i/>
        <w:color w:val="254374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54374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54374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54374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254374" w:themeColor="accent1" w:themeShade="95"/>
        <w:sz w:val="22"/>
      </w:rPr>
    </w:tblStylePr>
  </w:style>
  <w:style w:type="table" w:styleId="844">
    <w:name w:val="List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c95712" w:themeColor="accent2" w:themeTint="97" w:themeShade="95"/>
        <w:sz w:val="22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845">
    <w:name w:val="List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57575" w:themeColor="accent3" w:themeTint="98" w:themeShade="95"/>
        <w:sz w:val="22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846">
    <w:name w:val="List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cd9600" w:themeColor="accent4" w:themeTint="9A" w:themeShade="95"/>
        <w:sz w:val="22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847">
    <w:name w:val="List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2e78b1" w:themeColor="accent5" w:themeTint="9A" w:themeShade="95"/>
        <w:sz w:val="22"/>
      </w:rPr>
      <w:tcPr>
        <w:shd w:val="clear" w:color="ffffff" w:fill="d5e6f4" w:themeFill="accent5" w:themeFillTint="40"/>
      </w:tcPr>
    </w:tblStylePr>
    <w:tblStylePr w:type="band1Vert">
      <w:tcPr>
        <w:shd w:val="clear" w:color="ffffff" w:fill="d5e6f4" w:themeFill="accent5" w:themeFillTint="40"/>
      </w:tcPr>
    </w:tblStylePr>
    <w:tblStylePr w:type="band2Horz">
      <w:rPr>
        <w:color w:val="2e78b1" w:themeColor="accent5" w:themeTint="9A" w:themeShade="95"/>
        <w:sz w:val="22"/>
      </w:rPr>
    </w:tblStylePr>
    <w:tblStylePr w:type="firstCol">
      <w:rPr>
        <w:i/>
        <w:color w:val="2e78b1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2e78b1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e78b1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e78b1" w:themeColor="accent5" w:themeTint="9A" w:themeShade="95"/>
        <w:sz w:val="22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2e78b1" w:themeColor="accent5" w:themeTint="9A" w:themeShade="95"/>
        <w:sz w:val="22"/>
      </w:rPr>
    </w:tblStylePr>
  </w:style>
  <w:style w:type="table" w:styleId="848">
    <w:name w:val="List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5f8f3c" w:themeColor="accent6" w:themeTint="98" w:themeShade="95"/>
        <w:sz w:val="22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849">
    <w:name w:val="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50">
    <w:name w:val="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3d3ec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3d3ec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37fc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37fc8" w:themeFill="accent1" w:themeFillTint="EA"/>
      </w:tcPr>
    </w:tblStylePr>
    <w:tblStylePr w:type="lastCol">
      <w:rPr>
        <w:color w:val="f2f2f2"/>
        <w:sz w:val="22"/>
      </w:rPr>
      <w:tcPr>
        <w:shd w:val="clear" w:color="ffffff" w:fill="537fc8" w:themeFill="accent1" w:themeFillTint="EA"/>
      </w:tcPr>
    </w:tblStylePr>
    <w:tblStylePr w:type="lastRow">
      <w:rPr>
        <w:color w:val="f2f2f2"/>
        <w:sz w:val="22"/>
      </w:rPr>
      <w:tcPr>
        <w:shd w:val="clear" w:color="ffffff" w:fill="537fc8" w:themeFill="accent1" w:themeFillTint="EA"/>
      </w:tcPr>
    </w:tblStylePr>
  </w:style>
  <w:style w:type="table" w:styleId="851">
    <w:name w:val="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852">
    <w:name w:val="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853">
    <w:name w:val="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854">
    <w:name w:val="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debf6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debf6" w:themeFill="accent5" w:themeFillTint="34"/>
      </w:tcPr>
    </w:tblStylePr>
    <w:tblStylePr w:type="firstCol">
      <w:rPr>
        <w:color w:val="f2f2f2"/>
        <w:sz w:val="22"/>
      </w:rPr>
      <w:tcPr>
        <w:shd w:val="clear" w:color="ffffff" w:fill="5b9bd5" w:themeFill="accent5"/>
      </w:tcPr>
    </w:tblStylePr>
    <w:tblStylePr w:type="firstRow">
      <w:rPr>
        <w:color w:val="f2f2f2"/>
        <w:sz w:val="22"/>
      </w:rPr>
      <w:tcPr>
        <w:shd w:val="clear" w:color="ffffff" w:fill="5b9bd5" w:themeFill="accent5"/>
      </w:tcPr>
    </w:tblStylePr>
    <w:tblStylePr w:type="lastCol">
      <w:rPr>
        <w:color w:val="f2f2f2"/>
        <w:sz w:val="22"/>
      </w:rPr>
      <w:tcPr>
        <w:shd w:val="clear" w:color="ffffff" w:fill="5b9bd5" w:themeFill="accent5"/>
      </w:tcPr>
    </w:tblStylePr>
    <w:tblStylePr w:type="lastRow">
      <w:rPr>
        <w:color w:val="f2f2f2"/>
        <w:sz w:val="22"/>
      </w:rPr>
      <w:tcPr>
        <w:shd w:val="clear" w:color="ffffff" w:fill="5b9bd5" w:themeFill="accent5"/>
      </w:tcPr>
    </w:tblStylePr>
  </w:style>
  <w:style w:type="table" w:styleId="855">
    <w:name w:val="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856">
    <w:name w:val="Bordered &amp; 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57">
    <w:name w:val="Bordered &amp; 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3d3ec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3d3ec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37fc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37fc8" w:themeFill="accent1" w:themeFillTint="EA"/>
      </w:tcPr>
    </w:tblStylePr>
    <w:tblStylePr w:type="lastCol">
      <w:rPr>
        <w:color w:val="f2f2f2"/>
        <w:sz w:val="22"/>
      </w:rPr>
      <w:tcPr>
        <w:shd w:val="clear" w:color="ffffff" w:fill="537fc8" w:themeFill="accent1" w:themeFillTint="EA"/>
      </w:tcPr>
    </w:tblStylePr>
    <w:tblStylePr w:type="lastRow">
      <w:rPr>
        <w:color w:val="f2f2f2"/>
        <w:sz w:val="22"/>
      </w:rPr>
      <w:tcPr>
        <w:shd w:val="clear" w:color="ffffff" w:fill="537fc8" w:themeFill="accent1" w:themeFillTint="EA"/>
      </w:tcPr>
    </w:tblStylePr>
  </w:style>
  <w:style w:type="table" w:styleId="858">
    <w:name w:val="Bordered &amp; 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859">
    <w:name w:val="Bordered &amp; 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860">
    <w:name w:val="Bordered &amp; 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861">
    <w:name w:val="Bordered &amp; 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debf6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debf6" w:themeFill="accent5" w:themeFillTint="34"/>
      </w:tcPr>
    </w:tblStylePr>
    <w:tblStylePr w:type="firstCol">
      <w:rPr>
        <w:color w:val="f2f2f2"/>
        <w:sz w:val="22"/>
      </w:rPr>
      <w:tcPr>
        <w:shd w:val="clear" w:color="ffffff" w:fill="5b9bd5" w:themeFill="accent5"/>
      </w:tcPr>
    </w:tblStylePr>
    <w:tblStylePr w:type="firstRow">
      <w:rPr>
        <w:color w:val="f2f2f2"/>
        <w:sz w:val="22"/>
      </w:rPr>
      <w:tcPr>
        <w:shd w:val="clear" w:color="ffffff" w:fill="5b9bd5" w:themeFill="accent5"/>
      </w:tcPr>
    </w:tblStylePr>
    <w:tblStylePr w:type="lastCol">
      <w:rPr>
        <w:color w:val="f2f2f2"/>
        <w:sz w:val="22"/>
      </w:rPr>
      <w:tcPr>
        <w:shd w:val="clear" w:color="ffffff" w:fill="5b9bd5" w:themeFill="accent5"/>
      </w:tcPr>
    </w:tblStylePr>
    <w:tblStylePr w:type="lastRow">
      <w:rPr>
        <w:color w:val="f2f2f2"/>
        <w:sz w:val="22"/>
      </w:rPr>
      <w:tcPr>
        <w:shd w:val="clear" w:color="ffffff" w:fill="5b9bd5" w:themeFill="accent5"/>
      </w:tcPr>
    </w:tblStylePr>
  </w:style>
  <w:style w:type="table" w:styleId="862">
    <w:name w:val="Bordered &amp; 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863">
    <w:name w:val="Bordered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64">
    <w:name w:val="Bordered - Accent 1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66">
    <w:name w:val="Bordered - Accent 3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67">
    <w:name w:val="Bordered - Accent 4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68">
    <w:name w:val="Bordered - Accent 5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69">
    <w:name w:val="Bordered - Accent 6"/>
    <w:basedOn w:val="8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70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file:///C:/Users/_blan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983F8-691B-4C32-8F90-0022A446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Apogey-bk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</dc:creator>
  <dc:description/>
  <dc:language>ru-RU</dc:language>
  <cp:lastModifiedBy>User</cp:lastModifiedBy>
  <cp:revision>7</cp:revision>
  <dcterms:created xsi:type="dcterms:W3CDTF">2026-08-28T12:25:00Z</dcterms:created>
  <dcterms:modified xsi:type="dcterms:W3CDTF">2026-09-03T10:30:52Z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