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  <w:numPr>
          <w:ilvl w:val="0"/>
          <w:numId w:val="0"/>
        </w:numPr>
        <w:jc w:val="center"/>
        <w:rPr>
          <w:b/>
          <w:color w:val="ff0000"/>
          <w:sz w:val="22"/>
        </w:rPr>
        <w:outlineLvl w:val="0"/>
      </w:pPr>
      <w:r>
        <w:rPr>
          <w:b/>
          <w:color w:val="ff0000"/>
          <w:sz w:val="22"/>
        </w:rPr>
        <w:t xml:space="preserve">ПРОЕКТ</w:t>
      </w:r>
      <w:r>
        <w:rPr>
          <w:b/>
          <w:color w:val="ff0000"/>
          <w:sz w:val="22"/>
        </w:rPr>
      </w:r>
      <w:r>
        <w:rPr>
          <w:b/>
          <w:color w:val="ff0000"/>
          <w:sz w:val="22"/>
        </w:rPr>
      </w:r>
    </w:p>
    <w:p>
      <w:pPr>
        <w:pStyle w:val="820"/>
        <w:ind w:firstLine="567"/>
        <w:jc w:val="center"/>
        <w:rPr>
          <w:b/>
          <w:sz w:val="22"/>
        </w:rPr>
      </w:pPr>
      <w:r>
        <w:rPr>
          <w:b/>
          <w:sz w:val="22"/>
        </w:rPr>
        <w:t xml:space="preserve">Государственный контракт № ___________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ind w:right="708" w:firstLine="567"/>
        <w:jc w:val="center"/>
        <w:rPr>
          <w:b/>
          <w:sz w:val="22"/>
        </w:rPr>
      </w:pPr>
      <w:r>
        <w:rPr>
          <w:b/>
          <w:sz w:val="22"/>
        </w:rPr>
        <w:t xml:space="preserve">на оказание </w:t>
      </w:r>
      <w:r>
        <w:rPr>
          <w:b/>
          <w:sz w:val="22"/>
        </w:rPr>
        <w:t xml:space="preserve">у</w:t>
      </w:r>
      <w:r>
        <w:rPr>
          <w:rStyle w:val="827"/>
          <w:b/>
          <w:sz w:val="22"/>
        </w:rPr>
        <w:t xml:space="preserve">слуг по проведению предрейсовых и послерейсовых медицинских осмотров водителей и технических осмотров транспортных средств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ind w:right="708" w:firstLine="567"/>
        <w:jc w:val="center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  <w:t xml:space="preserve">г. Тверь </w:t>
        <w:tab/>
        <w:t xml:space="preserve">     </w:t>
        <w:tab/>
        <w:tab/>
        <w:t xml:space="preserve">                                                                                «___»__________</w:t>
      </w:r>
      <w:r>
        <w:rPr>
          <w:i/>
          <w:sz w:val="22"/>
        </w:rPr>
        <w:t xml:space="preserve">  </w:t>
      </w:r>
      <w:r>
        <w:rPr>
          <w:sz w:val="22"/>
        </w:rPr>
        <w:t xml:space="preserve">202</w:t>
      </w:r>
      <w:r>
        <w:rPr>
          <w:sz w:val="22"/>
        </w:rPr>
        <w:t xml:space="preserve">6 </w:t>
      </w:r>
      <w:r>
        <w:rPr>
          <w:sz w:val="22"/>
        </w:rPr>
        <w:t xml:space="preserve">г.</w:t>
      </w:r>
      <w:r>
        <w:rPr>
          <w:sz w:val="22"/>
        </w:rPr>
      </w:r>
      <w:r>
        <w:rPr>
          <w:sz w:val="22"/>
        </w:rPr>
      </w:r>
    </w:p>
    <w:p>
      <w:pPr>
        <w:pStyle w:val="820"/>
        <w:ind w:right="708" w:firstLine="567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ind w:right="708" w:firstLine="567"/>
        <w:jc w:val="center"/>
        <w:rPr>
          <w:sz w:val="22"/>
        </w:rPr>
      </w:pPr>
      <w:r>
        <w:rPr>
          <w:sz w:val="22"/>
        </w:rPr>
        <w:t xml:space="preserve">ИКЗ: ___________________________________________</w:t>
      </w:r>
      <w:r>
        <w:rPr>
          <w:sz w:val="22"/>
        </w:rPr>
      </w:r>
      <w:r>
        <w:rPr>
          <w:sz w:val="22"/>
        </w:rPr>
      </w:r>
    </w:p>
    <w:p>
      <w:pPr>
        <w:pStyle w:val="820"/>
        <w:ind w:right="708" w:firstLine="567"/>
        <w:jc w:val="center"/>
        <w:rPr>
          <w:sz w:val="22"/>
        </w:rPr>
      </w:pPr>
      <w:r>
        <w:rPr>
          <w:sz w:val="22"/>
        </w:rPr>
        <w:t xml:space="preserve">      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rPr>
          <w:sz w:val="22"/>
        </w:rPr>
      </w:pPr>
      <w:r>
        <w:rPr>
          <w:b/>
          <w:sz w:val="22"/>
        </w:rPr>
        <w:t xml:space="preserve">Территориальное управление федерального агентства по управлению государственным имуществом в Тверской области</w:t>
      </w:r>
      <w:r>
        <w:rPr>
          <w:sz w:val="22"/>
        </w:rPr>
        <w:t xml:space="preserve">, именуемое в дальнейшем «Заказчик», в лице </w:t>
      </w:r>
      <w:r>
        <w:rPr>
          <w:b/>
          <w:sz w:val="22"/>
        </w:rPr>
        <w:t xml:space="preserve">______________________________________________________________</w:t>
      </w:r>
      <w:r>
        <w:rPr>
          <w:sz w:val="22"/>
        </w:rPr>
        <w:t xml:space="preserve">, действующего на основании _______________________________________, с одной стороны, и </w:t>
      </w:r>
      <w:r>
        <w:rPr>
          <w:b/>
          <w:sz w:val="22"/>
        </w:rPr>
        <w:t xml:space="preserve">______________________________,</w:t>
      </w:r>
      <w:r>
        <w:rPr>
          <w:sz w:val="22"/>
        </w:rPr>
        <w:t xml:space="preserve"> именуемый в дальнейшем «Исполнитель», действующий на основании ________________________, в соответствии с лиценз</w:t>
      </w:r>
      <w:r>
        <w:rPr>
          <w:sz w:val="22"/>
        </w:rPr>
        <w:t xml:space="preserve">ией на право осуществления медицинской деятельности №________ от ___________ г., выданной ______________, с другой стороны (далее – Стороны), в целях обеспечения государственных нужд, в соответствии с пунктом 4 части 1 статьи 93 Федерального закона от 5 ап</w:t>
      </w:r>
      <w:r>
        <w:rPr>
          <w:sz w:val="22"/>
        </w:rPr>
        <w:t xml:space="preserve">реля 2013 года № 44-ФЗ «О контрактной системе в сфере закупок товаров, работ, услуг для обеспечения государственных и муниципальных нужд» (далее – «Федеральный закон № 44-ФЗ), заключили настоящий государственный контракт (далее – Контракт) о нижеследующем: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567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Предмет контракта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По настоящему контракту Исполнитель обязуется по заданию Заказчика оказать услуги, указанные в п. 1.2 настоящего Контракта, а Заказчик обязуется принять и оплатить эти услуги (работы).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</w:pPr>
      <w:r>
        <w:rPr>
          <w:sz w:val="22"/>
        </w:rPr>
        <w:t xml:space="preserve">Исполнитель обязуется оказать следующие услуги:</w:t>
      </w:r>
      <w:r>
        <w:rPr>
          <w:rStyle w:val="827"/>
          <w:sz w:val="22"/>
        </w:rPr>
        <w:t xml:space="preserve"> проведение предрейсовых и послерейсовых медицинских осмотров водителей и технических осмотров транспортных средств</w:t>
      </w:r>
      <w:r>
        <w:rPr>
          <w:sz w:val="22"/>
        </w:rPr>
        <w:t xml:space="preserve">, в соответствии с условиями Технического задания, являющегося неотъемлемой частью Контракта.</w:t>
      </w:r>
      <w:r/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  <w:highlight w:val="white"/>
        </w:rPr>
      </w:pPr>
      <w:r>
        <w:rPr>
          <w:sz w:val="22"/>
        </w:rPr>
        <w:t xml:space="preserve">Срок оказания услу</w:t>
      </w:r>
      <w:r>
        <w:rPr>
          <w:sz w:val="22"/>
          <w:highlight w:val="white"/>
        </w:rPr>
        <w:t xml:space="preserve">г: </w:t>
      </w:r>
      <w:r>
        <w:rPr>
          <w:sz w:val="22"/>
          <w:highlight w:val="white"/>
          <w:shd w:val="clear" w:color="auto" w:fill="ffff00"/>
        </w:rPr>
        <w:t xml:space="preserve">с 01 </w:t>
      </w:r>
      <w:r>
        <w:rPr>
          <w:sz w:val="22"/>
          <w:highlight w:val="white"/>
          <w:shd w:val="clear" w:color="auto" w:fill="ffff00"/>
        </w:rPr>
        <w:t xml:space="preserve">июня </w:t>
      </w:r>
      <w:r>
        <w:rPr>
          <w:sz w:val="22"/>
          <w:highlight w:val="white"/>
          <w:shd w:val="clear" w:color="auto" w:fill="ffff00"/>
        </w:rPr>
        <w:t xml:space="preserve">202</w:t>
      </w:r>
      <w:r>
        <w:rPr>
          <w:sz w:val="22"/>
          <w:highlight w:val="white"/>
          <w:shd w:val="clear" w:color="auto" w:fill="ffff00"/>
        </w:rPr>
        <w:t xml:space="preserve">6</w:t>
      </w:r>
      <w:r>
        <w:rPr>
          <w:sz w:val="22"/>
          <w:highlight w:val="white"/>
          <w:shd w:val="clear" w:color="auto" w:fill="ffff00"/>
        </w:rPr>
        <w:t xml:space="preserve"> по 30 ноября 202</w:t>
      </w:r>
      <w:r>
        <w:rPr>
          <w:sz w:val="22"/>
          <w:highlight w:val="white"/>
          <w:shd w:val="clear" w:color="auto" w:fill="ffff00"/>
        </w:rPr>
        <w:t xml:space="preserve">6</w:t>
      </w:r>
      <w:r>
        <w:rPr>
          <w:sz w:val="22"/>
          <w:highlight w:val="white"/>
          <w:shd w:val="clear" w:color="auto" w:fill="ffff00"/>
        </w:rPr>
        <w:t xml:space="preserve"> г.</w:t>
      </w:r>
      <w:r>
        <w:rPr>
          <w:sz w:val="22"/>
          <w:highlight w:val="white"/>
        </w:rPr>
      </w:r>
      <w:r>
        <w:rPr>
          <w:sz w:val="22"/>
          <w:highlight w:val="white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Место оказания услуг: в соответствии с условиями Технического задания.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567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Обеспечение надлежащего исполнения контракта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Настоящим контрактом не предусмотрено обеспечение исполнения Исполнителем  контракта. 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left="709"/>
        <w:jc w:val="both"/>
        <w:spacing w:before="0" w:after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Права и обязанности сторон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Исполнитель обязан: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оказывать предусмотренные настоящим Контрактом услуги в полном объеме и в сроки, установленные Контрактом.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следовать при исполнении Контракта указаниям Заказчика.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сохранять конфиденциальность всей полученной в ходе исполнения настоящего Контракта информации в части сведений, составляющих коммерческую тайну Заказчика.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Исполнитель имеет право: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требовать своевременной и полной оплаты оказанных услуг.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Заказчик обязан: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выделить представителя для разрешения вопросов, возникающих в процессе оказания услуг, для контроля за ходом оказания услуг, приема оказанных услуг;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произвести оплату услуг на условиях, настоящего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Заказчик обязан обеспечить приемку оказанных услуг в соответствии со статьей 94 Федерального закона № 44-ФЗ.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 xml:space="preserve">Для проверки предоставленных Исполнителем результатов, предусмотренных настоящим Контрактом, в части их соответствия условиям настоящего Контракта Заказчик обязан провести экспертизу. Экспертиза </w:t>
      </w:r>
      <w:r>
        <w:rPr>
          <w:sz w:val="22"/>
        </w:rPr>
        <w:t xml:space="preserve">результатов, предусмотренных настоящим Контрактом, может проводиться Заказчиком своими силами. Подтверждающими документами результатов экспертизы, проводимой Заказчиком своими силами, является подписанный двумя Сторонами документ о приемке оказанных услуг.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Заказчик имеет право: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проверять ход и качество оказываемых Исполнителем услуг;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осуществлять контроль за соблюдением Исполнителем сроков оказания услуг;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2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отказаться от исполнения настоящего Контракта в любое время, уплатив Исполнителю фактически понесенные им расходы.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jc w:val="center"/>
        <w:spacing w:before="0" w:after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Цена контракта и порядок расчетов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Максимальное значение цены Контракта составляет </w:t>
      </w:r>
      <w:r>
        <w:rPr>
          <w:sz w:val="22"/>
        </w:rPr>
        <w:t xml:space="preserve">42</w:t>
      </w:r>
      <w:r>
        <w:rPr>
          <w:sz w:val="22"/>
        </w:rPr>
        <w:t xml:space="preserve"> 000 (</w:t>
      </w:r>
      <w:r>
        <w:rPr>
          <w:sz w:val="22"/>
        </w:rPr>
        <w:t xml:space="preserve">сорок две тысячи</w:t>
      </w:r>
      <w:r>
        <w:rPr>
          <w:sz w:val="22"/>
        </w:rPr>
        <w:t xml:space="preserve">) рублей 00 копеек, в том числе НДС/НДС не облагается (если Исполнитель освобожден от уплаты НДС), за счет средств Федерального бюджета, выплачиваемые Исполнителю в рамках Контракта за надлежащее выполнение своих обязательств по Контракту.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rPr>
          <w:sz w:val="22"/>
        </w:rPr>
      </w:pPr>
      <w:r>
        <w:rPr>
          <w:rStyle w:val="827"/>
          <w:sz w:val="22"/>
        </w:rPr>
        <w:t xml:space="preserve">Цена предрейсового и послерейсового медицинскиеого осмотра за одного водителя (1 шт.) составляет 1 750 рублей 00 копеек в месяц, в том числе НДС/НДС не облагается (если Исполнитель освобожден от уплаты НДС).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rPr>
          <w:sz w:val="22"/>
        </w:rPr>
      </w:pPr>
      <w:r>
        <w:rPr>
          <w:rStyle w:val="827"/>
          <w:sz w:val="22"/>
        </w:rPr>
        <w:t xml:space="preserve">Цена предрейсового и послерейсового технического осмотра за одно транспортное средство (1 шт.) составляет 1 750 рублей 00 копеек в месяц, в том числе НДС/НДС не облагается (если Исполнитель освобожден от уплаты НДС).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Цена Контракта является твердой и определена на весь срок исполнения Контракта. Цена Контракта включает стоимость всех услуг, расходы на перевозку, страхование, уплату налогов сборов и других обязательных платежей. 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Авансирование по Контракту не предусмотрено.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Расчеты за оказанные услуги производятся на основании счета,  акта оказанных услуг, подписанных Заказчиком, Исполнителем путем перечисления денежных средства на расчетный счет Исполнителя в течение 7 рабочих дней.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соответствии с п. 1.2 ч. 1 ст. 95 Федерального закона № 44-ФЗ по предложению Заказчика предусмотренный контрак</w:t>
      </w:r>
      <w:r>
        <w:rPr>
          <w:sz w:val="22"/>
        </w:rPr>
        <w:t xml:space="preserve">том объем услуг может быть увеличен или уменьшены не более чем на десять процентов от цены контракта. При этом по соглашению сторон допускается изменение с учетом положений бюджетного законодательства Российской Федерации цены контракта, пропорционально до</w:t>
      </w:r>
      <w:r>
        <w:rPr>
          <w:sz w:val="22"/>
        </w:rPr>
        <w:t xml:space="preserve">полнительному объему услуг исходя из установленной в контракте цены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услуги.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Изменение первоначальной цены контракта оформляется дополнительным соглашением сторон в письменном виде.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случае, </w:t>
      </w:r>
      <w:r>
        <w:rPr>
          <w:sz w:val="22"/>
        </w:rPr>
        <w:t xml:space="preserve">если контракт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ind w:left="709"/>
        <w:jc w:val="both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Порядок приемки оказанных услуг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Приемка оказанных услуг осуществляется по факту оказания услуг в полном объеме и оформляется Актом приема-сдачи оказанных услуг.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Исполнитель по окончанию оказания услуг по данному Контракту предоставляет Заказчику в 2 (двух) экземплярах подписанный со своей стороны Акт приема-сдачи оказанных услуг. 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Заказчик в течение 10 (десяти) рабочих дней со дня получения Акта приема-сдачи услуг обязан направить Исполнителю подписанный Акт приема-сдачи услуг или отказ.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случае не</w:t>
      </w:r>
      <w:r>
        <w:rPr>
          <w:sz w:val="22"/>
        </w:rPr>
        <w:t xml:space="preserve">соответствия оказанных услуг (их объема и качества) условиям настоящего Контракта, технического задания, Заказчик направляет мотивированный отказ с перечнем выявленных недостатков, необходимых доработок в течение 10 (десяти) рабочих дней после получения Ак</w:t>
      </w:r>
      <w:r>
        <w:rPr>
          <w:sz w:val="22"/>
        </w:rPr>
        <w:t xml:space="preserve">та приема-сдачи услуг. Исполнитель обязан устранить недостатки и произвести необходимые доработки без дополнительной оплаты в пределах цены Контракта в десятидневный срок, и уведомить об устранении недостатков и о произведенных доработках незамедлительно. 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случае если на дату окончания срока оказания услуг, Исполнитель не приступил к сдаче услуг Заказчику, услуги по настоящему Контракту считаются не оказанными и оплате не подлежат.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Выставление, направление, получение, подписание и обмен отчетными документами (счета-фактуры, товарные накладные, с</w:t>
      </w:r>
      <w:r>
        <w:rPr>
          <w:sz w:val="22"/>
        </w:rPr>
        <w:t xml:space="preserve">чет на оплату, акты об оказанных Услугах, акты об оказании Сопутствующих услуг, акты о взыскании штрафа и иные документы) может происходить как на бумажном носителе, так и в электронном виде с использованием усиленной квалифицированной электронной подписи.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Стороны признают, что отчетные документы, </w:t>
      </w:r>
      <w:r>
        <w:rPr>
          <w:sz w:val="22"/>
        </w:rPr>
        <w:t xml:space="preserve">подписанные усиленной квалифицированной электронной подписью, являются надлежаще оформленными электронными первичными документами и приравниваются к первичным документам бухгалтерского учета, подписанными уполномоченными лицами Сторон на бумажном носителе.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jc w:val="both"/>
        <w:spacing w:before="0" w:after="0"/>
        <w:widowControl w:val="off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Ответственность сторон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 неисполнение либо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случае неисполнения пункта 1.2. данного контракта Заказчик в праве в одностороннем  порядке отказаться  от исполнения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случае просрочки исполнения Исполнителем обязательств (в том числе </w:t>
      </w:r>
      <w:r>
        <w:rPr>
          <w:sz w:val="22"/>
        </w:rPr>
        <w:t xml:space="preserve">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</w:t>
      </w:r>
      <w:r>
        <w:rPr>
          <w:sz w:val="22"/>
        </w:rPr>
        <w:t xml:space="preserve">ельств (в том числе гарантийного обязательства), предусмотренных контрактом, Исполнитель выплачивает Заказчику штраф, в соответствии с постановлением Правительства Российской Федерации от 30.08.2017 г. № 1042, в размере 10 процентов цены контракта (этапа).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 каждый факт неисполнения или ненадлежащего исполнения Исполнителем обя</w:t>
      </w:r>
      <w:r>
        <w:rPr>
          <w:sz w:val="22"/>
        </w:rPr>
        <w:t xml:space="preserve">зательств, предусмотренных контрактом, заключенным по результатам определения Исполнителя в соответствии с пунктом 1 части 1 статьи 30 Федерального закона № 44-ФЗ, за исключением просрочки исполнения обязательств (в том числе гарантийного обязательства), п</w:t>
      </w:r>
      <w:r>
        <w:rPr>
          <w:sz w:val="22"/>
        </w:rPr>
        <w:t xml:space="preserve">редусмотренных контрактом, Исполнитель выплачивает Заказчику штраф, в соответствии с постановлением Правительства Российской Федерации от 30.08.2017 г. № 1042, в размере 1 процента цены контракта (этапа), но не более 5 тыс. рублей и не менее 1 тыс. рублей.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 каждый факт неисполнения или ненадлежащег</w:t>
      </w:r>
      <w:r>
        <w:rPr>
          <w:sz w:val="22"/>
        </w:rPr>
        <w:t xml:space="preserve">о исполнения Исполнителем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законом), предложившим наиболее высокую цену за право заключения контракта, за исключе</w:t>
      </w:r>
      <w:r>
        <w:rPr>
          <w:sz w:val="22"/>
        </w:rPr>
        <w:t xml:space="preserve">нием просрочки исполнения обязательств (в том числе гарантийного обязательства), предусмотренных контрактом, Исполнитель выплачивает Заказчику штраф, в соответствии с постановлением Правительства Российской Федерации от 30.08.2017 г. № 1042, в размере 10 п</w:t>
      </w:r>
      <w:r>
        <w:rPr>
          <w:sz w:val="22"/>
        </w:rPr>
        <w:t xml:space="preserve">роцентов начальной (максимальной) цены контракта в случае, если цена контракта не превышает начальную (максимальную) цену контракта, либо в размере 10 процентов цены контракта в случае, если цена контракта превышает начальную (максимальную) цену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 каждый факт неисполнения или ненадлежащего исполнения Исполнителем обязательства, предусмотренного к</w:t>
      </w:r>
      <w:r>
        <w:rPr>
          <w:sz w:val="22"/>
        </w:rPr>
        <w:t xml:space="preserve">онтрактом, которое не имеет стоимостного выражения (при наличии в контракте таких обязательств), Исполнитель выплачивает Заказчику штраф, в соответствии с постановлением Правительства Российской Федерации от 30.08.2017 г. № 1042, в размере 1 000,00 рублей.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соответствии с пунктом 7 статьи 34 Федерального закона </w:t>
      </w:r>
      <w:r>
        <w:rPr>
          <w:sz w:val="22"/>
        </w:rPr>
        <w:t xml:space="preserve">№ 44-ФЗ пеня начисляется за каждый день просрочки исполнения поставщиком (подрядчиком, исполнителем)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</w:t>
      </w:r>
      <w:r>
        <w:rPr>
          <w:sz w:val="22"/>
        </w:rPr>
        <w:t xml:space="preserve">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</w:t>
      </w:r>
      <w:r>
        <w:rPr>
          <w:sz w:val="22"/>
        </w:rPr>
        <w:t xml:space="preserve">предусмотренных контрактом (соответствующим отдельным этапом исполнения контракта)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Общая сумма начисленных неустоек (штрафов, пеней)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</w:pPr>
      <w:r>
        <w:rPr>
          <w:sz w:val="22"/>
        </w:rPr>
        <w:t xml:space="preserve">В случае неисполнения или ненадлежащего исполнения Исполнителем обязательств, предусмотренных контрактом, оп</w:t>
      </w:r>
      <w:r>
        <w:rPr>
          <w:sz w:val="22"/>
        </w:rPr>
        <w:t xml:space="preserve">лата по контракту осуществляется за вычетом начисленной Заказчиком соответствующего размера неустойки (штрафа, пени), который перечисляется Заказчиком в установленном законодательством Российской Федерации порядке на основании платежного документа, оформле</w:t>
      </w:r>
      <w:r>
        <w:rPr>
          <w:sz w:val="22"/>
        </w:rPr>
        <w:t xml:space="preserve">нного Заказчиком с указанием Исполнителя, за которого осуществляется перечисление штрафа в соответствии с условиями контракта или по своему выбору, удовлетворить требование об уплате начисленного Исполнителю штрафа за счет обеспечения исполнения контракта.</w:t>
      </w:r>
      <w:r/>
    </w:p>
    <w:p>
      <w:pPr>
        <w:pStyle w:val="820"/>
        <w:contextualSpacing/>
        <w:ind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Исполнение обязательства Исполнителем по контракту по перечислению штрафа возложено на Заказчика.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Уплата неустоек (штрафов, пеней) перечисляется по следующим реквизитам: 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spacing w:before="0" w:after="0" w:line="240" w:lineRule="auto"/>
        <w:rPr>
          <w:rFonts w:ascii="Times New Roman" w:hAnsi="Times New Roman" w:eastAsia="Calibri" w:cs="Times New Roman"/>
        </w:rPr>
        <w:suppressLineNumbers w:val="0"/>
      </w:pPr>
      <w:r>
        <w:rPr>
          <w:rFonts w:eastAsia="Calibri" w:cs="Times New Roman"/>
          <w:sz w:val="22"/>
          <w:szCs w:val="22"/>
          <w:lang w:eastAsia="ru-RU"/>
        </w:rPr>
        <w:t xml:space="preserve">Получатель: Управление федерального казначейства по Тверской области (ТУ Росимущества в Тверской области л/с 04361A56470)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820"/>
        <w:ind w:firstLine="709"/>
        <w:spacing w:before="0" w:after="0" w:line="240" w:lineRule="auto"/>
        <w:rPr>
          <w:rFonts w:ascii="Times New Roman" w:hAnsi="Times New Roman" w:eastAsia="Calibri" w:cs="Times New Roman"/>
        </w:rPr>
        <w:suppressLineNumbers w:val="0"/>
      </w:pPr>
      <w:r>
        <w:rPr>
          <w:rFonts w:eastAsia="Calibri" w:cs="Times New Roman"/>
          <w:sz w:val="22"/>
          <w:szCs w:val="22"/>
          <w:lang w:eastAsia="ru-RU"/>
        </w:rPr>
        <w:t xml:space="preserve">ИНН/КПП 6950125150/695001001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820"/>
        <w:ind w:firstLine="709"/>
        <w:spacing w:before="0" w:after="0" w:line="240" w:lineRule="auto"/>
        <w:rPr>
          <w:rFonts w:ascii="Times New Roman" w:hAnsi="Times New Roman" w:eastAsia="Calibri" w:cs="Times New Roman"/>
        </w:rPr>
        <w:suppressLineNumbers w:val="0"/>
      </w:pPr>
      <w:r>
        <w:rPr>
          <w:rFonts w:eastAsia="Calibri" w:cs="Times New Roman"/>
          <w:sz w:val="22"/>
          <w:szCs w:val="22"/>
          <w:lang w:eastAsia="ru-RU"/>
        </w:rPr>
        <w:t xml:space="preserve">Банковский счет 03100643000000013600</w:t>
      </w:r>
      <w:r>
        <w:rPr>
          <w:rFonts w:ascii="Times New Roman" w:hAnsi="Times New Roman" w:eastAsia="Calibri" w:cs="Times New Roman"/>
        </w:rPr>
      </w:r>
      <w:r>
        <w:rPr>
          <w:rFonts w:ascii="Times New Roman" w:hAnsi="Times New Roman" w:eastAsia="Calibri" w:cs="Times New Roman"/>
        </w:rPr>
      </w:r>
    </w:p>
    <w:p>
      <w:pPr>
        <w:pStyle w:val="820"/>
        <w:ind w:firstLine="709"/>
        <w:spacing w:before="0" w:after="0" w:line="240" w:lineRule="auto"/>
        <w:rPr>
          <w:rFonts w:ascii="Times New Roman" w:hAnsi="Times New Roman" w:eastAsia="Calibri" w:cs="Times New Roman"/>
          <w:highlight w:val="none"/>
          <w14:ligatures w14:val="none"/>
        </w:rPr>
        <w:suppressLineNumbers w:val="0"/>
      </w:pPr>
      <w:r>
        <w:rPr>
          <w:rFonts w:eastAsia="Calibri" w:cs="Times New Roman"/>
          <w:sz w:val="22"/>
          <w:szCs w:val="22"/>
          <w:lang w:eastAsia="ru-RU"/>
        </w:rPr>
        <w:t xml:space="preserve">Наименование банка: ОКЦ № 6 ГУ Банка России по ЦФО // УФК по Тверской области, г. Тверь</w:t>
      </w:r>
      <w:r>
        <w:rPr>
          <w:rFonts w:ascii="Times New Roman" w:hAnsi="Times New Roman" w:eastAsia="Calibri" w:cs="Times New Roman"/>
          <w:highlight w:val="none"/>
          <w14:ligatures w14:val="none"/>
        </w:rPr>
      </w:r>
      <w:r>
        <w:rPr>
          <w:rFonts w:ascii="Times New Roman" w:hAnsi="Times New Roman" w:eastAsia="Calibri" w:cs="Times New Roman"/>
          <w:highlight w:val="none"/>
          <w14:ligatures w14:val="none"/>
        </w:rPr>
      </w:r>
    </w:p>
    <w:p>
      <w:pPr>
        <w:pStyle w:val="820"/>
        <w:ind w:firstLine="709"/>
        <w:spacing w:before="0" w:after="0" w:line="240" w:lineRule="auto"/>
        <w:rPr>
          <w:rFonts w:ascii="Times New Roman" w:hAnsi="Times New Roman" w:eastAsia="Calibri" w:cs="Times New Roman"/>
          <w:highlight w:val="none"/>
        </w:rPr>
        <w:suppressLineNumbers w:val="0"/>
      </w:pPr>
      <w:r>
        <w:rPr>
          <w:rFonts w:eastAsia="Calibri" w:cs="Times New Roman"/>
          <w:sz w:val="22"/>
          <w:szCs w:val="22"/>
          <w:lang w:eastAsia="ru-RU"/>
        </w:rPr>
        <w:t xml:space="preserve">БИК банка: 012809106</w:t>
      </w:r>
      <w:r>
        <w:rPr>
          <w:rFonts w:ascii="Times New Roman" w:hAnsi="Times New Roman" w:eastAsia="Calibri" w:cs="Times New Roman"/>
          <w:highlight w:val="none"/>
        </w:rPr>
      </w:r>
      <w:r>
        <w:rPr>
          <w:rFonts w:ascii="Times New Roman" w:hAnsi="Times New Roman" w:eastAsia="Calibri" w:cs="Times New Roman"/>
          <w:highlight w:val="none"/>
        </w:rPr>
      </w:r>
    </w:p>
    <w:p>
      <w:pPr>
        <w:pStyle w:val="820"/>
        <w:contextualSpacing/>
        <w:ind w:left="0" w:firstLine="709"/>
        <w:jc w:val="both"/>
        <w:spacing w:before="0" w:after="0"/>
        <w:rPr>
          <w:sz w:val="22"/>
          <w:szCs w:val="22"/>
        </w:rPr>
      </w:pPr>
      <w:r>
        <w:rPr>
          <w:rFonts w:eastAsia="Calibri" w:cs="Times New Roman"/>
          <w:sz w:val="22"/>
          <w:szCs w:val="22"/>
          <w:lang w:eastAsia="ru-RU"/>
        </w:rPr>
        <w:t xml:space="preserve">Корр. счет банка: 40102810545370000029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случае, если неисполнение или ненадлежащее исполнение контракта Исполнителем повлекло его досрочное прекращение и Заказчик заключил взамен его аналогичный к</w:t>
      </w:r>
      <w:r>
        <w:rPr>
          <w:sz w:val="22"/>
        </w:rPr>
        <w:t xml:space="preserve">онтракт, Заказчик вправе потребовать от Исполнителя возмещения убытков в виде разницы между ценой, установленной в прекращенном контракте, и ценой на сопоставимые товары, работы или услуги по условиям контракта, заключенного взамен прекращенного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Заказчик вправе требовать взыскания убытков в полной сумме сверх штрафа.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Возмещение убытков в случае неисполнения обязательства по контракту и уплата штрафа за его неисполнение не освобождают Исполнителя от исполнения обязательства.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Если вследствие просрочки исполнение Исполнителем утратило интерес для Заказчика, Заказчик вправе отказаться от принятия исполнения и требовать возмещения убытков. 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Заказчик вправе требовать возвращения того, что было им исполнено по контракту до момента изменения или расторжения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случае п</w:t>
      </w:r>
      <w:r>
        <w:rPr>
          <w:sz w:val="22"/>
        </w:rPr>
        <w:t xml:space="preserve">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За каждый факт ненадлежащего исполнения Заказчиком обязательств, предусмотренных</w:t>
      </w:r>
      <w:r>
        <w:rPr>
          <w:sz w:val="22"/>
        </w:rPr>
        <w:t xml:space="preserve"> контрактом, за исключением просрочки исполнения обязательств, предусмотренных контрактом, Исполнитель вправе взыскать с Заказчика штраф, в соответствии с постановлением Правительства Российской Федерации от 30.08.2017 г. № 1042, в размере 1 000,00 рублей.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соответствии с пунктом 5 статьи 34 Федерального закона № 44-ФЗ пеня начисляется за каждый день просрочки исполнения Заказчиком обязательства, предусмотренного Контрактом, начиная со дня, следующего</w:t>
      </w:r>
      <w:r>
        <w:rPr>
          <w:sz w:val="22"/>
        </w:rPr>
        <w:t xml:space="preserve"> после дня истечения установленного Контрактом срока исполнения обязательства.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Общая сумма начисленных неустоек (штрафов, пеней) за ненадлежащее исполнение заказчиком обязательств, предусмотренных контрактом, не может превышать цену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Проценты за пользование чужими денежными средствами начинают начисляться с 30 (тридцатого) дня просрочки исполнения Заказчиком обязательств по контракту.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Стороны освобождаются от уплаты штрафа (пени), если докажут,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Уплата неустойки (штрафа, пени) не освобождает стороны от исполнения обязательств по настоящему контракту и возмещения убытков другой стороне.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jc w:val="both"/>
        <w:spacing w:before="0" w:after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Гарантийные обязательства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2"/>
        <w:numPr>
          <w:ilvl w:val="1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Гарантийный срок качества и объема оказанных услуг не установлен.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jc w:val="both"/>
        <w:spacing w:before="0" w:after="0"/>
        <w:widowControl w:val="off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Обеспечение гарантийных обязательств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widowControl w:val="off"/>
        <w:rPr>
          <w:sz w:val="22"/>
        </w:rPr>
      </w:pPr>
      <w:r>
        <w:rPr>
          <w:sz w:val="22"/>
        </w:rPr>
        <w:t xml:space="preserve">Обеспечение гарантийных обязательств не установлено. 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spacing w:before="0" w:after="0"/>
        <w:widowControl w:val="off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Антикоррупционная оговорка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2"/>
        <w:numPr>
          <w:ilvl w:val="1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Стороны настоящего Контракт</w:t>
      </w:r>
      <w:r>
        <w:rPr>
          <w:sz w:val="22"/>
        </w:rPr>
        <w:t xml:space="preserve">а подтверждают, что проводят антикоррупционную политику и развивают не допускающую коррупционных проявлений культуру; принимают меры, направленные на противодействие легализации (отмыванию) доходов, полученных преступным путем, и финансированию терроризма.</w:t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1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Стороны обязуются рассматривать взаимодействие друг с другом так и иными контрагентами исключительно в рамках действующего законодательства РФ. При этом Стороны не должны прямым либо косвенным способом создавать структуры для реализац</w:t>
      </w:r>
      <w:r>
        <w:rPr>
          <w:sz w:val="22"/>
        </w:rPr>
        <w:t xml:space="preserve">ии запрещенных способов мотивации, а также предлагать друг другу и другим контрагентам использовать такие способы. Стороны запрещают своим работникам взаимодействовать с контрагентами, желающими получить запрещенные способы мотивации через третьи компании.</w:t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1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При исполнении своих обязательств по Контракту Стороны, их аффилированные лица, работники или посредники не осуществляют действия, квалифицируемые действующим за</w:t>
      </w:r>
      <w:r>
        <w:rPr>
          <w:sz w:val="22"/>
        </w:rPr>
        <w:t xml:space="preserve">конодательством, как дача/получение взятки, коммерческий подкуп, злоупотребление полномочиями, а также действия, нарушающие требования законодательства РФ и международных актов о противодействии легализации (отмыванию) доходов, полученных преступным путем.</w:t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1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В случае возникновения у Стороны подозрений, что произошло или может произойти нарушение каких-ли</w:t>
      </w:r>
      <w:r>
        <w:rPr>
          <w:sz w:val="22"/>
        </w:rPr>
        <w:t xml:space="preserve">бо положений настоящего раздела Контракта, соответствующая Сторона обязуется незамедлительно уведомить другую Сторону в письменной форме (по факсу, электронной почте и др.). Сторона, получившая уведомление имеет право приостановить исполнение обязательств </w:t>
      </w:r>
      <w:r>
        <w:rPr>
          <w:sz w:val="22"/>
        </w:rPr>
        <w:t xml:space="preserve">по Контракту до получения подтверждения, что нарушения не произошло или не произойдет в будущем. Указанное подтверждение должно быть направлено в письменной форме (по факсу, электронной почте и др.) в течение 10 рабочих дней с даты направления уведомления.</w:t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1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В письменном уведомлении Сторона обязана сослаться на факты или предоставить м</w:t>
      </w:r>
      <w:r>
        <w:rPr>
          <w:sz w:val="22"/>
        </w:rPr>
        <w:t xml:space="preserve">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его аффилированными лицами, работниками или посредниками, выражающиеся в действиях, к</w:t>
      </w:r>
      <w:r>
        <w:rPr>
          <w:sz w:val="22"/>
        </w:rPr>
        <w:t xml:space="preserve">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1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В случае нарушения любой из Сторон обязательств воздерживаться</w:t>
      </w:r>
      <w:r>
        <w:rPr>
          <w:sz w:val="22"/>
        </w:rPr>
        <w:t xml:space="preserve"> от действий, запрещенных в настоящем разделе и/или неполучения другой Стороной в установленный срок подтверждения, что нарушения не произошло или не произойдет, другая Сторона по данному основанию вправе отказаться от исполнения контракта или принять меры</w:t>
      </w:r>
      <w:r>
        <w:rPr>
          <w:sz w:val="22"/>
        </w:rPr>
        <w:t xml:space="preserve"> по расторжению Контракта в одностороннем порядке. Сторона, по чьей инициативе был расторгнут Контракт, в соответствии с положениями настоящего раздела, вправе требовать с другой Стороны возмещения реального ущерба, возникшего в результате данных действий.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spacing w:before="0" w:after="0"/>
        <w:widowControl w:val="off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Обстоятельства непреодолимой силы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widowControl w:val="off"/>
        <w:rPr>
          <w:sz w:val="22"/>
        </w:rPr>
      </w:pPr>
      <w:r>
        <w:rPr>
          <w:sz w:val="22"/>
        </w:rPr>
        <w:t xml:space="preserve">В случаях наступления обстоятельств непреодолимой силы, оказывающих влияние на выполнение обязательств сторонами по настоящему контракту, сроки выполнения этих обязательств отодвигаются на время действия этих обстоятельств. 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widowControl w:val="off"/>
        <w:rPr>
          <w:sz w:val="22"/>
        </w:rPr>
      </w:pPr>
      <w:r>
        <w:rPr>
          <w:sz w:val="22"/>
        </w:rPr>
        <w:t xml:space="preserve">К обстоятельствам</w:t>
      </w:r>
      <w:r>
        <w:rPr>
          <w:sz w:val="22"/>
        </w:rPr>
        <w:t xml:space="preserve"> непреодолимой силы, препятствующим выполнению обязательств сторонами по настоящему контракту, относятся: наводнения, пожары, землетрясения, эпидемии, военные конфликты, военные перевороты, террористические акты, а также события, влияющие на исполнение сто</w:t>
      </w:r>
      <w:r>
        <w:rPr>
          <w:sz w:val="22"/>
        </w:rPr>
        <w:t xml:space="preserve">ронами своих обязательств, и не зависящие от воли и действий сторон, а именно: наличие нормативных и ненормативных актов, препятствующих выполнению обязательств сторонами, отсутствие своевременного финансирования Заказчика по предмету настоящего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widowControl w:val="off"/>
        <w:rPr>
          <w:sz w:val="22"/>
        </w:rPr>
      </w:pPr>
      <w:r>
        <w:rPr>
          <w:sz w:val="22"/>
        </w:rPr>
        <w:t xml:space="preserve">В случае возникновения обстоятельств непреодолимой силы по настоящему контракту стороны обмениваются письменными уведомлениями об этом не позднее 2 </w:t>
      </w:r>
      <w:r>
        <w:rPr>
          <w:i/>
          <w:sz w:val="22"/>
        </w:rPr>
        <w:t xml:space="preserve">(двух)</w:t>
      </w:r>
      <w:r>
        <w:rPr>
          <w:sz w:val="22"/>
        </w:rPr>
        <w:t xml:space="preserve"> рабочих дней после возникновения обстоятельств и предоставляют подтверждающие документы при их наличии.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jc w:val="both"/>
        <w:spacing w:before="0" w:after="0"/>
        <w:widowControl w:val="off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pacing w:val="-2"/>
          <w:sz w:val="22"/>
        </w:rPr>
      </w:pPr>
      <w:r>
        <w:rPr>
          <w:b/>
          <w:sz w:val="22"/>
        </w:rPr>
        <w:t xml:space="preserve">Порядок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 xml:space="preserve">разрешения</w:t>
      </w:r>
      <w:r>
        <w:rPr>
          <w:b/>
          <w:spacing w:val="-2"/>
          <w:sz w:val="22"/>
        </w:rPr>
        <w:t xml:space="preserve"> споров</w:t>
      </w:r>
      <w:r>
        <w:rPr>
          <w:b/>
          <w:spacing w:val="-2"/>
          <w:sz w:val="22"/>
        </w:rPr>
      </w:r>
      <w:r>
        <w:rPr>
          <w:b/>
          <w:spacing w:val="-2"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Претензионный порядок досудебного урегулирования споров, вытекающих из Контракта, является для Сторон обязательным.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Срок рассмотрения претензионного письма и направления ответа на него составляет 10 рабочих дней со дня получения последнего адресатом.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случае не урегулирования споров и разногласий в претензионном порядке они передаются на рассмотрение в суд по месту нахождения Заказчика.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jc w:val="both"/>
        <w:spacing w:before="0" w:after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Срок действия, расторжение контракта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pacing w:val="-6"/>
          <w:sz w:val="22"/>
        </w:rPr>
      </w:pPr>
      <w:r/>
      <w:bookmarkStart w:id="0" w:name="Par128"/>
      <w:r/>
      <w:bookmarkEnd w:id="0"/>
      <w:r>
        <w:rPr>
          <w:spacing w:val="-1"/>
          <w:sz w:val="22"/>
        </w:rPr>
        <w:t xml:space="preserve"> </w:t>
      </w:r>
      <w:r>
        <w:rPr>
          <w:spacing w:val="-1"/>
          <w:sz w:val="22"/>
        </w:rPr>
        <w:t xml:space="preserve">Настоящий контракт вступает в силу со дня подписания и действует до 31 декабря 202</w:t>
      </w:r>
      <w:r>
        <w:rPr>
          <w:spacing w:val="-1"/>
          <w:sz w:val="22"/>
        </w:rPr>
        <w:t xml:space="preserve">6 </w:t>
      </w:r>
      <w:r>
        <w:rPr>
          <w:spacing w:val="-1"/>
          <w:sz w:val="22"/>
        </w:rPr>
        <w:t xml:space="preserve">года.</w:t>
      </w:r>
      <w:r>
        <w:rPr>
          <w:spacing w:val="-6"/>
          <w:sz w:val="22"/>
        </w:rPr>
      </w:r>
      <w:r>
        <w:rPr>
          <w:spacing w:val="-6"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pacing w:val="-6"/>
          <w:sz w:val="22"/>
        </w:rPr>
      </w:pPr>
      <w:r>
        <w:rPr>
          <w:spacing w:val="-1"/>
          <w:sz w:val="22"/>
        </w:rPr>
        <w:t xml:space="preserve"> </w:t>
      </w:r>
      <w:r>
        <w:rPr>
          <w:spacing w:val="-1"/>
          <w:sz w:val="22"/>
        </w:rPr>
        <w:t xml:space="preserve"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</w:t>
      </w:r>
      <w:r>
        <w:rPr>
          <w:sz w:val="22"/>
        </w:rPr>
        <w:t xml:space="preserve">законодательством.</w:t>
      </w:r>
      <w:r>
        <w:rPr>
          <w:spacing w:val="-6"/>
          <w:sz w:val="22"/>
        </w:rPr>
      </w:r>
      <w:r>
        <w:rPr>
          <w:spacing w:val="-6"/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 xml:space="preserve"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tabs>
          <w:tab w:val="clear" w:pos="708" w:leader="none"/>
          <w:tab w:val="left" w:pos="979" w:leader="none"/>
        </w:tabs>
        <w:rPr>
          <w:sz w:val="22"/>
        </w:rPr>
      </w:pPr>
      <w:r>
        <w:rPr>
          <w:spacing w:val="-1"/>
          <w:sz w:val="22"/>
        </w:rPr>
        <w:t xml:space="preserve"> </w:t>
      </w:r>
      <w:r>
        <w:rPr>
          <w:spacing w:val="-1"/>
          <w:sz w:val="22"/>
        </w:rPr>
        <w:t xml:space="preserve">Заказчик вправе провести экспертизу оказанных услуг, с привлечением экспертов, экспертных организаций до принятия решения об одностороннем отказе от исполнения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pacing w:val="-1"/>
          <w:sz w:val="22"/>
        </w:rPr>
        <w:t xml:space="preserve"> </w:t>
      </w:r>
      <w:r>
        <w:rPr>
          <w:spacing w:val="-1"/>
          <w:sz w:val="22"/>
        </w:rPr>
        <w:t xml:space="preserve">Если З</w:t>
      </w:r>
      <w:r>
        <w:rPr>
          <w:spacing w:val="-1"/>
          <w:sz w:val="22"/>
        </w:rPr>
        <w:t xml:space="preserve">аказчиком проведена экспертиза оказанных услуг,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выполненной работы, в </w:t>
      </w:r>
      <w:r>
        <w:rPr>
          <w:spacing w:val="-2"/>
          <w:sz w:val="22"/>
        </w:rPr>
        <w:t xml:space="preserve">заключение эксперта, экспертной организации будут подтверждены нарушения условий контракта, </w:t>
      </w:r>
      <w:r>
        <w:rPr>
          <w:spacing w:val="-1"/>
          <w:sz w:val="22"/>
        </w:rPr>
        <w:t xml:space="preserve">послужившие основанием для одностороннего отказа заказчика от исполнения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 случае принятия решени</w:t>
      </w:r>
      <w:r>
        <w:rPr>
          <w:sz w:val="22"/>
        </w:rPr>
        <w:t xml:space="preserve">е об одностороннем отказе от исполнения государственного Контракта в соответствии с гражданским законодательством Российской Федерации, расторжение государственного Контракта осуществляется в порядке, предусмотренном статьей 95 Федерального закона № 44-ФЗ.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При расторжении Контракта в связи с односторонним отказом стороны контракта от</w:t>
      </w:r>
      <w:r>
        <w:rPr>
          <w:sz w:val="22"/>
        </w:rPr>
        <w:t xml:space="preserve">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left="709"/>
        <w:jc w:val="both"/>
        <w:spacing w:before="0" w:after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Конфиденциальность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72"/>
        <w:numPr>
          <w:ilvl w:val="1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Стороны берут на себя взаимные обязательства по соблюдению режима конфиденциальности в отношении информации, полученной при исполнении контракта, в соответствии с требованиями Федерального закона от 27.07.2006 № 152-ФЗ «О защите персональных данных».</w:t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1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1"/>
          <w:numId w:val="1"/>
        </w:numPr>
        <w:ind w:left="0" w:firstLine="709"/>
        <w:jc w:val="both"/>
        <w:rPr>
          <w:sz w:val="22"/>
        </w:rPr>
      </w:pPr>
      <w:r>
        <w:rPr>
          <w:sz w:val="22"/>
        </w:rPr>
        <w:t xml:space="preserve">Передача информации т</w:t>
      </w:r>
      <w:r>
        <w:rPr>
          <w:sz w:val="22"/>
        </w:rPr>
        <w:t xml:space="preserve">ретьим лицам или иное разглашение информации, признанной по контракту конфиденциальной, может осуществляться только с письменного согласия другой Стороны, за исключением случаев обязательного предоставления информации, предусмотренных законодательством РФ.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jc w:val="both"/>
        <w:spacing w:before="0" w:after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sz w:val="22"/>
        </w:rPr>
      </w:pPr>
      <w:r>
        <w:rPr>
          <w:b/>
          <w:sz w:val="22"/>
        </w:rPr>
        <w:t xml:space="preserve">Заключительные положения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 xml:space="preserve">Все изменения и дополнения действуют только в том случае, если они совершены в письменной форме и подписаны Сторонами.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Стороны признают, что, если какое-либо из положений Контракта становится недействительным в течение срока его действия вследствие изменения законодательства, остальные положения Контракта обязательны для Сторон в течение срока действия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Все уведомления, письма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телефаксу, электронной почте или доставлены лично по адресам Сторон.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Письменно информировать другую Сторону об указанных ниже обстоятельствах в срок не позднее 5 (пяти) дней с даты их возникновения: изменении местонахождения, почтового адреса; наименования; реорганизации Исп</w:t>
      </w:r>
      <w:r>
        <w:rPr>
          <w:sz w:val="22"/>
        </w:rPr>
        <w:t xml:space="preserve">олнителя; возбуждении (начале) в отношении Исполнителя процедуры банкротства или ликвидации; изменении состава учредителей (участников, акционеров) Исполнителя и внесении изменений и дополнений в его учредительные документы; участии в судебных процессах, с</w:t>
      </w:r>
      <w:r>
        <w:rPr>
          <w:sz w:val="22"/>
        </w:rPr>
        <w:t xml:space="preserve">вязанных с исполнением настоящего Контракта; приостановлении действия лицензий, окончании срока их действия, отзыве лицензий, необходимых для исполнения настоящего Контракта; иных обстоятельствах, препятствующих надлежащему исполнению настоящего Контракта.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1"/>
          <w:numId w:val="1"/>
        </w:numPr>
        <w:contextualSpacing/>
        <w:ind w:left="0" w:firstLine="709"/>
        <w:jc w:val="both"/>
        <w:spacing w:before="0" w:after="0"/>
        <w:rPr>
          <w:sz w:val="22"/>
        </w:rPr>
      </w:pPr>
      <w:r>
        <w:rPr>
          <w:sz w:val="22"/>
        </w:rPr>
        <w:t xml:space="preserve">Исполнитель не вправе передавать свои права по Контракту третьим лицам.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ind w:firstLine="709"/>
        <w:jc w:val="both"/>
        <w:spacing w:before="0" w:after="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72"/>
        <w:numPr>
          <w:ilvl w:val="0"/>
          <w:numId w:val="1"/>
        </w:numPr>
        <w:ind w:left="0" w:firstLine="0"/>
        <w:jc w:val="center"/>
        <w:rPr>
          <w:b/>
          <w:sz w:val="22"/>
        </w:rPr>
      </w:pPr>
      <w:r>
        <w:rPr>
          <w:b/>
          <w:sz w:val="22"/>
        </w:rPr>
        <w:t xml:space="preserve">Адреса и реквизиты сторон</w:t>
      </w:r>
      <w:r>
        <w:rPr>
          <w:b/>
          <w:sz w:val="22"/>
        </w:rPr>
      </w:r>
      <w:r>
        <w:rPr>
          <w:b/>
          <w:sz w:val="22"/>
        </w:rPr>
      </w:r>
    </w:p>
    <w:tbl>
      <w:tblPr>
        <w:tblW w:w="9639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>
        <w:tblPrEx/>
        <w:trPr>
          <w:trHeight w:val="280"/>
        </w:trPr>
        <w:tc>
          <w:tcPr>
            <w:tcW w:w="4820" w:type="dxa"/>
            <w:textDirection w:val="lrTb"/>
            <w:noWrap w:val="false"/>
          </w:tcPr>
          <w:p>
            <w:pPr>
              <w:pStyle w:val="820"/>
              <w:contextualSpacing/>
              <w:jc w:val="center"/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Исполнитель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0"/>
              <w:contextualSpacing/>
              <w:jc w:val="center"/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Заказчик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blPrEx/>
        <w:trPr>
          <w:trHeight w:val="3691"/>
        </w:trPr>
        <w:tc>
          <w:tcPr>
            <w:tcW w:w="4820" w:type="dxa"/>
            <w:textDirection w:val="lrTb"/>
            <w:noWrap w:val="false"/>
          </w:tcPr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0"/>
              <w:jc w:val="left"/>
              <w:spacing w:before="0" w:after="0"/>
              <w:widowControl w:val="off"/>
              <w:rPr>
                <w:b/>
                <w:sz w:val="22"/>
              </w:rPr>
            </w:pPr>
            <w:r>
              <w:rPr>
                <w:rFonts w:eastAsia="Times New Roman" w:cs="Times New Roman"/>
                <w:b/>
                <w:color w:val="000000"/>
                <w:sz w:val="22"/>
                <w:szCs w:val="20"/>
              </w:rPr>
              <w:t xml:space="preserve">ТУ Росимущества в Тверской области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2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Юридический адрес/почтовый адрес: 170100, г. Тверь, ул. Советская, д. 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2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ИНН 6950125150/КПП 695001001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2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в ОКЦ № 1 ВВГУ Банка России // УФК по Нижегородской области, г. Нижний Новгород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  <w:p>
            <w:pPr>
              <w:pStyle w:val="82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БИК 012202102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  <w:p>
            <w:pPr>
              <w:pStyle w:val="82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Управление федерального казначейства пo Нижегородской обл. (ТУ Росимущества в Тверской области л/с 03361A56470)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  <w:p>
            <w:pPr>
              <w:pStyle w:val="82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Корр. счет банка 40102810745370000024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  <w:p>
            <w:pPr>
              <w:pStyle w:val="82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Банковский счет 03211643000000013223</w:t>
            </w:r>
            <w:r>
              <w:rPr>
                <w:rFonts w:ascii="Times New Roman" w:hAnsi="Times New Roman"/>
                <w14:ligatures w14:val="none"/>
              </w:rPr>
            </w:r>
            <w:r>
              <w:rPr>
                <w:rFonts w:ascii="Times New Roman" w:hAnsi="Times New Roman"/>
                <w14:ligatures w14:val="none"/>
              </w:rPr>
            </w:r>
          </w:p>
          <w:p>
            <w:pPr>
              <w:pStyle w:val="82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Тел. 8-4822-32-03-33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20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E-mail: </w:t>
            </w:r>
            <w:hyperlink r:id="rId9" w:tooltip="mailto:tu69@rosim.gov.ru" w:history="1">
              <w:r>
                <w:rPr>
                  <w:rFonts w:eastAsia="Times New Roman" w:cs="Times New Roman"/>
                  <w:color w:val="0000ff"/>
                  <w:sz w:val="22"/>
                  <w:szCs w:val="22"/>
                  <w:u w:val="single"/>
                </w:rPr>
                <w:t xml:space="preserve">tu69@rosim.gov.ru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20"/>
              <w:jc w:val="left"/>
              <w:spacing w:before="0" w:after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20"/>
              <w:jc w:val="left"/>
              <w:spacing w:before="0" w:after="0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095"/>
        </w:trPr>
        <w:tc>
          <w:tcPr>
            <w:tcW w:w="4820" w:type="dxa"/>
            <w:textDirection w:val="lrTb"/>
            <w:noWrap w:val="false"/>
          </w:tcPr>
          <w:p>
            <w:pPr>
              <w:pStyle w:val="820"/>
              <w:contextualSpacing/>
              <w:jc w:val="both"/>
              <w:spacing w:before="0" w:after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</w:r>
            <w:r>
              <w:rPr>
                <w:sz w:val="22"/>
                <w:lang w:val="en-US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___________________________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______________ /__________________/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___________________________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______________ /__________________/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820"/>
        <w:jc w:val="both"/>
        <w:rPr>
          <w:sz w:val="22"/>
        </w:rPr>
      </w:pPr>
      <w:r>
        <w:rPr>
          <w:sz w:val="22"/>
        </w:rPr>
      </w:r>
      <w:bookmarkStart w:id="2" w:name="_GoBack"/>
      <w:r/>
      <w:bookmarkEnd w:id="2"/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both"/>
        <w:rPr>
          <w:sz w:val="22"/>
        </w:rPr>
      </w:pPr>
      <w:r>
        <w:rPr>
          <w:sz w:val="22"/>
        </w:rPr>
      </w:r>
      <w:r>
        <w:br w:type="page" w:clear="all"/>
      </w:r>
      <w:r>
        <w:rPr>
          <w:sz w:val="22"/>
        </w:rPr>
      </w:r>
      <w:r>
        <w:rPr>
          <w:sz w:val="22"/>
        </w:rPr>
      </w:r>
    </w:p>
    <w:p>
      <w:pPr>
        <w:pStyle w:val="820"/>
        <w:jc w:val="right"/>
        <w:tabs>
          <w:tab w:val="clear" w:pos="708" w:leader="none"/>
          <w:tab w:val="left" w:pos="3735" w:leader="none"/>
        </w:tabs>
        <w:rPr>
          <w:sz w:val="22"/>
        </w:rPr>
      </w:pPr>
      <w:r/>
      <w:bookmarkStart w:id="3" w:name="P507"/>
      <w:r/>
      <w:bookmarkEnd w:id="3"/>
      <w:r>
        <w:rPr>
          <w:sz w:val="22"/>
        </w:rPr>
        <w:t xml:space="preserve">Приложение № 1</w:t>
      </w:r>
      <w:r>
        <w:rPr>
          <w:sz w:val="22"/>
        </w:rPr>
      </w:r>
      <w:r>
        <w:rPr>
          <w:sz w:val="22"/>
        </w:rPr>
      </w:r>
    </w:p>
    <w:p>
      <w:pPr>
        <w:pStyle w:val="820"/>
        <w:jc w:val="right"/>
        <w:tabs>
          <w:tab w:val="clear" w:pos="708" w:leader="none"/>
          <w:tab w:val="left" w:pos="3735" w:leader="none"/>
        </w:tabs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 xml:space="preserve">к Контракту  </w:t>
      </w:r>
      <w:r>
        <w:rPr>
          <w:sz w:val="22"/>
        </w:rPr>
      </w:r>
      <w:r>
        <w:rPr>
          <w:sz w:val="22"/>
        </w:rPr>
      </w:r>
    </w:p>
    <w:p>
      <w:pPr>
        <w:pStyle w:val="820"/>
        <w:jc w:val="right"/>
        <w:tabs>
          <w:tab w:val="clear" w:pos="708" w:leader="none"/>
          <w:tab w:val="left" w:pos="3735" w:leader="none"/>
        </w:tabs>
        <w:rPr>
          <w:sz w:val="22"/>
        </w:rPr>
      </w:pPr>
      <w:r>
        <w:rPr>
          <w:sz w:val="22"/>
        </w:rPr>
        <w:t xml:space="preserve">№  </w:t>
      </w:r>
      <w:r>
        <w:rPr>
          <w:sz w:val="22"/>
        </w:rPr>
        <w:t xml:space="preserve">_________ от «__» _________ 20__ г.</w:t>
      </w:r>
      <w:r>
        <w:rPr>
          <w:sz w:val="22"/>
        </w:rPr>
      </w:r>
      <w:r>
        <w:rPr>
          <w:sz w:val="22"/>
        </w:rPr>
      </w:r>
    </w:p>
    <w:p>
      <w:pPr>
        <w:pStyle w:val="820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20"/>
        <w:jc w:val="center"/>
        <w:rPr>
          <w:sz w:val="22"/>
        </w:rPr>
      </w:pPr>
      <w:r>
        <w:rPr>
          <w:sz w:val="22"/>
        </w:rPr>
        <w:t xml:space="preserve">Техническое задание 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jc w:val="both"/>
        <w:rPr>
          <w:sz w:val="22"/>
        </w:rPr>
      </w:pPr>
      <w:r>
        <w:rPr>
          <w:b/>
          <w:sz w:val="22"/>
        </w:rPr>
        <w:t xml:space="preserve">Наименование услуг:</w:t>
      </w:r>
      <w:r>
        <w:rPr>
          <w:rStyle w:val="827"/>
          <w:sz w:val="22"/>
        </w:rPr>
        <w:t xml:space="preserve"> проведение предрейсовых и послерейсовых медицинских осмотров водителей и технических осмотров транспортных средств: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0"/>
          <w:numId w:val="2"/>
        </w:numPr>
        <w:contextualSpacing/>
        <w:ind w:left="0" w:firstLine="0"/>
        <w:jc w:val="both"/>
        <w:spacing w:before="0" w:after="0"/>
        <w:widowControl w:val="off"/>
        <w:rPr>
          <w:sz w:val="22"/>
        </w:rPr>
      </w:pPr>
      <w:r>
        <w:rPr>
          <w:sz w:val="22"/>
        </w:rPr>
        <w:t xml:space="preserve">обязательных предрейсовых и послерейсовых медицинских осмотров водителей транспортных средств;</w:t>
      </w:r>
      <w:r>
        <w:rPr>
          <w:sz w:val="22"/>
        </w:rPr>
      </w:r>
      <w:r>
        <w:rPr>
          <w:sz w:val="22"/>
        </w:rPr>
      </w:r>
    </w:p>
    <w:p>
      <w:pPr>
        <w:pStyle w:val="820"/>
        <w:numPr>
          <w:ilvl w:val="0"/>
          <w:numId w:val="2"/>
        </w:numPr>
      </w:pPr>
      <w:r>
        <w:rPr>
          <w:color w:val="333333"/>
          <w:sz w:val="22"/>
          <w:highlight w:val="white"/>
        </w:rPr>
        <w:t xml:space="preserve">предрейсовых и послерейсовых</w:t>
      </w:r>
      <w:r>
        <w:rPr>
          <w:spacing w:val="-10"/>
          <w:sz w:val="22"/>
        </w:rPr>
        <w:t xml:space="preserve"> технических осмотров состояния транспортных средств Заказчика</w:t>
      </w:r>
      <w:r/>
    </w:p>
    <w:p>
      <w:pPr>
        <w:pStyle w:val="820"/>
        <w:contextualSpacing/>
        <w:jc w:val="both"/>
        <w:spacing w:before="0" w:after="0"/>
        <w:widowControl w:val="off"/>
        <w:rPr>
          <w:b/>
          <w:sz w:val="22"/>
        </w:rPr>
      </w:pPr>
      <w:r>
        <w:rPr>
          <w:b/>
          <w:sz w:val="22"/>
        </w:rPr>
        <w:t xml:space="preserve">Требования, предъявляемые к оказываемым услугам:</w:t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ind w:firstLine="709"/>
        <w:jc w:val="both"/>
        <w:tabs>
          <w:tab w:val="left" w:pos="446" w:leader="none"/>
          <w:tab w:val="clear" w:pos="708" w:leader="none"/>
        </w:tabs>
        <w:rPr>
          <w:sz w:val="22"/>
        </w:rPr>
      </w:pPr>
      <w:r>
        <w:rPr>
          <w:sz w:val="22"/>
        </w:rPr>
        <w:t xml:space="preserve">Целью предрейсовых и</w:t>
      </w:r>
      <w:r>
        <w:rPr>
          <w:sz w:val="22"/>
        </w:rPr>
        <w:t xml:space="preserve">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автомобилем, как с позиции обеспечения безопасности дорожного движения, так и охраны здоровья водителя и пассажиров.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tabs>
          <w:tab w:val="left" w:pos="415" w:leader="none"/>
          <w:tab w:val="clear" w:pos="708" w:leader="none"/>
        </w:tabs>
        <w:rPr>
          <w:sz w:val="22"/>
        </w:rPr>
      </w:pPr>
      <w:r>
        <w:rPr>
          <w:sz w:val="22"/>
        </w:rPr>
        <w:t xml:space="preserve">Предрейсовые и послерейсовые медицинские осмотры, в рамка</w:t>
      </w:r>
      <w:r>
        <w:rPr>
          <w:sz w:val="22"/>
        </w:rPr>
        <w:t xml:space="preserve">х настоящего Контракта проводятся медицинским персоналом Исполнителя, имеющим соответствующий сертификат. Медицинский осмотр водителей проводится Исполнителем ежедневно в будние дни  и субботу с 5.00 до 7.45; в воскресенье и праздничные дни с 6.00 до 9.00.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tabs>
          <w:tab w:val="left" w:pos="415" w:leader="none"/>
          <w:tab w:val="clear" w:pos="708" w:leader="none"/>
        </w:tabs>
        <w:rPr>
          <w:sz w:val="22"/>
        </w:rPr>
      </w:pPr>
      <w:r>
        <w:rPr>
          <w:sz w:val="22"/>
        </w:rPr>
        <w:t xml:space="preserve">Предрейсовые и послерейсовые медицинские осмотры проводятся медицинским работником в условиях медицинского учреждения Исполнителя по адресу: ________________________________</w:t>
      </w:r>
      <w:r>
        <w:rPr>
          <w:smallCaps/>
          <w:sz w:val="22"/>
          <w:highlight w:val="white"/>
        </w:rPr>
        <w:t xml:space="preserve">.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tabs>
          <w:tab w:val="left" w:pos="438" w:leader="none"/>
          <w:tab w:val="clear" w:pos="708" w:leader="none"/>
        </w:tabs>
        <w:rPr>
          <w:sz w:val="22"/>
        </w:rPr>
      </w:pPr>
      <w:r>
        <w:rPr>
          <w:sz w:val="22"/>
        </w:rPr>
        <w:t xml:space="preserve">Исполнитель при осуществлении предрейсовых и послерейсовых медицинских осмотров обязан: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tabs>
          <w:tab w:val="left" w:pos="660" w:leader="none"/>
          <w:tab w:val="clear" w:pos="708" w:leader="none"/>
        </w:tabs>
        <w:rPr>
          <w:sz w:val="22"/>
        </w:rPr>
      </w:pPr>
      <w:r>
        <w:rPr>
          <w:sz w:val="22"/>
        </w:rPr>
        <w:t xml:space="preserve">- организовать повышение квалификации специалистов по вопросам организации проведения предрейсовых и послерейсовых медицинских осмотров;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tabs>
          <w:tab w:val="left" w:pos="582" w:leader="none"/>
          <w:tab w:val="clear" w:pos="708" w:leader="none"/>
        </w:tabs>
        <w:rPr>
          <w:sz w:val="22"/>
        </w:rPr>
      </w:pPr>
      <w:r>
        <w:rPr>
          <w:sz w:val="22"/>
        </w:rPr>
        <w:t xml:space="preserve">- обеспечить медицинских работников бланками учетно-отчетной документации.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tabs>
          <w:tab w:val="left" w:pos="438" w:leader="none"/>
          <w:tab w:val="clear" w:pos="708" w:leader="none"/>
        </w:tabs>
        <w:rPr>
          <w:sz w:val="22"/>
        </w:rPr>
      </w:pPr>
      <w:r>
        <w:rPr>
          <w:color w:val="333333"/>
          <w:sz w:val="22"/>
          <w:highlight w:val="white"/>
        </w:rPr>
        <w:t xml:space="preserve">Цель проведения предрейсового и послерейсового техосмотра – обеспечение безопасности участников дорожного движения от </w:t>
      </w:r>
      <w:r>
        <w:rPr>
          <w:sz w:val="22"/>
        </w:rPr>
        <w:t xml:space="preserve">возможных</w:t>
      </w:r>
      <w:r>
        <w:rPr>
          <w:color w:val="333333"/>
          <w:sz w:val="22"/>
          <w:highlight w:val="white"/>
        </w:rPr>
        <w:t xml:space="preserve"> аварий по причине неисправности транспортных средств.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widowControl w:val="off"/>
        <w:rPr>
          <w:color w:val="333333"/>
          <w:sz w:val="22"/>
          <w:highlight w:val="white"/>
        </w:rPr>
      </w:pPr>
      <w:r>
        <w:rPr>
          <w:color w:val="333333"/>
          <w:sz w:val="22"/>
          <w:highlight w:val="white"/>
        </w:rPr>
        <w:t xml:space="preserve">Предрейсовый и послерейсовый техосмотр автомобиля проводит механик, прошедший аттестацию в Российской транспортной инспекции.</w:t>
      </w:r>
      <w:r>
        <w:rPr>
          <w:color w:val="333333"/>
          <w:sz w:val="22"/>
          <w:highlight w:val="white"/>
        </w:rPr>
      </w:r>
      <w:r>
        <w:rPr>
          <w:color w:val="333333"/>
          <w:sz w:val="22"/>
          <w:highlight w:val="white"/>
        </w:rPr>
      </w:r>
    </w:p>
    <w:p>
      <w:pPr>
        <w:pStyle w:val="820"/>
        <w:ind w:firstLine="709"/>
        <w:jc w:val="both"/>
        <w:tabs>
          <w:tab w:val="left" w:pos="415" w:leader="none"/>
          <w:tab w:val="clear" w:pos="708" w:leader="none"/>
        </w:tabs>
        <w:rPr>
          <w:sz w:val="22"/>
        </w:rPr>
      </w:pPr>
      <w:r>
        <w:rPr>
          <w:color w:val="333333"/>
          <w:sz w:val="22"/>
          <w:highlight w:val="white"/>
        </w:rPr>
        <w:t xml:space="preserve">Предрейсовый и послерейсовый техосмотр </w:t>
      </w:r>
      <w:r>
        <w:rPr>
          <w:sz w:val="22"/>
        </w:rPr>
        <w:t xml:space="preserve">проводится Исполнителем ежедневно в будние дни и субботу с 5.00 до 7.45; в воскресенье и праздничные дни с 6.00 до 9.00 по адресу: ____________________</w:t>
      </w:r>
      <w:r>
        <w:rPr>
          <w:smallCaps/>
          <w:sz w:val="22"/>
          <w:highlight w:val="white"/>
        </w:rPr>
        <w:t xml:space="preserve">.</w:t>
      </w:r>
      <w:r>
        <w:rPr>
          <w:sz w:val="22"/>
        </w:rPr>
      </w:r>
      <w:r>
        <w:rPr>
          <w:sz w:val="22"/>
        </w:rPr>
      </w:r>
    </w:p>
    <w:p>
      <w:pPr>
        <w:pStyle w:val="820"/>
        <w:ind w:firstLine="709"/>
        <w:jc w:val="both"/>
        <w:tabs>
          <w:tab w:val="left" w:pos="438" w:leader="none"/>
          <w:tab w:val="clear" w:pos="708" w:leader="none"/>
        </w:tabs>
        <w:rPr>
          <w:sz w:val="22"/>
        </w:rPr>
      </w:pPr>
      <w:r>
        <w:rPr>
          <w:sz w:val="22"/>
        </w:rPr>
        <w:t xml:space="preserve">По результатам прохождения предрейсового и послерейсового технического и медицинского осмотра ставится отметка в путевом листе Заказчика.</w:t>
      </w:r>
      <w:r>
        <w:rPr>
          <w:sz w:val="22"/>
        </w:rPr>
      </w:r>
      <w:r>
        <w:rPr>
          <w:sz w:val="22"/>
        </w:rPr>
      </w:r>
    </w:p>
    <w:p>
      <w:pPr>
        <w:pStyle w:val="820"/>
        <w:contextualSpacing/>
        <w:jc w:val="center"/>
        <w:spacing w:before="0" w:after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contextualSpacing/>
        <w:jc w:val="center"/>
        <w:spacing w:before="0" w:after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contextualSpacing/>
        <w:jc w:val="center"/>
        <w:spacing w:before="0" w:after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contextualSpacing/>
        <w:jc w:val="center"/>
        <w:spacing w:before="0" w:after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contextualSpacing/>
        <w:jc w:val="center"/>
        <w:spacing w:before="0" w:after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tbl>
      <w:tblPr>
        <w:tblW w:w="9639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>
        <w:tblPrEx/>
        <w:trPr>
          <w:trHeight w:val="280"/>
        </w:trPr>
        <w:tc>
          <w:tcPr>
            <w:tcW w:w="4820" w:type="dxa"/>
            <w:textDirection w:val="lrTb"/>
            <w:noWrap w:val="false"/>
          </w:tcPr>
          <w:p>
            <w:pPr>
              <w:pStyle w:val="820"/>
              <w:contextualSpacing/>
              <w:jc w:val="center"/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Исполнитель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0"/>
              <w:contextualSpacing/>
              <w:jc w:val="center"/>
              <w:spacing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Заказчик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</w:tr>
      <w:tr>
        <w:tblPrEx/>
        <w:trPr>
          <w:trHeight w:val="459"/>
        </w:trPr>
        <w:tc>
          <w:tcPr>
            <w:tcW w:w="4820" w:type="dxa"/>
            <w:textDirection w:val="lrTb"/>
            <w:noWrap w:val="false"/>
          </w:tcPr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_____________________________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0"/>
              <w:widowControl w:val="off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ТУ Росимущества в Тверской области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Style w:val="820"/>
              <w:widowControl w:val="off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>
          <w:trHeight w:val="1095"/>
        </w:trPr>
        <w:tc>
          <w:tcPr>
            <w:tcW w:w="4820" w:type="dxa"/>
            <w:textDirection w:val="lrTb"/>
            <w:noWrap w:val="false"/>
          </w:tcPr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___________________________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jc w:val="both"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______________ /__________________/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4818" w:type="dxa"/>
            <w:textDirection w:val="lrTb"/>
            <w:noWrap w:val="false"/>
          </w:tcPr>
          <w:p>
            <w:pPr>
              <w:pStyle w:val="820"/>
              <w:contextualSpacing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___________________________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spacing w:before="0" w:after="0"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20"/>
              <w:contextualSpacing/>
              <w:spacing w:before="0" w:after="0"/>
              <w:rPr>
                <w:sz w:val="22"/>
              </w:rPr>
            </w:pPr>
            <w:r>
              <w:rPr>
                <w:sz w:val="22"/>
              </w:rPr>
              <w:t xml:space="preserve">______________ /__________________/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</w:tbl>
    <w:p>
      <w:pPr>
        <w:pStyle w:val="820"/>
        <w:contextualSpacing/>
        <w:jc w:val="center"/>
        <w:spacing w:before="0" w:after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contextualSpacing/>
        <w:jc w:val="center"/>
        <w:spacing w:before="0" w:after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p>
      <w:pPr>
        <w:pStyle w:val="820"/>
        <w:contextualSpacing/>
        <w:jc w:val="center"/>
        <w:spacing w:before="0" w:after="0"/>
        <w:rPr>
          <w:b/>
          <w:sz w:val="22"/>
        </w:rPr>
      </w:pPr>
      <w:r>
        <w:rPr>
          <w:b/>
          <w:sz w:val="22"/>
        </w:rPr>
      </w:r>
      <w:r>
        <w:rPr>
          <w:b/>
          <w:sz w:val="22"/>
        </w:rPr>
      </w:r>
      <w:r>
        <w:rPr>
          <w:b/>
          <w:sz w:val="22"/>
        </w:rPr>
      </w:r>
    </w:p>
    <w:sectPr>
      <w:footnotePr/>
      <w:endnotePr/>
      <w:type w:val="nextPage"/>
      <w:pgSz w:w="11906" w:h="16838" w:orient="portrait"/>
      <w:pgMar w:top="794" w:right="851" w:bottom="851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ahoma">
    <w:panose1 w:val="020B0604030504040204"/>
  </w:font>
  <w:font w:name="Noto Sans">
    <w:panose1 w:val="020B0502040504020204"/>
  </w:font>
  <w:font w:name="Wingdings">
    <w:panose1 w:val="05010000000000000000"/>
  </w:font>
  <w:font w:name="Liberation Sans">
    <w:panose1 w:val="020B0604020202020204"/>
  </w:font>
  <w:font w:name="Segoe UI">
    <w:panose1 w:val="020B050204050402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6" w:hanging="360"/>
        <w:tabs>
          <w:tab w:val="num" w:pos="0" w:leader="none"/>
        </w:tabs>
      </w:pPr>
      <w:rPr>
        <w:rFonts w:ascii="Times New Roman" w:hAnsi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283" w:hanging="1290"/>
        <w:tabs>
          <w:tab w:val="num" w:pos="0" w:leader="none"/>
        </w:tabs>
      </w:pPr>
      <w:rPr>
        <w:b w:val="0"/>
        <w:i w:val="0"/>
        <w:color w:val="000000"/>
        <w:sz w:val="22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283" w:hanging="1290"/>
        <w:tabs>
          <w:tab w:val="num" w:pos="0" w:leader="none"/>
        </w:tabs>
      </w:pPr>
      <w:rPr>
        <w:sz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98" w:hanging="129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98" w:hanging="129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8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8" w:hanging="180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8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8" w:hanging="216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0" w:leader="none"/>
        </w:tabs>
      </w:pPr>
      <w:rPr>
        <w:rFonts w:hint="default" w:ascii="Symbol" w:hAnsi="Symbol" w:cs="Symbol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0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0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60">
    <w:name w:val="No List"/>
    <w:uiPriority w:val="99"/>
    <w:semiHidden/>
    <w:unhideWhenUsed/>
  </w:style>
  <w:style w:type="character" w:styleId="661">
    <w:name w:val="Heading 1 Char"/>
    <w:basedOn w:val="826"/>
    <w:link w:val="821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26"/>
    <w:link w:val="822"/>
    <w:uiPriority w:val="9"/>
    <w:rPr>
      <w:rFonts w:ascii="Arial" w:hAnsi="Arial" w:eastAsia="Arial" w:cs="Arial"/>
      <w:sz w:val="34"/>
    </w:rPr>
  </w:style>
  <w:style w:type="character" w:styleId="663">
    <w:name w:val="Heading 3 Char"/>
    <w:basedOn w:val="826"/>
    <w:link w:val="823"/>
    <w:uiPriority w:val="9"/>
    <w:rPr>
      <w:rFonts w:ascii="Arial" w:hAnsi="Arial" w:eastAsia="Arial" w:cs="Arial"/>
      <w:sz w:val="30"/>
      <w:szCs w:val="30"/>
    </w:rPr>
  </w:style>
  <w:style w:type="character" w:styleId="664">
    <w:name w:val="Heading 4 Char"/>
    <w:basedOn w:val="826"/>
    <w:link w:val="824"/>
    <w:uiPriority w:val="9"/>
    <w:rPr>
      <w:rFonts w:ascii="Arial" w:hAnsi="Arial" w:eastAsia="Arial" w:cs="Arial"/>
      <w:b/>
      <w:bCs/>
      <w:sz w:val="26"/>
      <w:szCs w:val="26"/>
    </w:rPr>
  </w:style>
  <w:style w:type="character" w:styleId="665">
    <w:name w:val="Heading 5 Char"/>
    <w:basedOn w:val="826"/>
    <w:link w:val="825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20"/>
    <w:next w:val="82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26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20"/>
    <w:next w:val="82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26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20"/>
    <w:next w:val="82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26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20"/>
    <w:next w:val="82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26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character" w:styleId="675">
    <w:name w:val="Title Char"/>
    <w:basedOn w:val="826"/>
    <w:link w:val="871"/>
    <w:uiPriority w:val="10"/>
    <w:rPr>
      <w:sz w:val="48"/>
      <w:szCs w:val="48"/>
    </w:rPr>
  </w:style>
  <w:style w:type="character" w:styleId="676">
    <w:name w:val="Subtitle Char"/>
    <w:basedOn w:val="826"/>
    <w:link w:val="870"/>
    <w:uiPriority w:val="11"/>
    <w:rPr>
      <w:sz w:val="24"/>
      <w:szCs w:val="24"/>
    </w:rPr>
  </w:style>
  <w:style w:type="paragraph" w:styleId="677">
    <w:name w:val="Quote"/>
    <w:basedOn w:val="820"/>
    <w:next w:val="82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20"/>
    <w:next w:val="82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2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26"/>
    <w:link w:val="681"/>
    <w:uiPriority w:val="99"/>
  </w:style>
  <w:style w:type="paragraph" w:styleId="683">
    <w:name w:val="Footer"/>
    <w:basedOn w:val="82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26"/>
    <w:link w:val="683"/>
    <w:uiPriority w:val="99"/>
  </w:style>
  <w:style w:type="character" w:styleId="685">
    <w:name w:val="Caption Char"/>
    <w:basedOn w:val="826"/>
    <w:link w:val="853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7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2">
    <w:name w:val="footnote text"/>
    <w:basedOn w:val="820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basedOn w:val="826"/>
    <w:uiPriority w:val="99"/>
    <w:unhideWhenUsed/>
    <w:rPr>
      <w:vertAlign w:val="superscript"/>
    </w:rPr>
  </w:style>
  <w:style w:type="paragraph" w:styleId="815">
    <w:name w:val="endnote text"/>
    <w:basedOn w:val="820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basedOn w:val="826"/>
    <w:uiPriority w:val="99"/>
    <w:semiHidden/>
    <w:unhideWhenUsed/>
    <w:rPr>
      <w:vertAlign w:val="superscript"/>
    </w:r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link w:val="827"/>
    <w:qFormat/>
    <w:pPr>
      <w:jc w:val="left"/>
      <w:spacing w:before="0" w:after="0" w:line="240" w:lineRule="auto"/>
      <w:widowControl/>
    </w:pPr>
    <w:rPr>
      <w:rFonts w:ascii="Times New Roman" w:hAnsi="Times New Roman" w:eastAsia="Times New Roman" w:cs="Times New Roman"/>
      <w:color w:val="000000"/>
      <w:sz w:val="20"/>
      <w:szCs w:val="20"/>
      <w:lang w:val="ru-RU" w:eastAsia="ru-RU" w:bidi="ar-SA"/>
    </w:rPr>
  </w:style>
  <w:style w:type="paragraph" w:styleId="821">
    <w:name w:val="Heading 1"/>
    <w:next w:val="820"/>
    <w:link w:val="837"/>
    <w:uiPriority w:val="9"/>
    <w:qFormat/>
    <w:pPr>
      <w:jc w:val="both"/>
      <w:spacing w:before="120" w:after="120" w:line="276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ru-RU" w:bidi="ar-SA"/>
    </w:rPr>
  </w:style>
  <w:style w:type="paragraph" w:styleId="822">
    <w:name w:val="Heading 2"/>
    <w:next w:val="820"/>
    <w:link w:val="848"/>
    <w:uiPriority w:val="9"/>
    <w:qFormat/>
    <w:pPr>
      <w:jc w:val="both"/>
      <w:spacing w:before="120" w:after="120" w:line="276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823">
    <w:name w:val="Heading 3"/>
    <w:next w:val="820"/>
    <w:link w:val="833"/>
    <w:uiPriority w:val="9"/>
    <w:qFormat/>
    <w:pPr>
      <w:jc w:val="both"/>
      <w:spacing w:before="120" w:after="120" w:line="276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ru-RU" w:bidi="ar-SA"/>
    </w:rPr>
  </w:style>
  <w:style w:type="paragraph" w:styleId="824">
    <w:name w:val="Heading 4"/>
    <w:next w:val="820"/>
    <w:link w:val="847"/>
    <w:uiPriority w:val="9"/>
    <w:qFormat/>
    <w:pPr>
      <w:jc w:val="both"/>
      <w:spacing w:before="120" w:after="120" w:line="276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ru-RU" w:bidi="ar-SA"/>
    </w:rPr>
  </w:style>
  <w:style w:type="paragraph" w:styleId="825">
    <w:name w:val="Heading 5"/>
    <w:next w:val="820"/>
    <w:link w:val="836"/>
    <w:uiPriority w:val="9"/>
    <w:qFormat/>
    <w:pPr>
      <w:jc w:val="both"/>
      <w:spacing w:before="120" w:after="120" w:line="276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ru-RU" w:bidi="ar-SA"/>
    </w:rPr>
  </w:style>
  <w:style w:type="character" w:styleId="826" w:default="1">
    <w:name w:val="Default Paragraph Font"/>
    <w:uiPriority w:val="1"/>
    <w:semiHidden/>
    <w:unhideWhenUsed/>
    <w:qFormat/>
  </w:style>
  <w:style w:type="character" w:styleId="827" w:customStyle="1">
    <w:name w:val="Обычный1"/>
    <w:qFormat/>
    <w:rPr>
      <w:rFonts w:ascii="Times New Roman" w:hAnsi="Times New Roman"/>
      <w:sz w:val="20"/>
    </w:rPr>
  </w:style>
  <w:style w:type="character" w:styleId="828" w:customStyle="1">
    <w:name w:val="Оглавление 2 Знак"/>
    <w:qFormat/>
    <w:rPr>
      <w:rFonts w:ascii="XO Thames" w:hAnsi="XO Thames"/>
      <w:sz w:val="28"/>
    </w:rPr>
  </w:style>
  <w:style w:type="character" w:styleId="829" w:customStyle="1">
    <w:name w:val="Оглавление 4 Знак"/>
    <w:qFormat/>
    <w:rPr>
      <w:rFonts w:ascii="XO Thames" w:hAnsi="XO Thames"/>
      <w:sz w:val="28"/>
    </w:rPr>
  </w:style>
  <w:style w:type="character" w:styleId="830" w:customStyle="1">
    <w:name w:val="Оглавление 6 Знак"/>
    <w:qFormat/>
    <w:rPr>
      <w:rFonts w:ascii="XO Thames" w:hAnsi="XO Thames"/>
      <w:sz w:val="28"/>
    </w:rPr>
  </w:style>
  <w:style w:type="character" w:styleId="831" w:customStyle="1">
    <w:name w:val="Оглавление 7 Знак"/>
    <w:qFormat/>
    <w:rPr>
      <w:rFonts w:ascii="XO Thames" w:hAnsi="XO Thames"/>
      <w:sz w:val="28"/>
    </w:rPr>
  </w:style>
  <w:style w:type="character" w:styleId="832" w:customStyle="1">
    <w:name w:val="Endnote"/>
    <w:link w:val="859"/>
    <w:qFormat/>
    <w:rPr>
      <w:rFonts w:ascii="XO Thames" w:hAnsi="XO Thames"/>
      <w:sz w:val="22"/>
    </w:rPr>
  </w:style>
  <w:style w:type="character" w:styleId="833" w:customStyle="1">
    <w:name w:val="Заголовок 3 Знак"/>
    <w:qFormat/>
    <w:rPr>
      <w:rFonts w:ascii="XO Thames" w:hAnsi="XO Thames"/>
      <w:b/>
      <w:sz w:val="26"/>
    </w:rPr>
  </w:style>
  <w:style w:type="character" w:styleId="834" w:customStyle="1">
    <w:name w:val="Текст выноски Знак"/>
    <w:basedOn w:val="827"/>
    <w:link w:val="860"/>
    <w:qFormat/>
    <w:rPr>
      <w:rFonts w:ascii="Segoe UI" w:hAnsi="Segoe UI"/>
      <w:sz w:val="18"/>
    </w:rPr>
  </w:style>
  <w:style w:type="character" w:styleId="835" w:customStyle="1">
    <w:name w:val="Оглавление 3 Знак"/>
    <w:qFormat/>
    <w:rPr>
      <w:rFonts w:ascii="XO Thames" w:hAnsi="XO Thames"/>
      <w:sz w:val="28"/>
    </w:rPr>
  </w:style>
  <w:style w:type="character" w:styleId="836" w:customStyle="1">
    <w:name w:val="Заголовок 5 Знак"/>
    <w:qFormat/>
    <w:rPr>
      <w:rFonts w:ascii="XO Thames" w:hAnsi="XO Thames"/>
      <w:b/>
      <w:sz w:val="22"/>
    </w:rPr>
  </w:style>
  <w:style w:type="character" w:styleId="837" w:customStyle="1">
    <w:name w:val="Заголовок 1 Знак"/>
    <w:qFormat/>
    <w:rPr>
      <w:rFonts w:ascii="XO Thames" w:hAnsi="XO Thames"/>
      <w:b/>
      <w:sz w:val="32"/>
    </w:rPr>
  </w:style>
  <w:style w:type="character" w:styleId="838">
    <w:name w:val="Hyperlink"/>
    <w:link w:val="862"/>
    <w:rPr>
      <w:color w:val="0000ff"/>
      <w:u w:val="single"/>
    </w:rPr>
  </w:style>
  <w:style w:type="character" w:styleId="839" w:customStyle="1">
    <w:name w:val="Footnote"/>
    <w:link w:val="863"/>
    <w:qFormat/>
    <w:rPr>
      <w:rFonts w:ascii="XO Thames" w:hAnsi="XO Thames"/>
      <w:sz w:val="22"/>
    </w:rPr>
  </w:style>
  <w:style w:type="character" w:styleId="840" w:customStyle="1">
    <w:name w:val="Оглавление 1 Знак"/>
    <w:qFormat/>
    <w:rPr>
      <w:rFonts w:ascii="XO Thames" w:hAnsi="XO Thames"/>
      <w:b/>
      <w:sz w:val="28"/>
    </w:rPr>
  </w:style>
  <w:style w:type="character" w:styleId="841" w:customStyle="1">
    <w:name w:val="Header and Footer"/>
    <w:qFormat/>
    <w:rPr>
      <w:rFonts w:ascii="XO Thames" w:hAnsi="XO Thames"/>
      <w:sz w:val="28"/>
    </w:rPr>
  </w:style>
  <w:style w:type="character" w:styleId="842" w:customStyle="1">
    <w:name w:val="Оглавление 9 Знак"/>
    <w:qFormat/>
    <w:rPr>
      <w:rFonts w:ascii="XO Thames" w:hAnsi="XO Thames"/>
      <w:sz w:val="28"/>
    </w:rPr>
  </w:style>
  <w:style w:type="character" w:styleId="843" w:customStyle="1">
    <w:name w:val="Оглавление 8 Знак"/>
    <w:qFormat/>
    <w:rPr>
      <w:rFonts w:ascii="XO Thames" w:hAnsi="XO Thames"/>
      <w:sz w:val="28"/>
    </w:rPr>
  </w:style>
  <w:style w:type="character" w:styleId="844" w:customStyle="1">
    <w:name w:val="Оглавление 5 Знак"/>
    <w:qFormat/>
    <w:rPr>
      <w:rFonts w:ascii="XO Thames" w:hAnsi="XO Thames"/>
      <w:sz w:val="28"/>
    </w:rPr>
  </w:style>
  <w:style w:type="character" w:styleId="845" w:customStyle="1">
    <w:name w:val="Подзаголовок Знак"/>
    <w:qFormat/>
    <w:rPr>
      <w:rFonts w:ascii="XO Thames" w:hAnsi="XO Thames"/>
      <w:i/>
      <w:sz w:val="24"/>
    </w:rPr>
  </w:style>
  <w:style w:type="character" w:styleId="846" w:customStyle="1">
    <w:name w:val="Название Знак"/>
    <w:qFormat/>
    <w:rPr>
      <w:rFonts w:ascii="XO Thames" w:hAnsi="XO Thames"/>
      <w:b/>
      <w:caps/>
      <w:sz w:val="40"/>
    </w:rPr>
  </w:style>
  <w:style w:type="character" w:styleId="847" w:customStyle="1">
    <w:name w:val="Заголовок 4 Знак"/>
    <w:qFormat/>
    <w:rPr>
      <w:rFonts w:ascii="XO Thames" w:hAnsi="XO Thames"/>
      <w:b/>
      <w:sz w:val="24"/>
    </w:rPr>
  </w:style>
  <w:style w:type="character" w:styleId="848" w:customStyle="1">
    <w:name w:val="Заголовок 2 Знак"/>
    <w:qFormat/>
    <w:rPr>
      <w:rFonts w:ascii="XO Thames" w:hAnsi="XO Thames"/>
      <w:b/>
      <w:sz w:val="28"/>
    </w:rPr>
  </w:style>
  <w:style w:type="character" w:styleId="849" w:customStyle="1">
    <w:name w:val="Абзац списка Знак"/>
    <w:basedOn w:val="827"/>
    <w:link w:val="872"/>
    <w:qFormat/>
    <w:rPr>
      <w:rFonts w:ascii="Times New Roman" w:hAnsi="Times New Roman"/>
      <w:sz w:val="20"/>
    </w:rPr>
  </w:style>
  <w:style w:type="paragraph" w:styleId="850">
    <w:name w:val="Заголовок"/>
    <w:basedOn w:val="820"/>
    <w:next w:val="851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851">
    <w:name w:val="Body Text"/>
    <w:basedOn w:val="820"/>
    <w:pPr>
      <w:spacing w:before="0" w:after="140" w:line="276" w:lineRule="auto"/>
    </w:pPr>
  </w:style>
  <w:style w:type="paragraph" w:styleId="852">
    <w:name w:val="List"/>
    <w:basedOn w:val="851"/>
    <w:rPr>
      <w:rFonts w:cs="Noto Sans"/>
    </w:rPr>
  </w:style>
  <w:style w:type="paragraph" w:styleId="853">
    <w:name w:val="Caption"/>
    <w:basedOn w:val="820"/>
    <w:link w:val="685"/>
    <w:qFormat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854">
    <w:name w:val="Указатель"/>
    <w:basedOn w:val="820"/>
    <w:qFormat/>
    <w:pPr>
      <w:suppressLineNumbers/>
    </w:pPr>
    <w:rPr>
      <w:rFonts w:cs="Noto Sans"/>
    </w:rPr>
  </w:style>
  <w:style w:type="paragraph" w:styleId="855">
    <w:name w:val="toc 2"/>
    <w:next w:val="820"/>
    <w:link w:val="828"/>
    <w:uiPriority w:val="39"/>
    <w:pPr>
      <w:ind w:left="200"/>
      <w:jc w:val="left"/>
      <w:spacing w:before="0" w:after="200" w:line="276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56">
    <w:name w:val="toc 4"/>
    <w:next w:val="820"/>
    <w:link w:val="829"/>
    <w:uiPriority w:val="39"/>
    <w:pPr>
      <w:ind w:left="600"/>
      <w:jc w:val="left"/>
      <w:spacing w:before="0" w:after="200" w:line="276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57">
    <w:name w:val="toc 6"/>
    <w:next w:val="820"/>
    <w:link w:val="830"/>
    <w:uiPriority w:val="39"/>
    <w:pPr>
      <w:ind w:left="1000"/>
      <w:jc w:val="left"/>
      <w:spacing w:before="0" w:after="200" w:line="276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58">
    <w:name w:val="toc 7"/>
    <w:next w:val="820"/>
    <w:link w:val="831"/>
    <w:uiPriority w:val="39"/>
    <w:pPr>
      <w:ind w:left="1200"/>
      <w:jc w:val="left"/>
      <w:spacing w:before="0" w:after="200" w:line="276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59" w:customStyle="1">
    <w:name w:val="Endnote1"/>
    <w:link w:val="832"/>
    <w:qFormat/>
    <w:pPr>
      <w:ind w:firstLine="851"/>
      <w:jc w:val="both"/>
      <w:spacing w:before="0" w:after="200" w:line="276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860">
    <w:name w:val="Balloon Text"/>
    <w:basedOn w:val="820"/>
    <w:link w:val="834"/>
    <w:qFormat/>
    <w:rPr>
      <w:rFonts w:ascii="Segoe UI" w:hAnsi="Segoe UI"/>
      <w:sz w:val="18"/>
    </w:rPr>
  </w:style>
  <w:style w:type="paragraph" w:styleId="861">
    <w:name w:val="toc 3"/>
    <w:next w:val="820"/>
    <w:link w:val="835"/>
    <w:uiPriority w:val="39"/>
    <w:pPr>
      <w:ind w:left="400"/>
      <w:jc w:val="left"/>
      <w:spacing w:before="0" w:after="200" w:line="276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62" w:customStyle="1">
    <w:name w:val="Гиперссылка1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ru-RU" w:bidi="ar-SA"/>
    </w:rPr>
  </w:style>
  <w:style w:type="paragraph" w:styleId="863" w:customStyle="1">
    <w:name w:val="Footnote1"/>
    <w:link w:val="839"/>
    <w:qFormat/>
    <w:pPr>
      <w:ind w:firstLine="851"/>
      <w:jc w:val="both"/>
      <w:spacing w:before="0" w:after="200" w:line="276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864">
    <w:name w:val="toc 1"/>
    <w:next w:val="820"/>
    <w:link w:val="840"/>
    <w:uiPriority w:val="39"/>
    <w:pPr>
      <w:jc w:val="left"/>
      <w:spacing w:before="0" w:after="200" w:line="276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ru-RU" w:bidi="ar-SA"/>
    </w:rPr>
  </w:style>
  <w:style w:type="paragraph" w:styleId="865" w:customStyle="1">
    <w:name w:val="Колонтитулы"/>
    <w:qFormat/>
    <w:pPr>
      <w:jc w:val="both"/>
      <w:spacing w:before="0" w:after="200" w:line="240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66">
    <w:name w:val="toc 9"/>
    <w:next w:val="820"/>
    <w:link w:val="842"/>
    <w:uiPriority w:val="39"/>
    <w:pPr>
      <w:ind w:left="1600"/>
      <w:jc w:val="left"/>
      <w:spacing w:before="0" w:after="200" w:line="276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67" w:customStyle="1">
    <w:name w:val="Основной шрифт абзаца1"/>
    <w:qFormat/>
    <w:pPr>
      <w:jc w:val="left"/>
      <w:spacing w:before="0" w:after="200" w:line="276" w:lineRule="auto"/>
      <w:widowControl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868">
    <w:name w:val="toc 8"/>
    <w:next w:val="820"/>
    <w:link w:val="843"/>
    <w:uiPriority w:val="39"/>
    <w:pPr>
      <w:ind w:left="1400"/>
      <w:jc w:val="left"/>
      <w:spacing w:before="0" w:after="200" w:line="276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69">
    <w:name w:val="toc 5"/>
    <w:next w:val="820"/>
    <w:link w:val="844"/>
    <w:uiPriority w:val="39"/>
    <w:pPr>
      <w:ind w:left="800"/>
      <w:jc w:val="left"/>
      <w:spacing w:before="0" w:after="200" w:line="276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870">
    <w:name w:val="Subtitle"/>
    <w:next w:val="820"/>
    <w:link w:val="845"/>
    <w:uiPriority w:val="11"/>
    <w:qFormat/>
    <w:pPr>
      <w:jc w:val="both"/>
      <w:spacing w:before="0" w:after="200" w:line="276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ru-RU" w:bidi="ar-SA"/>
    </w:rPr>
  </w:style>
  <w:style w:type="paragraph" w:styleId="871">
    <w:name w:val="Title"/>
    <w:next w:val="820"/>
    <w:link w:val="846"/>
    <w:uiPriority w:val="10"/>
    <w:qFormat/>
    <w:pPr>
      <w:jc w:val="center"/>
      <w:spacing w:before="567" w:after="567" w:line="276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ru-RU" w:bidi="ar-SA"/>
    </w:rPr>
  </w:style>
  <w:style w:type="paragraph" w:styleId="872">
    <w:name w:val="List Paragraph"/>
    <w:basedOn w:val="820"/>
    <w:link w:val="849"/>
    <w:qFormat/>
    <w:pPr>
      <w:contextualSpacing/>
      <w:ind w:left="720"/>
      <w:spacing w:before="0" w:after="0"/>
    </w:pPr>
  </w:style>
  <w:style w:type="numbering" w:styleId="873" w:default="1">
    <w:name w:val="Без списка"/>
    <w:uiPriority w:val="99"/>
    <w:semiHidden/>
    <w:unhideWhenUsed/>
    <w:qFormat/>
  </w:style>
  <w:style w:type="table" w:styleId="874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tu69@rosim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ekaterina.shalaeva</cp:lastModifiedBy>
  <cp:revision>5</cp:revision>
  <dcterms:created xsi:type="dcterms:W3CDTF">2025-01-31T06:39:00Z</dcterms:created>
  <dcterms:modified xsi:type="dcterms:W3CDTF">2026-05-27T07:27:12Z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