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bookmarkStart w:id="0" w:name="_GoBack"/>
      <w:bookmarkEnd w:id="0"/>
      <w:r>
        <w:rPr>
          <w:b/>
          <w:bCs/>
        </w:rPr>
        <w:t>Техническое задание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на поставку установки стоматологической с монтажом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15508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3"/>
        <w:gridCol w:w="2311"/>
        <w:gridCol w:w="2662"/>
        <w:gridCol w:w="2128"/>
        <w:gridCol w:w="8"/>
        <w:gridCol w:w="1318"/>
        <w:gridCol w:w="2607"/>
        <w:gridCol w:w="817"/>
        <w:gridCol w:w="1311"/>
        <w:gridCol w:w="1811"/>
      </w:tblGrid>
      <w:tr>
        <w:trPr>
          <w:trHeight w:val="1098" w:hRule="atLeast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объекта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закупки согласно позиции КТРУ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Показатели 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характеристики 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31" w:hanging="31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Обоснование применения дополнительной информации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Код по 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ОКПД 2/ 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 позиции КТРУ</w:t>
            </w:r>
          </w:p>
        </w:tc>
      </w:tr>
      <w:tr>
        <w:trPr>
          <w:trHeight w:val="270" w:hRule="atLeast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  <w:t>1.</w:t>
            </w:r>
          </w:p>
        </w:tc>
        <w:tc>
          <w:tcPr>
            <w:tcW w:w="2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Установка стоматологическая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Верхнее положение кресла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</w:rPr>
              <w:t xml:space="preserve">≤ </w:t>
            </w:r>
            <w:r>
              <w:rPr>
                <w:rFonts w:eastAsia="Calibri"/>
              </w:rPr>
              <w:t>80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см</w:t>
            </w:r>
          </w:p>
        </w:tc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шт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32.50.11.110/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/>
              <w:t>32.50.11.110-00000011</w:t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Style w:val="Cardmaininfocontent"/>
              </w:rPr>
            </w:pPr>
            <w:r>
              <w:rPr/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Грузоподъемность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</w:rPr>
              <w:t xml:space="preserve">≥ </w:t>
            </w:r>
            <w:r>
              <w:rPr>
                <w:rFonts w:eastAsia="Calibri"/>
              </w:rPr>
              <w:t>135 и ≤ 140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кг</w:t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Style w:val="Cardmaininfocontent"/>
              </w:rPr>
            </w:pPr>
            <w:r>
              <w:rPr/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Интенсивность освещения светильника, клк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</w:rPr>
              <w:t xml:space="preserve">≤ </w:t>
            </w:r>
            <w:r>
              <w:rPr>
                <w:rFonts w:eastAsia="Calibri"/>
              </w:rPr>
              <w:t>33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Количество инструментальных портов (модуль врача)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 xml:space="preserve">≥ </w:t>
            </w:r>
            <w:r>
              <w:rPr>
                <w:spacing w:val="-2"/>
                <w:szCs w:val="22"/>
                <w:lang w:eastAsia="en-US"/>
              </w:rPr>
              <w:t>5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Максимальное рабочее давление подачи воды, кгс/см²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 xml:space="preserve">≤ </w:t>
            </w:r>
            <w:r>
              <w:rPr>
                <w:spacing w:val="-2"/>
                <w:szCs w:val="22"/>
                <w:lang w:eastAsia="en-US"/>
              </w:rPr>
              <w:t>3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Максимальное рабочее давление подачи воздуха, кгс/см²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 xml:space="preserve">≤ </w:t>
            </w:r>
            <w:r>
              <w:rPr>
                <w:spacing w:val="-2"/>
                <w:szCs w:val="22"/>
                <w:lang w:eastAsia="en-US"/>
              </w:rPr>
              <w:t>6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665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Нижнее положение кресла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 xml:space="preserve">≥ </w:t>
            </w:r>
            <w:r>
              <w:rPr>
                <w:spacing w:val="-2"/>
                <w:szCs w:val="22"/>
                <w:lang w:eastAsia="en-US"/>
              </w:rPr>
              <w:t>45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см</w:t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361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Подача инструмента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pacing w:val="-2"/>
                <w:szCs w:val="22"/>
                <w:lang w:eastAsia="en-US"/>
              </w:rPr>
            </w:pPr>
            <w:r>
              <w:rPr>
                <w:spacing w:val="-2"/>
                <w:szCs w:val="22"/>
                <w:lang w:eastAsia="en-US"/>
              </w:rPr>
              <w:t>нижняя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87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2"/>
                <w:szCs w:val="22"/>
              </w:rPr>
              <w:t>Дополнительная информация (характеристики):</w:t>
            </w:r>
          </w:p>
        </w:tc>
        <w:tc>
          <w:tcPr>
            <w:tcW w:w="2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Стул стоматолога (врача)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Обусловлено обеспечением эргономичных условий труда врача-стоматолога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Стул ассистента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Обусловлено необходимостью организации совместной работы врача и ассистента в четыре руки в соответствии с клиническими протоколами и стандартом оснащения стоматологического кабинета, обеспечением полноценного участия среднего медицинского персонала в лечебном процессе.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Столик ассистента на три инструмента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Обусловлено необходимостью обеспечения работы врача-стоматолога и ассистента в четыре руки и соблюдения санитарно-эпидемиологических требований за счет одновременного размещения и бесперебойного использования трех инструментов.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Многофункциональная педаль управления с раздельной подачей воды и воздуха на две клавиши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Обусловлено необходимостью соблюдения требований инфекционной безопасности путем бесконтактного ножного управления. Независимое управление подачей сред позволяет моментально менять режим работы.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Компрессор воздушный медицинский</w:t>
            </w:r>
          </w:p>
          <w:p>
            <w:pPr>
              <w:pStyle w:val="1"/>
              <w:rPr/>
            </w:pPr>
            <w:r>
              <w:rPr/>
              <w:t>безмасляный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Обусловлено необходимостью обеспечения непрерывной подачи чистого сухого сжатого воздуха под стабильным рабочим давлением для привода пневматических наконечников, пустера и аспирационной системы установки. Безмасляное исполнение исключает попадание паров масла в рабочую зону полости рта пациента и воздушные тракты наконечников, что гарантирует соблюдение санитарно-гигиенических норм и предотвращает преждевременный износ стоматологического инструмента.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Скалеp ультразвуковой встраиваемый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Требуется для проведения терапевтических и пародонтологических процедур, предусмотренных стандартами оказания первичной медико-санитарной помощи по профилю «Стоматология». Встраиваемое исполнение экономит рабочее пространство кабинета и управляется со штатной педали установки.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ind w:firstLine="42"/>
              <w:rPr/>
            </w:pPr>
            <w:r>
              <w:rPr/>
              <w:t>Наконечник для ультразвукового скалера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 для обеспечения функциональной готовности ультразвукового скалера к проведению эндодонтической обработки корневых каналов и фиксации ультразвуковых файлов непосредственно после монтажа и ввода оборудования в эксплуатацию.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19" w:hanging="0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"/>
              <w:rPr/>
            </w:pPr>
            <w:r>
              <w:rPr/>
              <w:t>Стоматологический бесщёточный</w:t>
            </w:r>
          </w:p>
          <w:p>
            <w:pPr>
              <w:pStyle w:val="1"/>
              <w:rPr/>
            </w:pPr>
            <w:r>
              <w:rPr/>
              <w:t>электрический мотор в комплектации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наличие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 для выполнения высокоточных ортопедических и терапевтических манипуляций. Бесщёточная конструкция обеспечивает высокий крутящий момент на низких оборотах без вибраций, минимизирует нагрев инструмента, исключает выделение графитовой пыли.</w:t>
            </w:r>
          </w:p>
        </w:tc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254" w:before="0" w:after="160"/>
        <w:rPr>
          <w:rFonts w:ascii="Calibri" w:hAnsi="Calibri"/>
          <w:lang w:eastAsia="zh-CN"/>
        </w:rPr>
      </w:pPr>
      <w:r>
        <w:rPr>
          <w:b/>
          <w:lang w:eastAsia="zh-CN"/>
        </w:rPr>
        <w:t xml:space="preserve">Условия гарантии: </w:t>
      </w:r>
      <w:r>
        <w:rPr>
          <w:lang w:eastAsia="zh-CN"/>
        </w:rPr>
        <w:t>Гарантийный срок Поставщика, установленный на товар, должен быть не менее, чем срок действия гарантии производителя этого Товара, но не менее 12 месяцев с момента подписания документа о приемке. Гарантийное обслуживание товара осуществляется в объеме, предусмотренном технической документацией на товар.</w:t>
      </w:r>
    </w:p>
    <w:p>
      <w:pPr>
        <w:pStyle w:val="Normal"/>
        <w:spacing w:lineRule="auto" w:line="254" w:before="0" w:after="160"/>
        <w:rPr>
          <w:rFonts w:ascii="Calibri" w:hAnsi="Calibri"/>
          <w:lang w:eastAsia="zh-CN"/>
        </w:rPr>
      </w:pPr>
      <w:r>
        <w:rPr>
          <w:b/>
          <w:lang w:eastAsia="zh-CN"/>
        </w:rPr>
        <w:t>Условия исполнения контракта:</w:t>
      </w:r>
    </w:p>
    <w:p>
      <w:pPr>
        <w:pStyle w:val="Normal"/>
        <w:rPr>
          <w:rFonts w:ascii="Calibri" w:hAnsi="Calibri"/>
          <w:lang w:eastAsia="zh-CN"/>
        </w:rPr>
      </w:pPr>
      <w:r>
        <w:rPr>
          <w:lang w:eastAsia="zh-CN"/>
        </w:rPr>
        <w:t>1. Весь поставляемый товар должен быть зарегистрирован и разрешен к применению в установленном порядке; он должен отвечать требованиям стандартов, требованиям Технического задания.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2. Поставщик должен предложить весь комплекс услуг, необходимый для организации поставок товара.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3. Весь готовый товар при отгрузке должен быть должным образом упакован. Упаковка должна предохранять товар от порчи во время транспортировки, перегрузки и хранения в необходимых условиях.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4. Поставщик должен будет доставлять товар по адресу: Волгоградская область, Камышинский район, с. Дворянское, ФКУ "Волгоградская ПБСТИН" Минздрава России - в место установки/монтажа.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 xml:space="preserve">5. Комплекс работ по поставке товара: 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- установка, монтаж, сборка, настройка и регулировка, сдача-приемка и ввод в эксплуатацию поставленного оборудования в соответствии с указаниями, содержащимися в эксплуатационной документации, в соответствии с требованиями нормативной документации с учетом класса электробезопасности и других требований безопасности медицинской техники;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- инструктаж медицинского и технического персонала Заказчика работе на оборудовании.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 xml:space="preserve">6. Срок поставки: поставка товара осуществляется в течение </w:t>
      </w:r>
      <w:r>
        <w:rPr>
          <w:b/>
          <w:lang w:eastAsia="zh-CN"/>
        </w:rPr>
        <w:t>10 рабочих дней</w:t>
      </w:r>
      <w:r>
        <w:rPr>
          <w:lang w:eastAsia="zh-CN"/>
        </w:rPr>
        <w:t xml:space="preserve"> с даты заключения контракта, по рабочим дням с 8.00 часов до 13.00 часов. Поставка осуществляется автотранспортом поставщика. В срок поставки включается время, связанное с вводом в эксплуатацию и инструктажем специалистов.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7. В структуру цены должны быть включены затраты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Федерации, а также доставка товара по адресу Заказчика и его разгрузка.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8. Цены на поставляемый товар должны быть твердыми в течение всего срока выполнения заказа.</w:t>
      </w:r>
    </w:p>
    <w:p>
      <w:pPr>
        <w:pStyle w:val="Normal"/>
        <w:jc w:val="both"/>
        <w:rPr>
          <w:rFonts w:ascii="Calibri" w:hAnsi="Calibri"/>
          <w:lang w:eastAsia="zh-CN"/>
        </w:rPr>
      </w:pPr>
      <w:r>
        <w:rPr>
          <w:lang w:eastAsia="zh-CN"/>
        </w:rPr>
        <w:t>9. Поставляемый товар должен отвечать по своему качеству нормативным документам, действующим в Российской Федерации для данного вида товара.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header="0" w:top="709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1ea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dmaininfocontent" w:customStyle="1">
    <w:name w:val="cardmaininfo__content"/>
    <w:basedOn w:val="DefaultParagraphFont"/>
    <w:qFormat/>
    <w:rsid w:val="009f593d"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da0e6c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1" w:customStyle="1">
    <w:name w:val="Обычный1"/>
    <w:qFormat/>
    <w:rsid w:val="0032586f"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da0e6c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Application>LibreOffice/6.4.7.2$Linux_X86_64 LibreOffice_project/155c490457025f32143219b3c36f6c1abf1f2442</Application>
  <Pages>4</Pages>
  <Words>672</Words>
  <Characters>4960</Characters>
  <CharactersWithSpaces>5553</CharactersWithSpaces>
  <Paragraphs>82</Paragraphs>
  <Company>впбстин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2025-01-20T07:59:00Z</dcterms:created>
  <dc:creator>Дергачева</dc:creator>
  <dc:description/>
  <dc:language>ru-RU</dc:language>
  <cp:lastModifiedBy>Пригарин</cp:lastModifiedBy>
  <cp:lastPrinted>2026-09-22T12:05:04Z</cp:lastPrinted>
  <dcterms:modified xsi:type="dcterms:W3CDTF">2026-09-21T09:57:00Z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впбстин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