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284" w:firstLine="426"/>
        <w:jc w:val="center"/>
        <w:spacing w:after="0" w:line="240" w:lineRule="auto"/>
        <w:rPr>
          <w:rFonts w:ascii="Times New Roman" w:hAnsi="Times New Roman" w:eastAsia="Times New Roman"/>
          <w:b/>
          <w:bCs/>
          <w:spacing w:val="-4"/>
          <w:sz w:val="26"/>
          <w:szCs w:val="26"/>
        </w:rPr>
      </w:pPr>
      <w:r>
        <w:rPr>
          <w:rFonts w:ascii="Times New Roman" w:hAnsi="Times New Roman" w:eastAsia="Times New Roman"/>
          <w:b/>
          <w:bCs/>
          <w:sz w:val="26"/>
          <w:szCs w:val="26"/>
          <w:lang w:eastAsia="ru-RU"/>
        </w:rPr>
        <w:t xml:space="preserve">ТЕХНИЧЕСКОЕ ЗАДАНИЕ</w:t>
      </w:r>
      <w:r>
        <w:rPr>
          <w:rFonts w:ascii="Times New Roman" w:hAnsi="Times New Roman" w:eastAsia="Times New Roman"/>
          <w:b/>
          <w:bCs/>
          <w:spacing w:val="-4"/>
          <w:sz w:val="26"/>
          <w:szCs w:val="26"/>
          <w:lang w:eastAsia="ru-RU"/>
        </w:rPr>
      </w:r>
      <w:r>
        <w:rPr>
          <w:rFonts w:ascii="Times New Roman" w:hAnsi="Times New Roman" w:eastAsia="Times New Roman"/>
          <w:b/>
          <w:bCs/>
          <w:spacing w:val="-4"/>
          <w:sz w:val="26"/>
          <w:szCs w:val="26"/>
        </w:rPr>
      </w:r>
    </w:p>
    <w:p>
      <w:pPr>
        <w:ind w:left="-284" w:firstLine="426"/>
        <w:jc w:val="center"/>
        <w:spacing w:after="0" w:line="240" w:lineRule="auto"/>
        <w:rPr>
          <w:rFonts w:ascii="Times New Roman" w:hAnsi="Times New Roman" w:eastAsia="Times New Roman"/>
          <w:b/>
          <w:bCs/>
          <w:sz w:val="26"/>
          <w:szCs w:val="26"/>
          <w:highlight w:val="none"/>
          <w14:ligatures w14:val="none"/>
        </w:rPr>
      </w:pPr>
      <w:r>
        <w:rPr>
          <w:rFonts w:ascii="Times New Roman" w:hAnsi="Times New Roman" w:eastAsia="Times New Roman"/>
          <w:b/>
          <w:bCs/>
          <w:sz w:val="26"/>
          <w:szCs w:val="26"/>
          <w:lang w:eastAsia="ru-RU"/>
        </w:rPr>
        <w:t xml:space="preserve">н</w:t>
      </w:r>
      <w:r>
        <w:rPr>
          <w:rFonts w:ascii="Times New Roman" w:hAnsi="Times New Roman" w:eastAsia="Times New Roman"/>
          <w:b/>
          <w:bCs/>
          <w:sz w:val="26"/>
          <w:szCs w:val="26"/>
          <w:lang w:eastAsia="ru-RU"/>
        </w:rPr>
        <w:t xml:space="preserve">а п</w:t>
      </w:r>
      <w:r>
        <w:rPr>
          <w:rFonts w:ascii="Times New Roman" w:hAnsi="Times New Roman" w:eastAsia="Times New Roman"/>
          <w:b/>
          <w:bCs/>
          <w:sz w:val="26"/>
          <w:szCs w:val="26"/>
          <w:lang w:eastAsia="ru-RU"/>
        </w:rPr>
        <w:t xml:space="preserve">оставку канцелярских товаров для нужд ТУ Росимущества в г. Москве</w:t>
      </w:r>
      <w:r>
        <w:rPr>
          <w:rFonts w:ascii="Times New Roman" w:hAnsi="Times New Roman" w:eastAsia="Times New Roman"/>
          <w:b/>
          <w:bCs/>
          <w:sz w:val="26"/>
          <w:szCs w:val="26"/>
          <w:lang w:eastAsia="ru-RU"/>
        </w:rPr>
      </w:r>
      <w:r>
        <w:rPr>
          <w:rFonts w:ascii="Times New Roman" w:hAnsi="Times New Roman" w:eastAsia="Times New Roman"/>
          <w:b/>
          <w:bCs/>
          <w:sz w:val="26"/>
          <w:szCs w:val="26"/>
          <w:highlight w:val="none"/>
          <w14:ligatures w14:val="none"/>
        </w:rPr>
      </w:r>
    </w:p>
    <w:p>
      <w:pPr>
        <w:ind w:left="-284" w:firstLine="426"/>
        <w:jc w:val="center"/>
        <w:spacing w:after="0" w:line="240" w:lineRule="auto"/>
        <w:rPr>
          <w:rFonts w:ascii="Times New Roman" w:hAnsi="Times New Roman" w:eastAsia="Times New Roman"/>
          <w:b/>
          <w:bCs/>
          <w:sz w:val="26"/>
          <w:szCs w:val="26"/>
          <w14:ligatures w14:val="none"/>
        </w:rPr>
      </w:pPr>
      <w:r>
        <w:rPr>
          <w:rFonts w:ascii="Times New Roman" w:hAnsi="Times New Roman" w:eastAsia="Times New Roman"/>
          <w:b/>
          <w:bCs/>
          <w:sz w:val="26"/>
          <w:szCs w:val="26"/>
          <w:highlight w:val="none"/>
          <w:lang w:eastAsia="ru-RU"/>
        </w:rPr>
      </w:r>
      <w:r>
        <w:rPr>
          <w:rFonts w:ascii="Times New Roman" w:hAnsi="Times New Roman" w:eastAsia="Times New Roman"/>
          <w:b/>
          <w:bCs/>
          <w:sz w:val="26"/>
          <w:szCs w:val="26"/>
          <w:highlight w:val="none"/>
          <w:lang w:eastAsia="ru-RU"/>
        </w:rPr>
      </w:r>
    </w:p>
    <w:p>
      <w:pPr>
        <w:ind w:left="-284" w:firstLine="426"/>
        <w:jc w:val="both"/>
        <w:spacing w:after="0" w:line="312" w:lineRule="auto"/>
        <w:rPr>
          <w:rFonts w:ascii="Times New Roman" w:hAnsi="Times New Roman" w:eastAsia="Times New Roman"/>
          <w:b/>
          <w:sz w:val="26"/>
          <w:szCs w:val="26"/>
        </w:rPr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1. Общие положения.</w:t>
      </w:r>
      <w:r>
        <w:rPr>
          <w:rFonts w:ascii="Times New Roman" w:hAnsi="Times New Roman" w:eastAsia="Times New Roman"/>
          <w:b/>
          <w:sz w:val="26"/>
          <w:szCs w:val="26"/>
          <w:lang w:eastAsia="ru-RU"/>
        </w:rPr>
      </w:r>
      <w:r>
        <w:rPr>
          <w:rFonts w:ascii="Times New Roman" w:hAnsi="Times New Roman" w:eastAsia="Times New Roman"/>
          <w:b/>
          <w:sz w:val="26"/>
          <w:szCs w:val="26"/>
        </w:rPr>
      </w:r>
    </w:p>
    <w:p>
      <w:pPr>
        <w:ind w:left="-284" w:firstLine="426"/>
        <w:jc w:val="both"/>
        <w:spacing w:after="0" w:line="312" w:lineRule="auto"/>
        <w:rPr>
          <w:rFonts w:ascii="Times New Roman" w:hAnsi="Times New Roman" w:eastAsia="Times New Roman"/>
          <w:b/>
          <w:sz w:val="26"/>
          <w:szCs w:val="26"/>
        </w:rPr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1.1. Полное наименование.</w:t>
      </w:r>
      <w:r>
        <w:rPr>
          <w:rFonts w:ascii="Times New Roman" w:hAnsi="Times New Roman" w:eastAsia="Times New Roman"/>
          <w:b/>
          <w:sz w:val="26"/>
          <w:szCs w:val="26"/>
          <w:lang w:eastAsia="ru-RU"/>
        </w:rPr>
      </w:r>
      <w:r>
        <w:rPr>
          <w:rFonts w:ascii="Times New Roman" w:hAnsi="Times New Roman" w:eastAsia="Times New Roman"/>
          <w:b/>
          <w:sz w:val="26"/>
          <w:szCs w:val="26"/>
        </w:rPr>
      </w:r>
    </w:p>
    <w:p>
      <w:pPr>
        <w:ind w:left="-284" w:firstLine="426"/>
        <w:jc w:val="both"/>
        <w:spacing w:after="0" w:line="312" w:lineRule="auto"/>
        <w:rPr>
          <w:rFonts w:ascii="Times New Roman" w:hAnsi="Times New Roman" w:eastAsia="Times New Roman"/>
          <w:sz w:val="26"/>
          <w:szCs w:val="26"/>
          <w14:ligatures w14:val="none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Поставка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канцелярских товаров для нужд ТУ Росимущества в г. Москве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rFonts w:ascii="Times New Roman" w:hAnsi="Times New Roman" w:eastAsia="Times New Roman"/>
          <w:sz w:val="26"/>
          <w:szCs w:val="26"/>
          <w14:ligatures w14:val="none"/>
        </w:rPr>
      </w:r>
    </w:p>
    <w:p>
      <w:pPr>
        <w:ind w:left="0" w:right="0" w:firstLine="142"/>
        <w:jc w:val="both"/>
        <w:spacing w:after="0" w:line="312" w:lineRule="auto"/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1.2. 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Срок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действия Контракта 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поставки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 Товара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</w:p>
    <w:p>
      <w:pPr>
        <w:ind w:left="0" w:right="0" w:firstLine="142"/>
        <w:jc w:val="both"/>
        <w:spacing w:after="0" w:line="312" w:lineRule="auto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Срок действия Контракта: с даты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  <w:t xml:space="preserve">подписания Контракта по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  <w:t xml:space="preserve"> 01 октября 2026 года.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</w:p>
    <w:p>
      <w:pPr>
        <w:ind w:left="0" w:right="0" w:firstLine="142"/>
        <w:jc w:val="both"/>
        <w:spacing w:after="0" w:line="312" w:lineRule="auto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  <w:t xml:space="preserve">оставка товара не позднее 28.08.2026 года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</w:p>
    <w:p>
      <w:pPr>
        <w:ind w:left="-284" w:firstLine="426"/>
        <w:jc w:val="both"/>
        <w:spacing w:after="0" w:line="312" w:lineRule="auto"/>
        <w:rPr>
          <w:rFonts w:ascii="Times New Roman" w:hAnsi="Times New Roman" w:eastAsia="Times New Roman"/>
          <w:b/>
          <w:sz w:val="26"/>
          <w:szCs w:val="26"/>
        </w:rPr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1.3. Сведения о Заказчике.</w:t>
      </w:r>
      <w:r>
        <w:rPr>
          <w:rFonts w:ascii="Times New Roman" w:hAnsi="Times New Roman" w:eastAsia="Times New Roman"/>
          <w:b/>
          <w:sz w:val="26"/>
          <w:szCs w:val="26"/>
          <w:lang w:eastAsia="ru-RU"/>
        </w:rPr>
      </w:r>
      <w:r>
        <w:rPr>
          <w:rFonts w:ascii="Times New Roman" w:hAnsi="Times New Roman" w:eastAsia="Times New Roman"/>
          <w:b/>
          <w:sz w:val="26"/>
          <w:szCs w:val="26"/>
        </w:rPr>
      </w:r>
    </w:p>
    <w:p>
      <w:pPr>
        <w:ind w:left="-284" w:firstLine="426"/>
        <w:jc w:val="both"/>
        <w:spacing w:after="0" w:line="312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Государственный заказчик – </w:t>
      </w:r>
      <w:r>
        <w:rPr>
          <w:rFonts w:ascii="Times New Roman" w:hAnsi="Times New Roman" w:eastAsia="Times New Roman"/>
          <w:sz w:val="26"/>
          <w:szCs w:val="26"/>
        </w:rPr>
        <w:t xml:space="preserve">Территориальное управление Федерального агентства</w:t>
        <w:br/>
        <w:t xml:space="preserve">по управлению государственным имуществом в городе Москве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.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ind w:left="-284" w:firstLine="426"/>
        <w:jc w:val="both"/>
        <w:spacing w:after="0" w:line="312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1.4. Место поставки.</w:t>
      </w:r>
      <w:r>
        <w:rPr>
          <w:rFonts w:ascii="Times New Roman" w:hAnsi="Times New Roman"/>
          <w:b/>
          <w:bCs/>
          <w:sz w:val="26"/>
          <w:szCs w:val="26"/>
        </w:rPr>
      </w:r>
      <w:r>
        <w:rPr>
          <w:rFonts w:ascii="Times New Roman" w:hAnsi="Times New Roman"/>
          <w:b/>
          <w:bCs/>
          <w:sz w:val="26"/>
          <w:szCs w:val="26"/>
        </w:rPr>
      </w:r>
    </w:p>
    <w:p>
      <w:pPr>
        <w:ind w:left="-284" w:firstLine="426"/>
        <w:jc w:val="both"/>
        <w:spacing w:after="0" w:line="312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107078,</w:t>
      </w:r>
      <w:r>
        <w:rPr>
          <w:rFonts w:ascii="Times New Roman" w:hAnsi="Times New Roman" w:eastAsia="Times New Roman"/>
          <w:sz w:val="26"/>
          <w:szCs w:val="26"/>
        </w:rPr>
        <w:t xml:space="preserve"> г. Москва, Орликов пер., дом 3, к. Б.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ind w:left="-284" w:firstLine="426"/>
        <w:jc w:val="both"/>
        <w:spacing w:after="0" w:line="312" w:lineRule="auto"/>
        <w:rPr>
          <w:rFonts w:ascii="Times New Roman" w:hAnsi="Times New Roman" w:eastAsia="Times New Roman"/>
          <w:b/>
          <w:sz w:val="26"/>
          <w:szCs w:val="26"/>
        </w:rPr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1.5. Сведения об источниках и порядке финансирования поставки оборудования.</w:t>
      </w:r>
      <w:r>
        <w:rPr>
          <w:rFonts w:ascii="Times New Roman" w:hAnsi="Times New Roman" w:eastAsia="Times New Roman"/>
          <w:b/>
          <w:sz w:val="26"/>
          <w:szCs w:val="26"/>
          <w:lang w:eastAsia="ru-RU"/>
        </w:rPr>
      </w:r>
      <w:r>
        <w:rPr>
          <w:rFonts w:ascii="Times New Roman" w:hAnsi="Times New Roman" w:eastAsia="Times New Roman"/>
          <w:b/>
          <w:sz w:val="26"/>
          <w:szCs w:val="26"/>
        </w:rPr>
      </w:r>
    </w:p>
    <w:p>
      <w:pPr>
        <w:ind w:left="-284" w:firstLine="426"/>
        <w:jc w:val="both"/>
        <w:spacing w:after="60" w:line="312" w:lineRule="auto"/>
        <w:rPr>
          <w:rFonts w:ascii="Times New Roman" w:hAnsi="Times New Roman" w:eastAsia="Times New Roman"/>
          <w:sz w:val="26"/>
          <w:szCs w:val="26"/>
          <w:highlight w:val="none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Заказчик производит оплату в течение срока, не превышающего 7 р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абочих дней с даты подписания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Заказчиком Акта сдачи-приемки товаров и на основании счета, счета-фактуры поставщика (подрядчика, исполнителя) (при наличии). Оплата по Контракту производится в валюте Российской Ф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е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дерации в безналичном порядке путем направления заявки на кассовый расход в УФК по г. Москве, с дальнейшим перечислением посредством УФК по г. Москве денежных средств на расчетный счет поставщика (подрядчика, исполнителя), указанный в настоящем Контракте. </w:t>
      </w:r>
      <w:r>
        <w:rPr>
          <w:rFonts w:ascii="Times New Roman" w:hAnsi="Times New Roman" w:eastAsia="Times New Roman"/>
          <w:sz w:val="26"/>
          <w:szCs w:val="26"/>
          <w:highlight w:val="none"/>
          <w:lang w:eastAsia="ru-RU"/>
        </w:rPr>
      </w:r>
      <w:r>
        <w:rPr>
          <w:rFonts w:ascii="Times New Roman" w:hAnsi="Times New Roman" w:eastAsia="Times New Roman"/>
          <w:sz w:val="26"/>
          <w:szCs w:val="26"/>
          <w:highlight w:val="none"/>
        </w:rPr>
      </w:r>
    </w:p>
    <w:p>
      <w:pPr>
        <w:ind w:left="-284" w:firstLine="426"/>
        <w:jc w:val="both"/>
        <w:spacing w:after="60" w:line="312" w:lineRule="auto"/>
        <w:rPr>
          <w:rFonts w:ascii="Times New Roman" w:hAnsi="Times New Roman" w:eastAsia="Times New Roman"/>
          <w:sz w:val="26"/>
          <w:szCs w:val="26"/>
        </w:rPr>
      </w:pPr>
      <w:r>
        <w:rPr>
          <w:rFonts w:ascii="Times New Roman" w:hAnsi="Times New Roman" w:eastAsia="Times New Roman"/>
          <w:sz w:val="26"/>
          <w:szCs w:val="26"/>
          <w:highlight w:val="none"/>
          <w:lang w:eastAsia="ru-RU"/>
        </w:rPr>
        <w:t xml:space="preserve">Финансирование – Федеральный бюджет РФ на 2026 год.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rFonts w:ascii="Times New Roman" w:hAnsi="Times New Roman" w:eastAsia="Times New Roman"/>
          <w:sz w:val="26"/>
          <w:szCs w:val="26"/>
        </w:rPr>
      </w:r>
    </w:p>
    <w:p>
      <w:pPr>
        <w:ind w:left="-284" w:firstLine="426"/>
        <w:jc w:val="both"/>
        <w:spacing w:after="60" w:line="312" w:lineRule="auto"/>
        <w:rPr>
          <w:rFonts w:ascii="Times New Roman" w:hAnsi="Times New Roman" w:eastAsia="Times New Roman"/>
          <w:b/>
          <w:bCs/>
          <w:sz w:val="26"/>
          <w:szCs w:val="26"/>
        </w:rPr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2.1. Перечень товаров к поставке:</w:t>
      </w:r>
      <w:r>
        <w:rPr>
          <w:rFonts w:ascii="Times New Roman" w:hAnsi="Times New Roman" w:eastAsia="Times New Roman"/>
          <w:b/>
          <w:bCs/>
          <w:sz w:val="26"/>
          <w:szCs w:val="26"/>
          <w:lang w:eastAsia="ru-RU"/>
        </w:rPr>
      </w:r>
      <w:r>
        <w:rPr>
          <w:rFonts w:ascii="Times New Roman" w:hAnsi="Times New Roman" w:eastAsia="Times New Roman"/>
          <w:b/>
          <w:bCs/>
          <w:sz w:val="26"/>
          <w:szCs w:val="26"/>
        </w:rPr>
      </w:r>
    </w:p>
    <w:tbl>
      <w:tblPr>
        <w:tblW w:w="0" w:type="auto"/>
        <w:tblInd w:w="-360" w:type="dxa"/>
        <w:tblLayout w:type="fixed"/>
        <w:tblLook w:val="04A0" w:firstRow="1" w:lastRow="0" w:firstColumn="1" w:lastColumn="0" w:noHBand="0" w:noVBand="1"/>
      </w:tblPr>
      <w:tblGrid>
        <w:gridCol w:w="409"/>
        <w:gridCol w:w="2221"/>
        <w:gridCol w:w="3683"/>
        <w:gridCol w:w="850"/>
        <w:gridCol w:w="1559"/>
        <w:gridCol w:w="1559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71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21" w:type="dxa"/>
            <w:textDirection w:val="lrTb"/>
            <w:noWrap w:val="false"/>
          </w:tcPr>
          <w:p>
            <w:pPr>
              <w:pStyle w:val="715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3" w:type="dxa"/>
            <w:textDirection w:val="lrTb"/>
            <w:noWrap w:val="false"/>
          </w:tcPr>
          <w:p>
            <w:pPr>
              <w:pStyle w:val="7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к качеству </w:t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техническим характеристикам</w:t>
            </w:r>
            <w:r>
              <w:rPr>
                <w:sz w:val="24"/>
                <w:szCs w:val="24"/>
              </w:rPr>
            </w:r>
            <w:r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71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Ед. изм.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715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7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</w:t>
            </w:r>
            <w:r>
              <w:rPr>
                <w:sz w:val="24"/>
                <w:szCs w:val="24"/>
              </w:rPr>
            </w:r>
          </w:p>
          <w:p>
            <w:pPr>
              <w:pStyle w:val="715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ОКПД2</w:t>
            </w:r>
            <w:r>
              <w:rPr>
                <w:sz w:val="24"/>
                <w:szCs w:val="24"/>
              </w:rPr>
            </w:r>
            <w:r/>
          </w:p>
        </w:tc>
      </w:tr>
      <w:tr>
        <w:tblPrEx/>
        <w:trPr>
          <w:trHeight w:val="69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71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</w:t>
            </w:r>
            <w:r/>
          </w:p>
          <w:p>
            <w:pPr>
              <w:pStyle w:val="7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21" w:type="dxa"/>
            <w:textDirection w:val="lrTb"/>
            <w:noWrap w:val="false"/>
          </w:tcPr>
          <w:p>
            <w:pPr>
              <w:pStyle w:val="7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 xml:space="preserve">ЖУРНАЛ учета карточек допуска (форма 1)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3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А4, Д*Ш (мм) 210*297, 200 страниц, обложка твердая бумвенил.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Форма журнала учета карточек (№ 7) допуска соответствует Приложению к Постановлению Правительства РФ от 07.02.2024 № 132 «Об утверждении Правил допуска должностных лиц</w:t>
              <w:br/>
              <w:t xml:space="preserve">и граждан РФ к государственной тайне»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7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штука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7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7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17.23.13.110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ind w:left="-284" w:firstLine="426"/>
        <w:jc w:val="both"/>
        <w:spacing w:after="60" w:line="240" w:lineRule="auto"/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</w:p>
    <w:p>
      <w:pPr>
        <w:ind w:left="-284" w:firstLine="426"/>
        <w:jc w:val="both"/>
        <w:spacing w:after="60" w:line="240" w:lineRule="auto"/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</w:p>
    <w:p>
      <w:pPr>
        <w:ind w:left="-284" w:firstLine="426"/>
        <w:jc w:val="both"/>
        <w:spacing w:after="60" w:line="240" w:lineRule="auto"/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</w:p>
    <w:p>
      <w:pPr>
        <w:ind w:left="-284" w:firstLine="426"/>
        <w:jc w:val="left"/>
        <w:spacing w:after="60" w:line="240" w:lineRule="auto"/>
        <w:rPr>
          <w:rFonts w:ascii="Times New Roman" w:hAnsi="Times New Roman" w:eastAsia="Times New Roman"/>
          <w:b/>
          <w:bCs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Образец:</w:t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</w:p>
    <w:p>
      <w:pPr>
        <w:ind w:left="-284" w:firstLine="426"/>
        <w:jc w:val="left"/>
        <w:spacing w:after="60" w:line="240" w:lineRule="auto"/>
        <w:rPr>
          <w:rFonts w:ascii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/>
          <w:b w:val="0"/>
          <w:bCs w:val="0"/>
          <w:sz w:val="24"/>
          <w:szCs w:val="24"/>
          <w:highlight w:val="none"/>
          <w:lang w:eastAsia="ru-RU"/>
        </w:rPr>
        <w:t xml:space="preserve">Форма 7</w:t>
      </w:r>
      <w:r>
        <w:rPr>
          <w:rFonts w:ascii="Times New Roman" w:hAnsi="Times New Roman" w:eastAsia="Times New Roman"/>
          <w:b w:val="0"/>
          <w:bCs w:val="0"/>
          <w:sz w:val="24"/>
          <w:szCs w:val="24"/>
          <w:highlight w:val="none"/>
          <w:lang w:eastAsia="ru-RU"/>
        </w:rPr>
      </w:r>
    </w:p>
    <w:p>
      <w:pPr>
        <w:jc w:val="center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ЖУРНАЛ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учета карточек допуска (форма 1)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ind w:left="2268" w:right="22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ind w:left="2268" w:right="2268"/>
        <w:jc w:val="center"/>
        <w:spacing w:after="240"/>
        <w:rPr>
          <w:rFonts w:ascii="Times New Roman" w:hAnsi="Times New Roman" w:cs="Times New Roman"/>
          <w:sz w:val="22"/>
          <w:szCs w:val="2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(наименование организации)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ind w:left="-284" w:firstLine="426"/>
        <w:jc w:val="both"/>
        <w:spacing w:after="6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lang w:eastAsia="ru-RU"/>
        </w:rPr>
      </w:r>
    </w:p>
    <w:tbl>
      <w:tblPr>
        <w:tblStyle w:val="881"/>
        <w:tblW w:w="10099" w:type="dxa"/>
        <w:jc w:val="center"/>
        <w:tblInd w:w="-707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97"/>
        <w:gridCol w:w="1701"/>
        <w:gridCol w:w="1435"/>
        <w:gridCol w:w="1417"/>
        <w:gridCol w:w="1159"/>
        <w:gridCol w:w="1418"/>
        <w:gridCol w:w="1304"/>
        <w:gridCol w:w="1168"/>
      </w:tblGrid>
      <w:tr>
        <w:tblPrEx/>
        <w:trPr>
          <w:jc w:val="center"/>
          <w:trHeight w:val="240"/>
        </w:trPr>
        <w:tc>
          <w:tcPr>
            <w:tcW w:w="49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Фамилия, имя, отчество, должность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4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Номер и дата документа о направлении (получении) карточки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Форма допуска, номер и дата отметки о проведении органом безопасности проверочных мероприятий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3"/>
            <w:tcW w:w="3881" w:type="dxa"/>
            <w:vAlign w:val="bottom"/>
            <w:textDirection w:val="lrTb"/>
            <w:noWrap w:val="false"/>
          </w:tcPr>
          <w:p>
            <w:pPr>
              <w:jc w:val="center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Отметка о движении карточки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1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Примечание (количество листов в карточке, сведения о дубликатах)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tcW w:w="49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6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6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6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6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159" w:type="dxa"/>
            <w:vAlign w:val="center"/>
            <w:textDirection w:val="lrTb"/>
            <w:noWrap w:val="false"/>
          </w:tcPr>
          <w:p>
            <w:pPr>
              <w:jc w:val="center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куда направлена (кому передана)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номер реестра или исходящий номер и дата отправки карточки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304" w:type="dxa"/>
            <w:vAlign w:val="center"/>
            <w:textDirection w:val="lrTb"/>
            <w:noWrap w:val="false"/>
          </w:tcPr>
          <w:p>
            <w:pPr>
              <w:jc w:val="center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номер и дата акта об уничтожении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1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6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jc w:val="center"/>
        </w:trPr>
        <w:tc>
          <w:tcPr>
            <w:tcW w:w="49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4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1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3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tcW w:w="49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tcW w:w="14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tcW w:w="11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tcW w:w="13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</w:tr>
    </w:tbl>
    <w:p>
      <w:pPr>
        <w:ind w:left="-284" w:firstLine="426"/>
        <w:jc w:val="both"/>
        <w:spacing w:after="6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lang w:eastAsia="ru-RU"/>
        </w:rPr>
      </w:r>
    </w:p>
    <w:p>
      <w:pPr>
        <w:ind w:left="-284" w:firstLine="426"/>
        <w:jc w:val="both"/>
        <w:spacing w:after="0" w:line="312" w:lineRule="auto"/>
        <w:shd w:val="clear" w:color="auto" w:fill="ffffff"/>
        <w:widowControl w:val="off"/>
        <w:rPr>
          <w:rFonts w:ascii="Times New Roman" w:hAnsi="Times New Roman" w:eastAsia="Times New Roman"/>
          <w:b/>
          <w:sz w:val="26"/>
          <w:szCs w:val="26"/>
        </w:rPr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3.1.Требования к качеству поставляемых товаров.</w:t>
      </w:r>
      <w:r>
        <w:rPr>
          <w:rFonts w:ascii="Times New Roman" w:hAnsi="Times New Roman" w:eastAsia="Times New Roman"/>
          <w:b/>
          <w:sz w:val="26"/>
          <w:szCs w:val="26"/>
          <w:lang w:eastAsia="ru-RU"/>
        </w:rPr>
      </w:r>
      <w:r>
        <w:rPr>
          <w:rFonts w:ascii="Times New Roman" w:hAnsi="Times New Roman" w:eastAsia="Times New Roman"/>
          <w:b/>
          <w:sz w:val="26"/>
          <w:szCs w:val="26"/>
        </w:rPr>
      </w:r>
    </w:p>
    <w:p>
      <w:pPr>
        <w:numPr>
          <w:ilvl w:val="0"/>
          <w:numId w:val="10"/>
        </w:numPr>
        <w:ind w:left="-284" w:firstLine="426"/>
        <w:jc w:val="both"/>
        <w:spacing w:after="0" w:line="312" w:lineRule="auto"/>
        <w:rPr>
          <w:rFonts w:ascii="Times New Roman" w:hAnsi="Times New Roman" w:eastAsia="Times New Roman"/>
          <w:sz w:val="26"/>
          <w:szCs w:val="26"/>
          <w14:ligatures w14:val="none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Поставляемый Товар должен быть новым (товаром, который не был в употреблении, в том числе который не был восстановлен, не были восстановлены потребительские свойства). </w:t>
      </w:r>
      <w:r>
        <w:rPr>
          <w:rFonts w:ascii="Times New Roman" w:hAnsi="Times New Roman" w:eastAsia="Times New Roman"/>
          <w:sz w:val="26"/>
          <w:szCs w:val="26"/>
          <w:lang w:eastAsia="ru-RU"/>
          <w14:ligatures w14:val="none"/>
        </w:rPr>
      </w:r>
      <w:r>
        <w:rPr>
          <w:rFonts w:ascii="Times New Roman" w:hAnsi="Times New Roman" w:eastAsia="Times New Roman"/>
          <w:sz w:val="26"/>
          <w:szCs w:val="26"/>
          <w14:ligatures w14:val="none"/>
        </w:rPr>
      </w:r>
    </w:p>
    <w:p>
      <w:pPr>
        <w:numPr>
          <w:ilvl w:val="0"/>
          <w:numId w:val="10"/>
        </w:numPr>
        <w:ind w:left="-284" w:firstLine="426"/>
        <w:jc w:val="both"/>
        <w:spacing w:after="0" w:line="312" w:lineRule="auto"/>
        <w:rPr>
          <w:rFonts w:ascii="Times New Roman" w:hAnsi="Times New Roman" w:eastAsia="Times New Roman"/>
          <w:sz w:val="26"/>
          <w:szCs w:val="26"/>
          <w14:ligatures w14:val="none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Функциональные, технические и качественные характеристики, эксплуатационные характеристики поставляемого Товара должны соответствовать требованиям настоящего Технического задания.</w:t>
      </w:r>
      <w:r>
        <w:rPr>
          <w:rFonts w:ascii="Times New Roman" w:hAnsi="Times New Roman" w:eastAsia="Times New Roman"/>
          <w:sz w:val="26"/>
          <w:szCs w:val="26"/>
          <w:lang w:eastAsia="ru-RU"/>
          <w14:ligatures w14:val="none"/>
        </w:rPr>
      </w:r>
      <w:r>
        <w:rPr>
          <w:rFonts w:ascii="Times New Roman" w:hAnsi="Times New Roman" w:eastAsia="Times New Roman"/>
          <w:sz w:val="26"/>
          <w:szCs w:val="26"/>
          <w14:ligatures w14:val="none"/>
        </w:rPr>
      </w:r>
    </w:p>
    <w:p>
      <w:pPr>
        <w:numPr>
          <w:ilvl w:val="0"/>
          <w:numId w:val="10"/>
        </w:numPr>
        <w:ind w:left="-284" w:firstLine="426"/>
        <w:jc w:val="both"/>
        <w:spacing w:after="0" w:line="312" w:lineRule="auto"/>
        <w:rPr>
          <w:rFonts w:ascii="Times New Roman" w:hAnsi="Times New Roman" w:eastAsia="Times New Roman"/>
          <w:sz w:val="26"/>
          <w:szCs w:val="26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В случае несоответствия поставляемого товара, техническому заданию Заказчик вправе вернуть его в срок установленный законодательством Российской Федерации.  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rFonts w:ascii="Times New Roman" w:hAnsi="Times New Roman" w:eastAsia="Times New Roman"/>
          <w:sz w:val="26"/>
          <w:szCs w:val="26"/>
        </w:rPr>
      </w:r>
    </w:p>
    <w:p>
      <w:pPr>
        <w:ind w:left="-284" w:firstLine="426"/>
        <w:jc w:val="both"/>
        <w:spacing w:after="60" w:line="312" w:lineRule="auto"/>
        <w:rPr>
          <w:rFonts w:ascii="Times New Roman" w:hAnsi="Times New Roman" w:eastAsia="Times New Roman"/>
          <w:b/>
          <w:bCs/>
          <w:sz w:val="26"/>
          <w:szCs w:val="26"/>
        </w:rPr>
      </w:pPr>
      <w:r>
        <w:rPr>
          <w:rFonts w:ascii="Times New Roman" w:hAnsi="Times New Roman" w:eastAsia="Times New Roman"/>
          <w:b/>
          <w:bCs/>
          <w:sz w:val="26"/>
          <w:szCs w:val="26"/>
          <w:lang w:eastAsia="ru-RU"/>
        </w:rPr>
        <w:t xml:space="preserve">4.1. Требования к упаковке и маркировке.</w:t>
      </w:r>
      <w:r>
        <w:rPr>
          <w:rFonts w:ascii="Times New Roman" w:hAnsi="Times New Roman" w:eastAsia="Times New Roman"/>
          <w:b/>
          <w:bCs/>
          <w:sz w:val="26"/>
          <w:szCs w:val="26"/>
          <w:lang w:eastAsia="ru-RU"/>
        </w:rPr>
      </w:r>
      <w:r>
        <w:rPr>
          <w:rFonts w:ascii="Times New Roman" w:hAnsi="Times New Roman" w:eastAsia="Times New Roman"/>
          <w:b/>
          <w:bCs/>
          <w:sz w:val="26"/>
          <w:szCs w:val="26"/>
        </w:rPr>
      </w:r>
    </w:p>
    <w:p>
      <w:pPr>
        <w:numPr>
          <w:ilvl w:val="0"/>
          <w:numId w:val="10"/>
        </w:numPr>
        <w:ind w:left="-284" w:firstLine="426"/>
        <w:jc w:val="both"/>
        <w:spacing w:after="0" w:line="312" w:lineRule="auto"/>
        <w:rPr>
          <w:rFonts w:ascii="Times New Roman" w:hAnsi="Times New Roman" w:eastAsia="Times New Roman"/>
          <w:sz w:val="26"/>
          <w:szCs w:val="26"/>
          <w14:ligatures w14:val="none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Товар поставляется в упаковке, обеспечивающей его сохранность при транспортировке, защищающей от повреждений и воздействия внешней среды. Маркировка товара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(при наличии)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должна быть нанесена хорошо читаемым шрифтом, на русском языке и содержать информацию согласно действующему законодательству Российской Федерации. Упаковки не должны иметь нарушений целостности, деформации и иных повреждений.</w:t>
      </w:r>
      <w:r>
        <w:rPr>
          <w:rFonts w:ascii="Times New Roman" w:hAnsi="Times New Roman" w:eastAsia="Times New Roman"/>
          <w:sz w:val="26"/>
          <w:szCs w:val="26"/>
          <w:lang w:eastAsia="ru-RU"/>
          <w14:ligatures w14:val="none"/>
        </w:rPr>
      </w:r>
      <w:r>
        <w:rPr>
          <w:rFonts w:ascii="Times New Roman" w:hAnsi="Times New Roman" w:eastAsia="Times New Roman"/>
          <w:sz w:val="26"/>
          <w:szCs w:val="26"/>
          <w14:ligatures w14:val="none"/>
        </w:rPr>
      </w:r>
    </w:p>
    <w:p>
      <w:pPr>
        <w:ind w:left="-284" w:firstLine="426"/>
        <w:jc w:val="both"/>
        <w:spacing w:after="60" w:line="312" w:lineRule="auto"/>
        <w:rPr>
          <w:rFonts w:ascii="Times New Roman" w:hAnsi="Times New Roman" w:eastAsia="Times New Roman"/>
          <w:b/>
          <w:bCs/>
          <w:sz w:val="26"/>
          <w:szCs w:val="26"/>
          <w14:ligatures w14:val="none"/>
        </w:rPr>
      </w:pPr>
      <w:r>
        <w:rPr>
          <w:rFonts w:ascii="Times New Roman" w:hAnsi="Times New Roman" w:eastAsia="Times New Roman"/>
          <w:b/>
          <w:bCs/>
          <w:sz w:val="26"/>
          <w:szCs w:val="26"/>
          <w:lang w:eastAsia="ru-RU"/>
        </w:rPr>
        <w:t xml:space="preserve">5.1.</w:t>
      </w:r>
      <w:r>
        <w:rPr>
          <w:rFonts w:ascii="Times New Roman" w:hAnsi="Times New Roman" w:eastAsia="Times New Roman"/>
          <w:b/>
          <w:bCs/>
          <w:sz w:val="26"/>
          <w:szCs w:val="26"/>
          <w:lang w:eastAsia="ru-RU"/>
        </w:rPr>
        <w:t xml:space="preserve">Требования к гарантийному сроку и объему предоставления гарантии качества</w:t>
      </w:r>
      <w:r>
        <w:rPr>
          <w:rFonts w:ascii="Times New Roman" w:hAnsi="Times New Roman" w:eastAsia="Times New Roman"/>
          <w:b/>
          <w:bCs/>
          <w:sz w:val="26"/>
          <w:szCs w:val="26"/>
          <w:lang w:eastAsia="ru-RU"/>
          <w14:ligatures w14:val="none"/>
        </w:rPr>
      </w:r>
      <w:r>
        <w:rPr>
          <w:rFonts w:ascii="Times New Roman" w:hAnsi="Times New Roman" w:eastAsia="Times New Roman"/>
          <w:b/>
          <w:bCs/>
          <w:sz w:val="26"/>
          <w:szCs w:val="26"/>
          <w14:ligatures w14:val="none"/>
        </w:rPr>
      </w:r>
    </w:p>
    <w:p>
      <w:pPr>
        <w:numPr>
          <w:ilvl w:val="0"/>
          <w:numId w:val="10"/>
        </w:numPr>
        <w:ind w:left="-284" w:firstLine="426"/>
        <w:jc w:val="both"/>
        <w:spacing w:after="0" w:line="312" w:lineRule="auto"/>
        <w:rPr>
          <w:rFonts w:ascii="Times New Roman" w:hAnsi="Times New Roman" w:eastAsia="Times New Roman"/>
          <w:sz w:val="26"/>
          <w:szCs w:val="26"/>
          <w14:ligatures w14:val="none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Поставщик гарантирует, что поставляемый Товар изготовлен в соответствии со стандартами и техническими характеристиками, указа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нными изготовителем, соответствует требованиям настоящего Технического задания, качество и безопасность поставляемого товара соответствует требованиям, установленным законодательством Российской Федерации, нормативными правовыми актами, что подтверждается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сертификатами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соответствия и/или иными документами, подтверждающими соответствие товара требованиям, установленным законодательством Российской Федерации, техническими регламентами, документами по стандартизации, в случае, если товар подлежит обязательной сертификации.</w:t>
      </w:r>
      <w:r>
        <w:rPr>
          <w:rFonts w:ascii="Times New Roman" w:hAnsi="Times New Roman" w:eastAsia="Times New Roman"/>
          <w:sz w:val="26"/>
          <w:szCs w:val="26"/>
          <w:lang w:eastAsia="ru-RU"/>
          <w14:ligatures w14:val="none"/>
        </w:rPr>
      </w:r>
      <w:r>
        <w:rPr>
          <w:rFonts w:ascii="Times New Roman" w:hAnsi="Times New Roman" w:eastAsia="Times New Roman"/>
          <w:sz w:val="26"/>
          <w:szCs w:val="26"/>
          <w14:ligatures w14:val="none"/>
        </w:rPr>
      </w:r>
    </w:p>
    <w:p>
      <w:pPr>
        <w:numPr>
          <w:ilvl w:val="0"/>
          <w:numId w:val="10"/>
        </w:numPr>
        <w:ind w:left="-284" w:firstLine="426"/>
        <w:jc w:val="both"/>
        <w:spacing w:after="0" w:line="312" w:lineRule="auto"/>
        <w:rPr>
          <w:rFonts w:ascii="Times New Roman" w:hAnsi="Times New Roman" w:eastAsia="Times New Roman"/>
          <w:sz w:val="26"/>
          <w:szCs w:val="26"/>
          <w14:ligatures w14:val="none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Поставщик принимает на себя гарантийные обязательства в отношении поставленного Товара в соответствии с условиями настоящего Технического задания.</w:t>
      </w:r>
      <w:r>
        <w:rPr>
          <w:rFonts w:ascii="Times New Roman" w:hAnsi="Times New Roman" w:eastAsia="Times New Roman"/>
          <w:sz w:val="26"/>
          <w:szCs w:val="26"/>
          <w:lang w:eastAsia="ru-RU"/>
          <w14:ligatures w14:val="none"/>
        </w:rPr>
      </w:r>
      <w:r>
        <w:rPr>
          <w:rFonts w:ascii="Times New Roman" w:hAnsi="Times New Roman" w:eastAsia="Times New Roman"/>
          <w:sz w:val="26"/>
          <w:szCs w:val="26"/>
          <w14:ligatures w14:val="none"/>
        </w:rPr>
      </w:r>
    </w:p>
    <w:p>
      <w:pPr>
        <w:numPr>
          <w:ilvl w:val="0"/>
          <w:numId w:val="10"/>
        </w:numPr>
        <w:ind w:left="-284" w:firstLine="426"/>
        <w:jc w:val="both"/>
        <w:spacing w:after="0" w:line="312" w:lineRule="auto"/>
        <w:rPr>
          <w:rFonts w:ascii="Times New Roman" w:hAnsi="Times New Roman" w:eastAsia="Times New Roman"/>
          <w:sz w:val="26"/>
          <w:szCs w:val="26"/>
          <w14:ligatures w14:val="none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Гарантийный срок на поставленный Товар должен составлять не менее 12 (двенадцати) месяцев с даты подписания Сторонами универсального передаточного документа или товарной накладной.</w:t>
      </w:r>
      <w:r>
        <w:rPr>
          <w:rFonts w:ascii="Times New Roman" w:hAnsi="Times New Roman" w:eastAsia="Times New Roman"/>
          <w:sz w:val="26"/>
          <w:szCs w:val="26"/>
          <w:lang w:eastAsia="ru-RU"/>
          <w14:ligatures w14:val="none"/>
        </w:rPr>
      </w:r>
      <w:r>
        <w:rPr>
          <w:rFonts w:ascii="Times New Roman" w:hAnsi="Times New Roman" w:eastAsia="Times New Roman"/>
          <w:sz w:val="26"/>
          <w:szCs w:val="26"/>
          <w14:ligatures w14:val="none"/>
        </w:rPr>
      </w:r>
    </w:p>
    <w:p>
      <w:pPr>
        <w:numPr>
          <w:ilvl w:val="0"/>
          <w:numId w:val="10"/>
        </w:numPr>
        <w:ind w:left="-284" w:firstLine="426"/>
        <w:jc w:val="both"/>
        <w:spacing w:after="0" w:line="312" w:lineRule="auto"/>
        <w:rPr>
          <w:rFonts w:ascii="Times New Roman" w:hAnsi="Times New Roman" w:eastAsia="Times New Roman"/>
          <w:sz w:val="26"/>
          <w:szCs w:val="26"/>
          <w14:ligatures w14:val="none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и заменить товар ненадлежащего качества новым,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в срок не более 5 (пяти) рабочих дней с момента получения письменного уведомления от Заказчика (в том числе посредством электронной почты)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. Гарантийный срок на товар в данном случае продлевается на период устранения дефектов.</w:t>
      </w:r>
      <w:r>
        <w:rPr>
          <w:rFonts w:ascii="Times New Roman" w:hAnsi="Times New Roman" w:eastAsia="Times New Roman"/>
          <w:sz w:val="26"/>
          <w:szCs w:val="26"/>
          <w:lang w:eastAsia="ru-RU"/>
          <w14:ligatures w14:val="none"/>
        </w:rPr>
      </w:r>
      <w:r>
        <w:rPr>
          <w:rFonts w:ascii="Times New Roman" w:hAnsi="Times New Roman" w:eastAsia="Times New Roman"/>
          <w:sz w:val="26"/>
          <w:szCs w:val="26"/>
          <w14:ligatures w14:val="none"/>
        </w:rPr>
      </w:r>
    </w:p>
    <w:p>
      <w:pPr>
        <w:ind w:left="-284" w:firstLine="426"/>
        <w:jc w:val="both"/>
        <w:spacing w:after="60" w:line="312" w:lineRule="auto"/>
        <w:rPr>
          <w:rFonts w:ascii="Times New Roman" w:hAnsi="Times New Roman" w:eastAsia="Times New Roman"/>
          <w:b/>
          <w:sz w:val="26"/>
          <w:szCs w:val="26"/>
        </w:rPr>
      </w:pPr>
      <w:r>
        <w:rPr>
          <w:rFonts w:ascii="Times New Roman" w:hAnsi="Times New Roman" w:eastAsia="Times New Roman"/>
          <w:b/>
          <w:bCs/>
          <w:sz w:val="26"/>
          <w:szCs w:val="26"/>
          <w:lang w:eastAsia="ru-RU"/>
        </w:rPr>
        <w:t xml:space="preserve">6.1. П</w:t>
      </w: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риемка продукции:</w:t>
      </w:r>
      <w:r>
        <w:rPr>
          <w:rFonts w:ascii="Times New Roman" w:hAnsi="Times New Roman" w:eastAsia="Times New Roman"/>
          <w:b/>
          <w:sz w:val="26"/>
          <w:szCs w:val="26"/>
          <w:lang w:eastAsia="ru-RU"/>
        </w:rPr>
      </w:r>
      <w:r>
        <w:rPr>
          <w:rFonts w:ascii="Times New Roman" w:hAnsi="Times New Roman" w:eastAsia="Times New Roman"/>
          <w:b/>
          <w:sz w:val="26"/>
          <w:szCs w:val="26"/>
        </w:rPr>
      </w:r>
    </w:p>
    <w:p>
      <w:pPr>
        <w:numPr>
          <w:ilvl w:val="0"/>
          <w:numId w:val="10"/>
        </w:numPr>
        <w:ind w:left="-284" w:firstLine="426"/>
        <w:jc w:val="both"/>
        <w:spacing w:after="0" w:line="312" w:lineRule="auto"/>
        <w:rPr>
          <w:rFonts w:ascii="Times New Roman" w:hAnsi="Times New Roman" w:eastAsia="Times New Roman"/>
          <w:sz w:val="26"/>
          <w:szCs w:val="26"/>
          <w14:ligatures w14:val="none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Одновременно с Товаром Поставщик передает Заказчику следующие документы:</w:t>
      </w:r>
      <w:r>
        <w:rPr>
          <w:rFonts w:ascii="Times New Roman" w:hAnsi="Times New Roman" w:eastAsia="Times New Roman"/>
          <w:sz w:val="26"/>
          <w:szCs w:val="26"/>
          <w:lang w:eastAsia="ru-RU"/>
          <w14:ligatures w14:val="none"/>
        </w:rPr>
      </w:r>
      <w:r>
        <w:rPr>
          <w:rFonts w:ascii="Times New Roman" w:hAnsi="Times New Roman" w:eastAsia="Times New Roman"/>
          <w:sz w:val="26"/>
          <w:szCs w:val="26"/>
          <w14:ligatures w14:val="none"/>
        </w:rPr>
      </w:r>
    </w:p>
    <w:p>
      <w:pPr>
        <w:numPr>
          <w:ilvl w:val="0"/>
          <w:numId w:val="10"/>
        </w:numPr>
        <w:ind w:left="-284" w:firstLine="426"/>
        <w:jc w:val="both"/>
        <w:spacing w:after="0" w:line="312" w:lineRule="auto"/>
        <w:rPr>
          <w:rFonts w:ascii="Times New Roman" w:hAnsi="Times New Roman" w:eastAsia="Times New Roman"/>
          <w:sz w:val="26"/>
          <w:szCs w:val="26"/>
          <w14:ligatures w14:val="none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- товарную накладную формы № ТОРГ-12 или универсальный передаточный документ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в соответствии с письмом ФНС России от 21 октября 2013 г. № ММВ-20-3/96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(далее – УПД) в 2-х экземплярах (один экземпляр – для Заказчика и один экземпляр – для Поставщика);</w:t>
      </w:r>
      <w:r>
        <w:rPr>
          <w:rFonts w:ascii="Times New Roman" w:hAnsi="Times New Roman" w:eastAsia="Times New Roman"/>
          <w:sz w:val="26"/>
          <w:szCs w:val="26"/>
          <w:lang w:eastAsia="ru-RU"/>
          <w14:ligatures w14:val="none"/>
        </w:rPr>
      </w:r>
      <w:r>
        <w:rPr>
          <w:rFonts w:ascii="Times New Roman" w:hAnsi="Times New Roman" w:eastAsia="Times New Roman"/>
          <w:sz w:val="26"/>
          <w:szCs w:val="26"/>
          <w14:ligatures w14:val="none"/>
        </w:rPr>
      </w:r>
    </w:p>
    <w:p>
      <w:pPr>
        <w:numPr>
          <w:ilvl w:val="0"/>
          <w:numId w:val="10"/>
        </w:numPr>
        <w:ind w:left="-284" w:firstLine="426"/>
        <w:jc w:val="both"/>
        <w:spacing w:after="0" w:line="312" w:lineRule="auto"/>
        <w:rPr>
          <w:rFonts w:ascii="Times New Roman" w:hAnsi="Times New Roman" w:eastAsia="Times New Roman"/>
          <w:sz w:val="26"/>
          <w:szCs w:val="26"/>
          <w14:ligatures w14:val="none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- счет на оплату;</w:t>
      </w:r>
      <w:r>
        <w:rPr>
          <w:rFonts w:ascii="Times New Roman" w:hAnsi="Times New Roman" w:eastAsia="Times New Roman"/>
          <w:sz w:val="26"/>
          <w:szCs w:val="26"/>
          <w:lang w:eastAsia="ru-RU"/>
          <w14:ligatures w14:val="none"/>
        </w:rPr>
      </w:r>
      <w:r>
        <w:rPr>
          <w:rFonts w:ascii="Times New Roman" w:hAnsi="Times New Roman" w:eastAsia="Times New Roman"/>
          <w:sz w:val="26"/>
          <w:szCs w:val="26"/>
          <w14:ligatures w14:val="none"/>
        </w:rPr>
      </w:r>
    </w:p>
    <w:p>
      <w:pPr>
        <w:numPr>
          <w:ilvl w:val="0"/>
          <w:numId w:val="10"/>
        </w:numPr>
        <w:ind w:left="-284" w:firstLine="426"/>
        <w:jc w:val="both"/>
        <w:spacing w:after="0" w:line="312" w:lineRule="auto"/>
        <w:rPr>
          <w:rFonts w:ascii="Times New Roman" w:hAnsi="Times New Roman" w:eastAsia="Times New Roman"/>
          <w:sz w:val="26"/>
          <w:szCs w:val="26"/>
          <w14:ligatures w14:val="none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- иные относящиеся к Товару документы (при наличии).</w:t>
      </w:r>
      <w:r>
        <w:rPr>
          <w:rFonts w:ascii="Times New Roman" w:hAnsi="Times New Roman" w:eastAsia="Times New Roman"/>
          <w:sz w:val="26"/>
          <w:szCs w:val="26"/>
          <w:lang w:eastAsia="ru-RU"/>
          <w14:ligatures w14:val="none"/>
        </w:rPr>
      </w:r>
      <w:r>
        <w:rPr>
          <w:rFonts w:ascii="Times New Roman" w:hAnsi="Times New Roman" w:eastAsia="Times New Roman"/>
          <w:sz w:val="26"/>
          <w:szCs w:val="26"/>
          <w14:ligatures w14:val="none"/>
        </w:rPr>
      </w:r>
    </w:p>
    <w:p>
      <w:pPr>
        <w:numPr>
          <w:ilvl w:val="0"/>
          <w:numId w:val="10"/>
        </w:numPr>
        <w:ind w:left="-284" w:firstLine="426"/>
        <w:jc w:val="both"/>
        <w:spacing w:after="0" w:line="312" w:lineRule="auto"/>
        <w:rPr>
          <w:rFonts w:ascii="Times New Roman" w:hAnsi="Times New Roman" w:eastAsia="Times New Roman"/>
          <w:sz w:val="26"/>
          <w:szCs w:val="26"/>
          <w14:ligatures w14:val="none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Приемка Товара осуществляется в течение 20 (двадцати) рабочих дней с момента поставки Товара путем подписания Сторонами универсального передаточного документа или товарной накладной с приложением иных относящихся к Товару документов (при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наличии). В случае обнаружения каких-либо недостатков в количестве, качестве и т.д. Заказчик составляет мотивированный отказ от подписания универсального передаточного документа или товарной накладной с указанием сроков устранения обнаруженных недостатков.</w:t>
      </w:r>
      <w:r>
        <w:rPr>
          <w:rFonts w:ascii="Times New Roman" w:hAnsi="Times New Roman" w:eastAsia="Times New Roman"/>
          <w:sz w:val="26"/>
          <w:szCs w:val="26"/>
          <w:lang w:eastAsia="ru-RU"/>
          <w14:ligatures w14:val="none"/>
        </w:rPr>
      </w:r>
      <w:r>
        <w:rPr>
          <w:rFonts w:ascii="Times New Roman" w:hAnsi="Times New Roman" w:eastAsia="Times New Roman"/>
          <w:sz w:val="26"/>
          <w:szCs w:val="26"/>
          <w14:ligatures w14:val="none"/>
        </w:rPr>
      </w:r>
    </w:p>
    <w:sectPr>
      <w:footnotePr/>
      <w:endnotePr/>
      <w:type w:val="nextPage"/>
      <w:pgSz w:w="11906" w:h="16838" w:orient="portrait"/>
      <w:pgMar w:top="1134" w:right="851" w:bottom="851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Segoe UI">
    <w:panose1 w:val="020B0502040504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  <w:tabs>
          <w:tab w:val="num" w:pos="108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  <w:tabs>
          <w:tab w:val="num" w:pos="180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  <w:tabs>
          <w:tab w:val="num" w:pos="252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  <w:tabs>
          <w:tab w:val="num" w:pos="324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  <w:tabs>
          <w:tab w:val="num" w:pos="396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  <w:tabs>
          <w:tab w:val="num" w:pos="468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  <w:tabs>
          <w:tab w:val="num" w:pos="540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  <w:tabs>
          <w:tab w:val="num" w:pos="6120" w:leader="none"/>
        </w:tabs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1584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408" w:hanging="360"/>
        <w:tabs>
          <w:tab w:val="num" w:pos="408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128" w:hanging="360"/>
        <w:tabs>
          <w:tab w:val="num" w:pos="1128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48" w:hanging="360"/>
        <w:tabs>
          <w:tab w:val="num" w:pos="1848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68" w:hanging="360"/>
        <w:tabs>
          <w:tab w:val="num" w:pos="2568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88" w:hanging="360"/>
        <w:tabs>
          <w:tab w:val="num" w:pos="3288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008" w:hanging="360"/>
        <w:tabs>
          <w:tab w:val="num" w:pos="4008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728" w:hanging="360"/>
        <w:tabs>
          <w:tab w:val="num" w:pos="4728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48" w:hanging="360"/>
        <w:tabs>
          <w:tab w:val="num" w:pos="5448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68" w:hanging="360"/>
        <w:tabs>
          <w:tab w:val="num" w:pos="6168" w:leader="none"/>
        </w:tabs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44" w:hanging="360"/>
        <w:tabs>
          <w:tab w:val="num" w:pos="644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51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7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9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01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3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5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7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9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611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6"/>
  </w:num>
  <w:num w:numId="5">
    <w:abstractNumId w:val="8"/>
  </w:num>
  <w:num w:numId="6">
    <w:abstractNumId w:val="3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8">
    <w:name w:val="Heading 2 Char"/>
    <w:basedOn w:val="703"/>
    <w:link w:val="695"/>
    <w:uiPriority w:val="9"/>
    <w:rPr>
      <w:rFonts w:ascii="Arial" w:hAnsi="Arial" w:eastAsia="Arial" w:cs="Arial"/>
      <w:sz w:val="34"/>
    </w:rPr>
  </w:style>
  <w:style w:type="character" w:styleId="679">
    <w:name w:val="Heading 4 Char"/>
    <w:basedOn w:val="703"/>
    <w:link w:val="697"/>
    <w:uiPriority w:val="9"/>
    <w:rPr>
      <w:rFonts w:ascii="Arial" w:hAnsi="Arial" w:eastAsia="Arial" w:cs="Arial"/>
      <w:b/>
      <w:bCs/>
      <w:sz w:val="26"/>
      <w:szCs w:val="26"/>
    </w:rPr>
  </w:style>
  <w:style w:type="character" w:styleId="680">
    <w:name w:val="Heading 5 Char"/>
    <w:basedOn w:val="703"/>
    <w:link w:val="698"/>
    <w:uiPriority w:val="9"/>
    <w:rPr>
      <w:rFonts w:ascii="Arial" w:hAnsi="Arial" w:eastAsia="Arial" w:cs="Arial"/>
      <w:b/>
      <w:bCs/>
      <w:sz w:val="24"/>
      <w:szCs w:val="24"/>
    </w:rPr>
  </w:style>
  <w:style w:type="character" w:styleId="681">
    <w:name w:val="Heading 6 Char"/>
    <w:basedOn w:val="703"/>
    <w:link w:val="699"/>
    <w:uiPriority w:val="9"/>
    <w:rPr>
      <w:rFonts w:ascii="Arial" w:hAnsi="Arial" w:eastAsia="Arial" w:cs="Arial"/>
      <w:b/>
      <w:bCs/>
      <w:sz w:val="22"/>
      <w:szCs w:val="22"/>
    </w:rPr>
  </w:style>
  <w:style w:type="character" w:styleId="682">
    <w:name w:val="Heading 7 Char"/>
    <w:basedOn w:val="703"/>
    <w:link w:val="70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3">
    <w:name w:val="Heading 8 Char"/>
    <w:basedOn w:val="703"/>
    <w:link w:val="701"/>
    <w:uiPriority w:val="9"/>
    <w:rPr>
      <w:rFonts w:ascii="Arial" w:hAnsi="Arial" w:eastAsia="Arial" w:cs="Arial"/>
      <w:i/>
      <w:iCs/>
      <w:sz w:val="22"/>
      <w:szCs w:val="22"/>
    </w:rPr>
  </w:style>
  <w:style w:type="character" w:styleId="684">
    <w:name w:val="Heading 9 Char"/>
    <w:basedOn w:val="703"/>
    <w:link w:val="702"/>
    <w:uiPriority w:val="9"/>
    <w:rPr>
      <w:rFonts w:ascii="Arial" w:hAnsi="Arial" w:eastAsia="Arial" w:cs="Arial"/>
      <w:i/>
      <w:iCs/>
      <w:sz w:val="21"/>
      <w:szCs w:val="21"/>
    </w:rPr>
  </w:style>
  <w:style w:type="character" w:styleId="685">
    <w:name w:val="Title Char"/>
    <w:basedOn w:val="703"/>
    <w:link w:val="716"/>
    <w:uiPriority w:val="10"/>
    <w:rPr>
      <w:sz w:val="48"/>
      <w:szCs w:val="48"/>
    </w:rPr>
  </w:style>
  <w:style w:type="character" w:styleId="686">
    <w:name w:val="Subtitle Char"/>
    <w:basedOn w:val="703"/>
    <w:link w:val="718"/>
    <w:uiPriority w:val="11"/>
    <w:rPr>
      <w:sz w:val="24"/>
      <w:szCs w:val="24"/>
    </w:rPr>
  </w:style>
  <w:style w:type="character" w:styleId="687">
    <w:name w:val="Quote Char"/>
    <w:link w:val="720"/>
    <w:uiPriority w:val="29"/>
    <w:rPr>
      <w:i/>
    </w:rPr>
  </w:style>
  <w:style w:type="character" w:styleId="688">
    <w:name w:val="Intense Quote Char"/>
    <w:link w:val="722"/>
    <w:uiPriority w:val="30"/>
    <w:rPr>
      <w:i/>
    </w:rPr>
  </w:style>
  <w:style w:type="character" w:styleId="689">
    <w:name w:val="Header Char"/>
    <w:basedOn w:val="703"/>
    <w:link w:val="724"/>
    <w:uiPriority w:val="99"/>
  </w:style>
  <w:style w:type="character" w:styleId="690">
    <w:name w:val="Caption Char"/>
    <w:basedOn w:val="703"/>
    <w:link w:val="728"/>
    <w:uiPriority w:val="35"/>
    <w:rPr>
      <w:b/>
      <w:bCs/>
      <w:color w:val="4f81bd" w:themeColor="accent1"/>
      <w:sz w:val="18"/>
      <w:szCs w:val="18"/>
    </w:rPr>
  </w:style>
  <w:style w:type="character" w:styleId="691">
    <w:name w:val="Footnote Text Char"/>
    <w:link w:val="856"/>
    <w:uiPriority w:val="99"/>
    <w:rPr>
      <w:sz w:val="18"/>
    </w:rPr>
  </w:style>
  <w:style w:type="character" w:styleId="692">
    <w:name w:val="Endnote Text Char"/>
    <w:link w:val="859"/>
    <w:uiPriority w:val="99"/>
    <w:rPr>
      <w:sz w:val="20"/>
    </w:rPr>
  </w:style>
  <w:style w:type="paragraph" w:styleId="693" w:default="1">
    <w:name w:val="Normal"/>
    <w:qFormat/>
    <w:pPr>
      <w:spacing w:after="200" w:line="276" w:lineRule="auto"/>
    </w:pPr>
    <w:rPr>
      <w:rFonts w:ascii="Calibri" w:hAnsi="Calibri" w:eastAsia="Calibri" w:cs="Times New Roman"/>
    </w:rPr>
  </w:style>
  <w:style w:type="paragraph" w:styleId="694">
    <w:name w:val="Heading 1"/>
    <w:basedOn w:val="693"/>
    <w:next w:val="693"/>
    <w:link w:val="880"/>
    <w:uiPriority w:val="9"/>
    <w:qFormat/>
    <w:pPr>
      <w:keepLines/>
      <w:keepNext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695">
    <w:name w:val="Heading 2"/>
    <w:basedOn w:val="693"/>
    <w:next w:val="693"/>
    <w:link w:val="707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96">
    <w:name w:val="Heading 3"/>
    <w:basedOn w:val="693"/>
    <w:link w:val="876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/>
      <w:b/>
      <w:bCs/>
      <w:sz w:val="27"/>
      <w:szCs w:val="27"/>
      <w:lang w:eastAsia="ru-RU"/>
    </w:rPr>
  </w:style>
  <w:style w:type="paragraph" w:styleId="697">
    <w:name w:val="Heading 4"/>
    <w:basedOn w:val="693"/>
    <w:next w:val="693"/>
    <w:link w:val="709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8">
    <w:name w:val="Heading 5"/>
    <w:basedOn w:val="693"/>
    <w:next w:val="693"/>
    <w:link w:val="710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9">
    <w:name w:val="Heading 6"/>
    <w:basedOn w:val="693"/>
    <w:next w:val="693"/>
    <w:link w:val="711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00">
    <w:name w:val="Heading 7"/>
    <w:basedOn w:val="693"/>
    <w:next w:val="693"/>
    <w:link w:val="712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01">
    <w:name w:val="Heading 8"/>
    <w:basedOn w:val="693"/>
    <w:next w:val="693"/>
    <w:link w:val="713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02">
    <w:name w:val="Heading 9"/>
    <w:basedOn w:val="693"/>
    <w:next w:val="693"/>
    <w:link w:val="714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3" w:default="1">
    <w:name w:val="Default Paragraph Font"/>
    <w:uiPriority w:val="1"/>
    <w:semiHidden/>
    <w:unhideWhenUsed/>
  </w:style>
  <w:style w:type="table" w:styleId="70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5" w:default="1">
    <w:name w:val="No List"/>
    <w:uiPriority w:val="99"/>
    <w:semiHidden/>
    <w:unhideWhenUsed/>
  </w:style>
  <w:style w:type="character" w:styleId="706" w:customStyle="1">
    <w:name w:val="Heading 1 Char"/>
    <w:basedOn w:val="703"/>
    <w:uiPriority w:val="9"/>
    <w:rPr>
      <w:rFonts w:ascii="Arial" w:hAnsi="Arial" w:eastAsia="Arial" w:cs="Arial"/>
      <w:sz w:val="40"/>
      <w:szCs w:val="40"/>
    </w:rPr>
  </w:style>
  <w:style w:type="character" w:styleId="707" w:customStyle="1">
    <w:name w:val="Заголовок 2 Знак"/>
    <w:basedOn w:val="703"/>
    <w:link w:val="695"/>
    <w:uiPriority w:val="9"/>
    <w:rPr>
      <w:rFonts w:ascii="Arial" w:hAnsi="Arial" w:eastAsia="Arial" w:cs="Arial"/>
      <w:sz w:val="34"/>
    </w:rPr>
  </w:style>
  <w:style w:type="character" w:styleId="708" w:customStyle="1">
    <w:name w:val="Heading 3 Char"/>
    <w:basedOn w:val="703"/>
    <w:uiPriority w:val="9"/>
    <w:rPr>
      <w:rFonts w:ascii="Arial" w:hAnsi="Arial" w:eastAsia="Arial" w:cs="Arial"/>
      <w:sz w:val="30"/>
      <w:szCs w:val="30"/>
    </w:rPr>
  </w:style>
  <w:style w:type="character" w:styleId="709" w:customStyle="1">
    <w:name w:val="Заголовок 4 Знак"/>
    <w:basedOn w:val="703"/>
    <w:link w:val="697"/>
    <w:uiPriority w:val="9"/>
    <w:rPr>
      <w:rFonts w:ascii="Arial" w:hAnsi="Arial" w:eastAsia="Arial" w:cs="Arial"/>
      <w:b/>
      <w:bCs/>
      <w:sz w:val="26"/>
      <w:szCs w:val="26"/>
    </w:rPr>
  </w:style>
  <w:style w:type="character" w:styleId="710" w:customStyle="1">
    <w:name w:val="Заголовок 5 Знак"/>
    <w:basedOn w:val="703"/>
    <w:link w:val="698"/>
    <w:uiPriority w:val="9"/>
    <w:rPr>
      <w:rFonts w:ascii="Arial" w:hAnsi="Arial" w:eastAsia="Arial" w:cs="Arial"/>
      <w:b/>
      <w:bCs/>
      <w:sz w:val="24"/>
      <w:szCs w:val="24"/>
    </w:rPr>
  </w:style>
  <w:style w:type="character" w:styleId="711" w:customStyle="1">
    <w:name w:val="Заголовок 6 Знак"/>
    <w:basedOn w:val="703"/>
    <w:link w:val="699"/>
    <w:uiPriority w:val="9"/>
    <w:rPr>
      <w:rFonts w:ascii="Arial" w:hAnsi="Arial" w:eastAsia="Arial" w:cs="Arial"/>
      <w:b/>
      <w:bCs/>
      <w:sz w:val="22"/>
      <w:szCs w:val="22"/>
    </w:rPr>
  </w:style>
  <w:style w:type="character" w:styleId="712" w:customStyle="1">
    <w:name w:val="Заголовок 7 Знак"/>
    <w:basedOn w:val="703"/>
    <w:link w:val="70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3" w:customStyle="1">
    <w:name w:val="Заголовок 8 Знак"/>
    <w:basedOn w:val="703"/>
    <w:link w:val="701"/>
    <w:uiPriority w:val="9"/>
    <w:rPr>
      <w:rFonts w:ascii="Arial" w:hAnsi="Arial" w:eastAsia="Arial" w:cs="Arial"/>
      <w:i/>
      <w:iCs/>
      <w:sz w:val="22"/>
      <w:szCs w:val="22"/>
    </w:rPr>
  </w:style>
  <w:style w:type="character" w:styleId="714" w:customStyle="1">
    <w:name w:val="Заголовок 9 Знак"/>
    <w:basedOn w:val="703"/>
    <w:link w:val="702"/>
    <w:uiPriority w:val="9"/>
    <w:rPr>
      <w:rFonts w:ascii="Arial" w:hAnsi="Arial" w:eastAsia="Arial" w:cs="Arial"/>
      <w:i/>
      <w:iCs/>
      <w:sz w:val="21"/>
      <w:szCs w:val="21"/>
    </w:rPr>
  </w:style>
  <w:style w:type="paragraph" w:styleId="715">
    <w:name w:val="No Spacing"/>
    <w:uiPriority w:val="1"/>
    <w:qFormat/>
    <w:pPr>
      <w:spacing w:after="0" w:line="240" w:lineRule="auto"/>
    </w:pPr>
  </w:style>
  <w:style w:type="paragraph" w:styleId="716">
    <w:name w:val="Title"/>
    <w:basedOn w:val="693"/>
    <w:next w:val="693"/>
    <w:link w:val="717"/>
    <w:uiPriority w:val="10"/>
    <w:qFormat/>
    <w:pPr>
      <w:contextualSpacing/>
      <w:spacing w:before="300"/>
    </w:pPr>
    <w:rPr>
      <w:sz w:val="48"/>
      <w:szCs w:val="48"/>
    </w:rPr>
  </w:style>
  <w:style w:type="character" w:styleId="717" w:customStyle="1">
    <w:name w:val="Название Знак"/>
    <w:basedOn w:val="703"/>
    <w:link w:val="716"/>
    <w:uiPriority w:val="10"/>
    <w:rPr>
      <w:sz w:val="48"/>
      <w:szCs w:val="48"/>
    </w:rPr>
  </w:style>
  <w:style w:type="paragraph" w:styleId="718">
    <w:name w:val="Subtitle"/>
    <w:basedOn w:val="693"/>
    <w:next w:val="693"/>
    <w:link w:val="719"/>
    <w:uiPriority w:val="11"/>
    <w:qFormat/>
    <w:pPr>
      <w:spacing w:before="200"/>
    </w:pPr>
    <w:rPr>
      <w:sz w:val="24"/>
      <w:szCs w:val="24"/>
    </w:rPr>
  </w:style>
  <w:style w:type="character" w:styleId="719" w:customStyle="1">
    <w:name w:val="Подзаголовок Знак"/>
    <w:basedOn w:val="703"/>
    <w:link w:val="718"/>
    <w:uiPriority w:val="11"/>
    <w:rPr>
      <w:sz w:val="24"/>
      <w:szCs w:val="24"/>
    </w:rPr>
  </w:style>
  <w:style w:type="paragraph" w:styleId="720">
    <w:name w:val="Quote"/>
    <w:basedOn w:val="693"/>
    <w:next w:val="693"/>
    <w:link w:val="721"/>
    <w:uiPriority w:val="29"/>
    <w:qFormat/>
    <w:pPr>
      <w:ind w:left="720" w:right="720"/>
    </w:pPr>
    <w:rPr>
      <w:i/>
    </w:rPr>
  </w:style>
  <w:style w:type="character" w:styleId="721" w:customStyle="1">
    <w:name w:val="Цитата 2 Знак"/>
    <w:link w:val="720"/>
    <w:uiPriority w:val="29"/>
    <w:rPr>
      <w:i/>
    </w:rPr>
  </w:style>
  <w:style w:type="paragraph" w:styleId="722">
    <w:name w:val="Intense Quote"/>
    <w:basedOn w:val="693"/>
    <w:next w:val="693"/>
    <w:link w:val="72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 w:customStyle="1">
    <w:name w:val="Выделенная цитата Знак"/>
    <w:link w:val="722"/>
    <w:uiPriority w:val="30"/>
    <w:rPr>
      <w:i/>
    </w:rPr>
  </w:style>
  <w:style w:type="paragraph" w:styleId="724">
    <w:name w:val="Header"/>
    <w:basedOn w:val="693"/>
    <w:link w:val="72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5" w:customStyle="1">
    <w:name w:val="Верхний колонтитул Знак"/>
    <w:basedOn w:val="703"/>
    <w:link w:val="724"/>
    <w:uiPriority w:val="99"/>
  </w:style>
  <w:style w:type="paragraph" w:styleId="726">
    <w:name w:val="Footer"/>
    <w:basedOn w:val="693"/>
    <w:link w:val="72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7" w:customStyle="1">
    <w:name w:val="Footer Char"/>
    <w:basedOn w:val="703"/>
    <w:uiPriority w:val="99"/>
  </w:style>
  <w:style w:type="paragraph" w:styleId="728">
    <w:name w:val="Caption"/>
    <w:basedOn w:val="693"/>
    <w:next w:val="693"/>
    <w:link w:val="690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29" w:customStyle="1">
    <w:name w:val="Нижний колонтитул Знак"/>
    <w:link w:val="726"/>
    <w:uiPriority w:val="99"/>
  </w:style>
  <w:style w:type="table" w:styleId="730" w:customStyle="1">
    <w:name w:val="Table Grid Light"/>
    <w:basedOn w:val="704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>
    <w:name w:val="Plain Table 1"/>
    <w:basedOn w:val="704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>
    <w:name w:val="Plain Table 2"/>
    <w:basedOn w:val="70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>
    <w:name w:val="Plain Table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4">
    <w:name w:val="Plain Table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Plain Table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6">
    <w:name w:val="Grid Table 1 Light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Grid Table 1 Light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2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3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4"/>
    <w:basedOn w:val="7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8" w:customStyle="1">
    <w:name w:val="Grid Table 4 - Accent 1"/>
    <w:basedOn w:val="7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59" w:customStyle="1">
    <w:name w:val="Grid Table 4 - Accent 2"/>
    <w:basedOn w:val="7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60" w:customStyle="1">
    <w:name w:val="Grid Table 4 - Accent 3"/>
    <w:basedOn w:val="7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61" w:customStyle="1">
    <w:name w:val="Grid Table 4 - Accent 4"/>
    <w:basedOn w:val="7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2" w:customStyle="1">
    <w:name w:val="Grid Table 4 - Accent 5"/>
    <w:basedOn w:val="7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63" w:customStyle="1">
    <w:name w:val="Grid Table 4 - Accent 6"/>
    <w:basedOn w:val="7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4">
    <w:name w:val="Grid Table 5 Dark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70" w:customStyle="1">
    <w:name w:val="Grid Table 5 Dark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71">
    <w:name w:val="Grid Table 6 Colorful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2" w:customStyle="1">
    <w:name w:val="Grid Table 6 Colorful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73" w:customStyle="1">
    <w:name w:val="Grid Table 6 Colorful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4" w:customStyle="1">
    <w:name w:val="Grid Table 6 Colorful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5" w:customStyle="1">
    <w:name w:val="Grid Table 6 Colorful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6" w:customStyle="1">
    <w:name w:val="Grid Table 6 Colorful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7" w:customStyle="1">
    <w:name w:val="Grid Table 6 Colorful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8">
    <w:name w:val="Grid Table 7 Colorful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7 Colorful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1 Light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98" w:customStyle="1">
    <w:name w:val="List Table 2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9">
    <w:name w:val="List Table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3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4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5 Dark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 w:customStyle="1">
    <w:name w:val="List Table 5 Dark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0">
    <w:name w:val="List Table 6 Colorful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1" w:customStyle="1">
    <w:name w:val="List Table 6 Colorful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22" w:customStyle="1">
    <w:name w:val="List Table 6 Colorful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3" w:customStyle="1">
    <w:name w:val="List Table 6 Colorful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4" w:customStyle="1">
    <w:name w:val="List Table 6 Colorful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5" w:customStyle="1">
    <w:name w:val="List Table 6 Colorful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26" w:customStyle="1">
    <w:name w:val="List Table 6 Colorful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7">
    <w:name w:val="List Table 7 Colorful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7 Colorful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ned - Accent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5" w:customStyle="1">
    <w:name w:val="Lined - Accent 1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6" w:customStyle="1">
    <w:name w:val="Lined - Accent 2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7" w:customStyle="1">
    <w:name w:val="Lined - Accent 3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8" w:customStyle="1">
    <w:name w:val="Lined - Accent 4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9" w:customStyle="1">
    <w:name w:val="Lined - Accent 5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0" w:customStyle="1">
    <w:name w:val="Lined - Accent 6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1" w:customStyle="1">
    <w:name w:val="Bordered &amp; Lined - Accent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2" w:customStyle="1">
    <w:name w:val="Bordered &amp; Lined - Accent 1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3" w:customStyle="1">
    <w:name w:val="Bordered &amp; Lined - Accent 2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4" w:customStyle="1">
    <w:name w:val="Bordered &amp; Lined - Accent 3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5" w:customStyle="1">
    <w:name w:val="Bordered &amp; Lined - Accent 4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6" w:customStyle="1">
    <w:name w:val="Bordered &amp; Lined - Accent 5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7" w:customStyle="1">
    <w:name w:val="Bordered &amp; Lined - Accent 6"/>
    <w:basedOn w:val="70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8" w:customStyle="1">
    <w:name w:val="Bordered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9" w:customStyle="1">
    <w:name w:val="Bordered - Accent 1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50" w:customStyle="1">
    <w:name w:val="Bordered - Accent 2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51" w:customStyle="1">
    <w:name w:val="Bordered - Accent 3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2" w:customStyle="1">
    <w:name w:val="Bordered - Accent 4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3" w:customStyle="1">
    <w:name w:val="Bordered - Accent 5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54" w:customStyle="1">
    <w:name w:val="Bordered - Accent 6"/>
    <w:basedOn w:val="7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55">
    <w:name w:val="Hyperlink"/>
    <w:uiPriority w:val="99"/>
    <w:unhideWhenUsed/>
    <w:rPr>
      <w:color w:val="0563c1" w:themeColor="hyperlink"/>
      <w:u w:val="single"/>
    </w:rPr>
  </w:style>
  <w:style w:type="paragraph" w:styleId="856">
    <w:name w:val="footnote text"/>
    <w:basedOn w:val="693"/>
    <w:link w:val="857"/>
    <w:uiPriority w:val="99"/>
    <w:semiHidden/>
    <w:unhideWhenUsed/>
    <w:pPr>
      <w:spacing w:after="40" w:line="240" w:lineRule="auto"/>
    </w:pPr>
    <w:rPr>
      <w:sz w:val="18"/>
    </w:rPr>
  </w:style>
  <w:style w:type="character" w:styleId="857" w:customStyle="1">
    <w:name w:val="Текст сноски Знак"/>
    <w:link w:val="856"/>
    <w:uiPriority w:val="99"/>
    <w:rPr>
      <w:sz w:val="18"/>
    </w:rPr>
  </w:style>
  <w:style w:type="character" w:styleId="858">
    <w:name w:val="footnote reference"/>
    <w:basedOn w:val="703"/>
    <w:uiPriority w:val="99"/>
    <w:unhideWhenUsed/>
    <w:rPr>
      <w:vertAlign w:val="superscript"/>
    </w:rPr>
  </w:style>
  <w:style w:type="paragraph" w:styleId="859">
    <w:name w:val="endnote text"/>
    <w:basedOn w:val="693"/>
    <w:link w:val="860"/>
    <w:uiPriority w:val="99"/>
    <w:semiHidden/>
    <w:unhideWhenUsed/>
    <w:pPr>
      <w:spacing w:after="0" w:line="240" w:lineRule="auto"/>
    </w:pPr>
    <w:rPr>
      <w:sz w:val="20"/>
    </w:rPr>
  </w:style>
  <w:style w:type="character" w:styleId="860" w:customStyle="1">
    <w:name w:val="Текст концевой сноски Знак"/>
    <w:link w:val="859"/>
    <w:uiPriority w:val="99"/>
    <w:rPr>
      <w:sz w:val="20"/>
    </w:rPr>
  </w:style>
  <w:style w:type="character" w:styleId="861">
    <w:name w:val="endnote reference"/>
    <w:basedOn w:val="703"/>
    <w:uiPriority w:val="99"/>
    <w:semiHidden/>
    <w:unhideWhenUsed/>
    <w:rPr>
      <w:vertAlign w:val="superscript"/>
    </w:rPr>
  </w:style>
  <w:style w:type="paragraph" w:styleId="862">
    <w:name w:val="toc 1"/>
    <w:basedOn w:val="693"/>
    <w:next w:val="693"/>
    <w:uiPriority w:val="39"/>
    <w:unhideWhenUsed/>
    <w:pPr>
      <w:spacing w:after="57"/>
    </w:pPr>
  </w:style>
  <w:style w:type="paragraph" w:styleId="863">
    <w:name w:val="toc 2"/>
    <w:basedOn w:val="693"/>
    <w:next w:val="693"/>
    <w:uiPriority w:val="39"/>
    <w:unhideWhenUsed/>
    <w:pPr>
      <w:ind w:left="283"/>
      <w:spacing w:after="57"/>
    </w:pPr>
  </w:style>
  <w:style w:type="paragraph" w:styleId="864">
    <w:name w:val="toc 3"/>
    <w:basedOn w:val="693"/>
    <w:next w:val="693"/>
    <w:uiPriority w:val="39"/>
    <w:unhideWhenUsed/>
    <w:pPr>
      <w:ind w:left="567"/>
      <w:spacing w:after="57"/>
    </w:pPr>
  </w:style>
  <w:style w:type="paragraph" w:styleId="865">
    <w:name w:val="toc 4"/>
    <w:basedOn w:val="693"/>
    <w:next w:val="693"/>
    <w:uiPriority w:val="39"/>
    <w:unhideWhenUsed/>
    <w:pPr>
      <w:ind w:left="850"/>
      <w:spacing w:after="57"/>
    </w:pPr>
  </w:style>
  <w:style w:type="paragraph" w:styleId="866">
    <w:name w:val="toc 5"/>
    <w:basedOn w:val="693"/>
    <w:next w:val="693"/>
    <w:uiPriority w:val="39"/>
    <w:unhideWhenUsed/>
    <w:pPr>
      <w:ind w:left="1134"/>
      <w:spacing w:after="57"/>
    </w:pPr>
  </w:style>
  <w:style w:type="paragraph" w:styleId="867">
    <w:name w:val="toc 6"/>
    <w:basedOn w:val="693"/>
    <w:next w:val="693"/>
    <w:uiPriority w:val="39"/>
    <w:unhideWhenUsed/>
    <w:pPr>
      <w:ind w:left="1417"/>
      <w:spacing w:after="57"/>
    </w:pPr>
  </w:style>
  <w:style w:type="paragraph" w:styleId="868">
    <w:name w:val="toc 7"/>
    <w:basedOn w:val="693"/>
    <w:next w:val="693"/>
    <w:uiPriority w:val="39"/>
    <w:unhideWhenUsed/>
    <w:pPr>
      <w:ind w:left="1701"/>
      <w:spacing w:after="57"/>
    </w:pPr>
  </w:style>
  <w:style w:type="paragraph" w:styleId="869">
    <w:name w:val="toc 8"/>
    <w:basedOn w:val="693"/>
    <w:next w:val="693"/>
    <w:uiPriority w:val="39"/>
    <w:unhideWhenUsed/>
    <w:pPr>
      <w:ind w:left="1984"/>
      <w:spacing w:after="57"/>
    </w:pPr>
  </w:style>
  <w:style w:type="paragraph" w:styleId="870">
    <w:name w:val="toc 9"/>
    <w:basedOn w:val="693"/>
    <w:next w:val="693"/>
    <w:uiPriority w:val="39"/>
    <w:unhideWhenUsed/>
    <w:pPr>
      <w:ind w:left="2268"/>
      <w:spacing w:after="57"/>
    </w:pPr>
  </w:style>
  <w:style w:type="paragraph" w:styleId="871">
    <w:name w:val="TOC Heading"/>
    <w:uiPriority w:val="39"/>
    <w:unhideWhenUsed/>
  </w:style>
  <w:style w:type="paragraph" w:styleId="872">
    <w:name w:val="table of figures"/>
    <w:basedOn w:val="693"/>
    <w:next w:val="693"/>
    <w:uiPriority w:val="99"/>
    <w:unhideWhenUsed/>
    <w:pPr>
      <w:spacing w:after="0"/>
    </w:pPr>
  </w:style>
  <w:style w:type="paragraph" w:styleId="873">
    <w:name w:val="List Paragraph"/>
    <w:basedOn w:val="693"/>
    <w:link w:val="874"/>
    <w:uiPriority w:val="34"/>
    <w:qFormat/>
    <w:pPr>
      <w:ind w:left="720"/>
      <w:spacing w:after="0" w:line="240" w:lineRule="auto"/>
    </w:pPr>
    <w:rPr>
      <w:rFonts w:ascii="Arial" w:hAnsi="Arial" w:eastAsia="Times New Roman" w:cs="Arial"/>
      <w:sz w:val="24"/>
      <w:szCs w:val="24"/>
      <w:lang w:eastAsia="zh-CN"/>
    </w:rPr>
  </w:style>
  <w:style w:type="character" w:styleId="874" w:customStyle="1">
    <w:name w:val="Абзац списка Знак"/>
    <w:link w:val="873"/>
    <w:uiPriority w:val="34"/>
    <w:qFormat/>
    <w:rPr>
      <w:rFonts w:ascii="Arial" w:hAnsi="Arial" w:eastAsia="Times New Roman" w:cs="Arial"/>
      <w:sz w:val="24"/>
      <w:szCs w:val="24"/>
      <w:lang w:eastAsia="zh-CN"/>
    </w:rPr>
  </w:style>
  <w:style w:type="character" w:styleId="875" w:customStyle="1">
    <w:name w:val="highlightcolor"/>
  </w:style>
  <w:style w:type="character" w:styleId="876" w:customStyle="1">
    <w:name w:val="Заголовок 3 Знак"/>
    <w:basedOn w:val="703"/>
    <w:link w:val="696"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877" w:customStyle="1">
    <w:name w:val="Normal unindented"/>
    <w:qFormat/>
    <w:pPr>
      <w:jc w:val="both"/>
      <w:spacing w:before="120" w:after="120" w:line="276" w:lineRule="auto"/>
    </w:pPr>
    <w:rPr>
      <w:rFonts w:ascii="Times New Roman" w:hAnsi="Times New Roman" w:eastAsia="Times New Roman" w:cs="Times New Roman"/>
      <w:lang w:eastAsia="ru-RU"/>
    </w:rPr>
  </w:style>
  <w:style w:type="paragraph" w:styleId="878">
    <w:name w:val="Balloon Text"/>
    <w:basedOn w:val="693"/>
    <w:link w:val="87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79" w:customStyle="1">
    <w:name w:val="Текст выноски Знак"/>
    <w:basedOn w:val="703"/>
    <w:link w:val="878"/>
    <w:uiPriority w:val="99"/>
    <w:semiHidden/>
    <w:rPr>
      <w:rFonts w:ascii="Segoe UI" w:hAnsi="Segoe UI" w:eastAsia="Calibri" w:cs="Segoe UI"/>
      <w:sz w:val="18"/>
      <w:szCs w:val="18"/>
    </w:rPr>
  </w:style>
  <w:style w:type="character" w:styleId="880" w:customStyle="1">
    <w:name w:val="Заголовок 1 Знак"/>
    <w:basedOn w:val="703"/>
    <w:link w:val="694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table" w:styleId="881">
    <w:name w:val="Table Grid"/>
    <w:basedOn w:val="704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Толкунова Елена Николаевна</dc:creator>
  <cp:keywords/>
  <dc:description/>
  <cp:lastModifiedBy>svetlana.filinskih</cp:lastModifiedBy>
  <cp:revision>16</cp:revision>
  <dcterms:created xsi:type="dcterms:W3CDTF">2024-03-04T13:11:00Z</dcterms:created>
  <dcterms:modified xsi:type="dcterms:W3CDTF">2026-08-10T11:13:04Z</dcterms:modified>
</cp:coreProperties>
</file>