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C9D6E6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F108D7">
        <w:t xml:space="preserve">медицинские </w:t>
      </w:r>
      <w:r w:rsidR="00503E41">
        <w:t>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6FDB80E8"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lastRenderedPageBreak/>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F04812" w:rsidRPr="00891CA9">
        <w:rPr>
          <w:rFonts w:ascii="Times New Roman" w:hAnsi="Times New Roman" w:cs="Times New Roman"/>
        </w:rPr>
        <w:t>15 (пятнадцати</w:t>
      </w:r>
      <w:r w:rsidR="00F108D7" w:rsidRPr="00891CA9">
        <w:rPr>
          <w:rFonts w:ascii="Times New Roman" w:hAnsi="Times New Roman" w:cs="Times New Roman"/>
        </w:rPr>
        <w:t xml:space="preserve">) </w:t>
      </w:r>
      <w:r w:rsidR="00305F93">
        <w:rPr>
          <w:rFonts w:ascii="Times New Roman" w:hAnsi="Times New Roman" w:cs="Times New Roman"/>
        </w:rPr>
        <w:t>календарных</w:t>
      </w:r>
      <w:r w:rsidR="00316361" w:rsidRPr="00891CA9">
        <w:rPr>
          <w:rFonts w:ascii="Times New Roman" w:hAnsi="Times New Roman" w:cs="Times New Roman"/>
        </w:rPr>
        <w:t xml:space="preserve"> дней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05371C7F"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351DA0">
        <w:rPr>
          <w:rFonts w:ascii="Times New Roman" w:hAnsi="Times New Roman" w:cs="Times New Roman"/>
        </w:rPr>
        <w:t>Срок годности на поставляемый Товар – в соответствии с Техническим заданием.</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«НИИ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738"/>
        <w:gridCol w:w="1417"/>
        <w:gridCol w:w="1843"/>
        <w:gridCol w:w="1514"/>
        <w:gridCol w:w="908"/>
        <w:gridCol w:w="946"/>
        <w:gridCol w:w="1310"/>
        <w:gridCol w:w="1276"/>
        <w:gridCol w:w="816"/>
      </w:tblGrid>
      <w:tr w:rsidR="008072AB" w:rsidRPr="00FD4C9C" w14:paraId="0600E0CC" w14:textId="77777777" w:rsidTr="008072AB">
        <w:trPr>
          <w:trHeight w:val="20"/>
          <w:jc w:val="center"/>
        </w:trPr>
        <w:tc>
          <w:tcPr>
            <w:tcW w:w="51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738"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17"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843"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514"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08"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10"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9D64B4" w:rsidRPr="001336B6" w14:paraId="5B952ABF" w14:textId="77777777" w:rsidTr="008072AB">
        <w:trPr>
          <w:trHeight w:val="20"/>
          <w:jc w:val="center"/>
        </w:trPr>
        <w:tc>
          <w:tcPr>
            <w:tcW w:w="510" w:type="dxa"/>
            <w:vAlign w:val="center"/>
          </w:tcPr>
          <w:p w14:paraId="6ABCB684" w14:textId="338BA45F" w:rsidR="009D64B4" w:rsidRPr="00956EE3" w:rsidRDefault="009D64B4" w:rsidP="009D64B4">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738" w:type="dxa"/>
            <w:shd w:val="clear" w:color="auto" w:fill="FFFFFF" w:themeFill="background1"/>
            <w:vAlign w:val="center"/>
          </w:tcPr>
          <w:p w14:paraId="64B2DFEF" w14:textId="407336AB" w:rsidR="009D64B4" w:rsidRPr="00956EE3" w:rsidRDefault="009B22D0" w:rsidP="009D64B4">
            <w:pPr>
              <w:jc w:val="center"/>
              <w:rPr>
                <w:rFonts w:ascii="Times New Roman" w:hAnsi="Times New Roman" w:cs="Times New Roman"/>
                <w:sz w:val="16"/>
                <w:szCs w:val="16"/>
              </w:rPr>
            </w:pPr>
            <w:r w:rsidRPr="009B22D0">
              <w:rPr>
                <w:rFonts w:ascii="Times New Roman" w:eastAsia="Times New Roman" w:hAnsi="Times New Roman" w:cs="Times New Roman"/>
                <w:color w:val="000000"/>
                <w:sz w:val="16"/>
                <w:szCs w:val="16"/>
              </w:rPr>
              <w:t xml:space="preserve">Индикаторы для определения эффективности очистки медицинских инструментов, с принадлежностями </w:t>
            </w:r>
            <w:proofErr w:type="spellStart"/>
            <w:r w:rsidRPr="009B22D0">
              <w:rPr>
                <w:rFonts w:ascii="Times New Roman" w:eastAsia="Times New Roman" w:hAnsi="Times New Roman" w:cs="Times New Roman"/>
                <w:color w:val="000000"/>
                <w:sz w:val="16"/>
                <w:szCs w:val="16"/>
              </w:rPr>
              <w:t>Tosi</w:t>
            </w:r>
            <w:proofErr w:type="spellEnd"/>
          </w:p>
        </w:tc>
        <w:tc>
          <w:tcPr>
            <w:tcW w:w="1417" w:type="dxa"/>
            <w:vAlign w:val="center"/>
          </w:tcPr>
          <w:p w14:paraId="3D45C8F0" w14:textId="4C1764A0" w:rsidR="009D64B4" w:rsidRPr="00956EE3" w:rsidRDefault="009D64B4" w:rsidP="009D64B4">
            <w:pPr>
              <w:jc w:val="center"/>
              <w:rPr>
                <w:rFonts w:ascii="Times New Roman" w:hAnsi="Times New Roman" w:cs="Times New Roman"/>
                <w:sz w:val="16"/>
                <w:szCs w:val="16"/>
              </w:rPr>
            </w:pPr>
            <w:r w:rsidRPr="009D64B4">
              <w:rPr>
                <w:rFonts w:ascii="Times New Roman" w:hAnsi="Times New Roman" w:cs="Times New Roman"/>
                <w:sz w:val="16"/>
                <w:szCs w:val="16"/>
              </w:rPr>
              <w:t>32.50.50.190</w:t>
            </w:r>
          </w:p>
        </w:tc>
        <w:tc>
          <w:tcPr>
            <w:tcW w:w="1843" w:type="dxa"/>
          </w:tcPr>
          <w:p w14:paraId="393A755B" w14:textId="41DB1DA5" w:rsidR="009D64B4" w:rsidRPr="00956EE3" w:rsidRDefault="009D64B4" w:rsidP="009D64B4">
            <w:pPr>
              <w:jc w:val="center"/>
              <w:rPr>
                <w:rFonts w:ascii="Times New Roman" w:hAnsi="Times New Roman" w:cs="Times New Roman"/>
                <w:sz w:val="16"/>
                <w:szCs w:val="16"/>
              </w:rPr>
            </w:pPr>
          </w:p>
        </w:tc>
        <w:tc>
          <w:tcPr>
            <w:tcW w:w="1514" w:type="dxa"/>
            <w:vAlign w:val="center"/>
          </w:tcPr>
          <w:p w14:paraId="12B4F98E" w14:textId="77777777" w:rsidR="009D64B4" w:rsidRPr="009D64B4" w:rsidRDefault="009D64B4" w:rsidP="009D64B4">
            <w:pPr>
              <w:jc w:val="center"/>
              <w:rPr>
                <w:rFonts w:ascii="Times New Roman" w:hAnsi="Times New Roman" w:cs="Times New Roman"/>
                <w:sz w:val="16"/>
                <w:szCs w:val="16"/>
              </w:rPr>
            </w:pPr>
          </w:p>
        </w:tc>
        <w:tc>
          <w:tcPr>
            <w:tcW w:w="908" w:type="dxa"/>
            <w:vAlign w:val="center"/>
          </w:tcPr>
          <w:p w14:paraId="43D679BA" w14:textId="379051C2" w:rsidR="009D64B4" w:rsidRPr="009D64B4" w:rsidRDefault="009B22D0" w:rsidP="009D64B4">
            <w:pPr>
              <w:jc w:val="center"/>
              <w:rPr>
                <w:rFonts w:ascii="Times New Roman" w:hAnsi="Times New Roman" w:cs="Times New Roman"/>
                <w:sz w:val="16"/>
                <w:szCs w:val="16"/>
              </w:rPr>
            </w:pPr>
            <w:r>
              <w:rPr>
                <w:rFonts w:ascii="Times New Roman" w:hAnsi="Times New Roman" w:cs="Times New Roman"/>
                <w:sz w:val="16"/>
                <w:szCs w:val="16"/>
              </w:rPr>
              <w:t>Упаковка</w:t>
            </w:r>
          </w:p>
        </w:tc>
        <w:tc>
          <w:tcPr>
            <w:tcW w:w="946" w:type="dxa"/>
            <w:vAlign w:val="center"/>
          </w:tcPr>
          <w:p w14:paraId="1608B6CE" w14:textId="09CF467D" w:rsidR="009D64B4" w:rsidRPr="009D64B4" w:rsidRDefault="009B22D0" w:rsidP="009D64B4">
            <w:pPr>
              <w:jc w:val="center"/>
              <w:rPr>
                <w:rFonts w:ascii="Times New Roman" w:hAnsi="Times New Roman" w:cs="Times New Roman"/>
                <w:sz w:val="16"/>
                <w:szCs w:val="16"/>
              </w:rPr>
            </w:pPr>
            <w:r>
              <w:rPr>
                <w:rFonts w:ascii="Times New Roman" w:hAnsi="Times New Roman" w:cs="Times New Roman"/>
                <w:sz w:val="16"/>
                <w:szCs w:val="16"/>
              </w:rPr>
              <w:t>15</w:t>
            </w:r>
          </w:p>
        </w:tc>
        <w:tc>
          <w:tcPr>
            <w:tcW w:w="1310" w:type="dxa"/>
            <w:vAlign w:val="center"/>
          </w:tcPr>
          <w:p w14:paraId="6759B554" w14:textId="77777777" w:rsidR="009D64B4" w:rsidRPr="00956EE3" w:rsidRDefault="009D64B4" w:rsidP="009D64B4">
            <w:pPr>
              <w:jc w:val="center"/>
              <w:rPr>
                <w:rFonts w:ascii="Times New Roman" w:eastAsia="Times New Roman" w:hAnsi="Times New Roman" w:cs="Times New Roman"/>
                <w:sz w:val="16"/>
                <w:szCs w:val="16"/>
              </w:rPr>
            </w:pPr>
          </w:p>
        </w:tc>
        <w:tc>
          <w:tcPr>
            <w:tcW w:w="1276" w:type="dxa"/>
            <w:vAlign w:val="center"/>
          </w:tcPr>
          <w:p w14:paraId="778E5611" w14:textId="77777777" w:rsidR="009D64B4" w:rsidRPr="00956EE3" w:rsidRDefault="009D64B4" w:rsidP="009D64B4">
            <w:pPr>
              <w:jc w:val="center"/>
              <w:rPr>
                <w:rFonts w:ascii="Times New Roman" w:eastAsia="Times New Roman" w:hAnsi="Times New Roman" w:cs="Times New Roman"/>
                <w:sz w:val="16"/>
                <w:szCs w:val="16"/>
              </w:rPr>
            </w:pPr>
          </w:p>
        </w:tc>
        <w:tc>
          <w:tcPr>
            <w:tcW w:w="816" w:type="dxa"/>
            <w:vAlign w:val="center"/>
          </w:tcPr>
          <w:p w14:paraId="2A88C25D" w14:textId="77777777" w:rsidR="009D64B4" w:rsidRPr="00956EE3" w:rsidRDefault="009D64B4" w:rsidP="009D64B4">
            <w:pPr>
              <w:ind w:right="32"/>
              <w:jc w:val="center"/>
              <w:rPr>
                <w:rFonts w:ascii="Times New Roman" w:eastAsia="Times New Roman" w:hAnsi="Times New Roman" w:cs="Times New Roman"/>
                <w:sz w:val="16"/>
                <w:szCs w:val="16"/>
              </w:rPr>
            </w:pPr>
          </w:p>
        </w:tc>
      </w:tr>
      <w:tr w:rsidR="009D64B4" w:rsidRPr="001336B6" w14:paraId="11978F44" w14:textId="77777777" w:rsidTr="008072AB">
        <w:trPr>
          <w:trHeight w:val="20"/>
          <w:jc w:val="center"/>
        </w:trPr>
        <w:tc>
          <w:tcPr>
            <w:tcW w:w="510" w:type="dxa"/>
            <w:vAlign w:val="center"/>
          </w:tcPr>
          <w:p w14:paraId="336C40FD" w14:textId="7E5FD7C6" w:rsidR="009D64B4" w:rsidRPr="00956EE3" w:rsidRDefault="009D64B4" w:rsidP="009D64B4">
            <w:pPr>
              <w:jc w:val="center"/>
              <w:rPr>
                <w:rFonts w:ascii="Times New Roman" w:hAnsi="Times New Roman" w:cs="Times New Roman"/>
                <w:sz w:val="16"/>
                <w:szCs w:val="16"/>
              </w:rPr>
            </w:pPr>
            <w:r>
              <w:rPr>
                <w:rFonts w:ascii="Times New Roman" w:hAnsi="Times New Roman" w:cs="Times New Roman"/>
                <w:sz w:val="16"/>
                <w:szCs w:val="16"/>
              </w:rPr>
              <w:t>2</w:t>
            </w:r>
          </w:p>
        </w:tc>
        <w:tc>
          <w:tcPr>
            <w:tcW w:w="3738" w:type="dxa"/>
            <w:shd w:val="clear" w:color="auto" w:fill="FFFFFF" w:themeFill="background1"/>
            <w:vAlign w:val="center"/>
          </w:tcPr>
          <w:p w14:paraId="5B05F80F" w14:textId="0BB821BB" w:rsidR="009D64B4" w:rsidRPr="00800D5B" w:rsidRDefault="009B22D0" w:rsidP="009D64B4">
            <w:pPr>
              <w:jc w:val="center"/>
              <w:rPr>
                <w:rFonts w:ascii="Times New Roman" w:hAnsi="Times New Roman" w:cs="Times New Roman"/>
                <w:sz w:val="16"/>
                <w:szCs w:val="16"/>
              </w:rPr>
            </w:pPr>
            <w:r w:rsidRPr="009B22D0">
              <w:rPr>
                <w:rFonts w:ascii="Times New Roman" w:eastAsia="Times New Roman" w:hAnsi="Times New Roman" w:cs="Times New Roman"/>
                <w:color w:val="000000"/>
                <w:sz w:val="16"/>
                <w:szCs w:val="16"/>
              </w:rPr>
              <w:t xml:space="preserve">Тест-пакет </w:t>
            </w:r>
            <w:proofErr w:type="spellStart"/>
            <w:r w:rsidRPr="009B22D0">
              <w:rPr>
                <w:rFonts w:ascii="Times New Roman" w:eastAsia="Times New Roman" w:hAnsi="Times New Roman" w:cs="Times New Roman"/>
                <w:color w:val="000000"/>
                <w:sz w:val="16"/>
                <w:szCs w:val="16"/>
              </w:rPr>
              <w:t>Бови</w:t>
            </w:r>
            <w:proofErr w:type="spellEnd"/>
            <w:r w:rsidRPr="009B22D0">
              <w:rPr>
                <w:rFonts w:ascii="Times New Roman" w:eastAsia="Times New Roman" w:hAnsi="Times New Roman" w:cs="Times New Roman"/>
                <w:color w:val="000000"/>
                <w:sz w:val="16"/>
                <w:szCs w:val="16"/>
              </w:rPr>
              <w:t>-Дик-</w:t>
            </w:r>
            <w:proofErr w:type="spellStart"/>
            <w:r w:rsidRPr="009B22D0">
              <w:rPr>
                <w:rFonts w:ascii="Times New Roman" w:eastAsia="Times New Roman" w:hAnsi="Times New Roman" w:cs="Times New Roman"/>
                <w:color w:val="000000"/>
                <w:sz w:val="16"/>
                <w:szCs w:val="16"/>
              </w:rPr>
              <w:t>Винар</w:t>
            </w:r>
            <w:proofErr w:type="spellEnd"/>
            <w:r w:rsidRPr="009B22D0">
              <w:rPr>
                <w:rFonts w:ascii="Times New Roman" w:eastAsia="Times New Roman" w:hAnsi="Times New Roman" w:cs="Times New Roman"/>
                <w:color w:val="000000"/>
                <w:sz w:val="16"/>
                <w:szCs w:val="16"/>
              </w:rPr>
              <w:t xml:space="preserve"> одноразовый для испытания на паропроницаемость и удаление воздуха из камеры паровых стерилизаторов</w:t>
            </w:r>
          </w:p>
        </w:tc>
        <w:tc>
          <w:tcPr>
            <w:tcW w:w="1417" w:type="dxa"/>
            <w:vAlign w:val="center"/>
          </w:tcPr>
          <w:p w14:paraId="0F0A429A" w14:textId="57849A2B" w:rsidR="009D64B4" w:rsidRPr="00800D5B" w:rsidRDefault="009D64B4" w:rsidP="009D64B4">
            <w:pPr>
              <w:jc w:val="center"/>
              <w:rPr>
                <w:rFonts w:ascii="Times New Roman" w:hAnsi="Times New Roman" w:cs="Times New Roman"/>
                <w:sz w:val="16"/>
                <w:szCs w:val="16"/>
              </w:rPr>
            </w:pPr>
            <w:r w:rsidRPr="009D64B4">
              <w:rPr>
                <w:rFonts w:ascii="Times New Roman" w:hAnsi="Times New Roman" w:cs="Times New Roman"/>
                <w:sz w:val="16"/>
                <w:szCs w:val="16"/>
              </w:rPr>
              <w:t>32.50.50.190</w:t>
            </w:r>
          </w:p>
        </w:tc>
        <w:tc>
          <w:tcPr>
            <w:tcW w:w="1843" w:type="dxa"/>
          </w:tcPr>
          <w:p w14:paraId="17A9B7AF" w14:textId="77777777" w:rsidR="009D64B4" w:rsidRPr="00956EE3" w:rsidRDefault="009D64B4" w:rsidP="009D64B4">
            <w:pPr>
              <w:jc w:val="center"/>
              <w:rPr>
                <w:rFonts w:ascii="Times New Roman" w:hAnsi="Times New Roman" w:cs="Times New Roman"/>
                <w:sz w:val="16"/>
                <w:szCs w:val="16"/>
              </w:rPr>
            </w:pPr>
          </w:p>
        </w:tc>
        <w:tc>
          <w:tcPr>
            <w:tcW w:w="1514" w:type="dxa"/>
            <w:vAlign w:val="center"/>
          </w:tcPr>
          <w:p w14:paraId="64F86EB7" w14:textId="77777777" w:rsidR="009D64B4" w:rsidRPr="009D64B4" w:rsidRDefault="009D64B4" w:rsidP="009D64B4">
            <w:pPr>
              <w:jc w:val="center"/>
              <w:rPr>
                <w:rFonts w:ascii="Times New Roman" w:hAnsi="Times New Roman" w:cs="Times New Roman"/>
                <w:sz w:val="16"/>
                <w:szCs w:val="16"/>
              </w:rPr>
            </w:pPr>
          </w:p>
        </w:tc>
        <w:tc>
          <w:tcPr>
            <w:tcW w:w="908" w:type="dxa"/>
            <w:vAlign w:val="center"/>
          </w:tcPr>
          <w:p w14:paraId="29BC60E3" w14:textId="5474CB1F" w:rsidR="009D64B4" w:rsidRPr="009D64B4" w:rsidRDefault="009B22D0" w:rsidP="009D64B4">
            <w:pPr>
              <w:jc w:val="center"/>
              <w:rPr>
                <w:rFonts w:ascii="Times New Roman" w:hAnsi="Times New Roman" w:cs="Times New Roman"/>
                <w:sz w:val="16"/>
                <w:szCs w:val="16"/>
              </w:rPr>
            </w:pPr>
            <w:r>
              <w:rPr>
                <w:rFonts w:ascii="Times New Roman" w:hAnsi="Times New Roman" w:cs="Times New Roman"/>
                <w:sz w:val="16"/>
                <w:szCs w:val="16"/>
              </w:rPr>
              <w:t>Упаковка</w:t>
            </w:r>
          </w:p>
        </w:tc>
        <w:tc>
          <w:tcPr>
            <w:tcW w:w="946" w:type="dxa"/>
            <w:vAlign w:val="center"/>
          </w:tcPr>
          <w:p w14:paraId="3ADDA85A" w14:textId="15709598" w:rsidR="009D64B4" w:rsidRPr="009D64B4" w:rsidRDefault="009B22D0" w:rsidP="009D64B4">
            <w:pPr>
              <w:jc w:val="center"/>
              <w:rPr>
                <w:rFonts w:ascii="Times New Roman" w:hAnsi="Times New Roman" w:cs="Times New Roman"/>
                <w:sz w:val="16"/>
                <w:szCs w:val="16"/>
              </w:rPr>
            </w:pPr>
            <w:r>
              <w:rPr>
                <w:rFonts w:ascii="Times New Roman" w:hAnsi="Times New Roman" w:cs="Times New Roman"/>
                <w:sz w:val="16"/>
                <w:szCs w:val="16"/>
              </w:rPr>
              <w:t>20</w:t>
            </w:r>
          </w:p>
        </w:tc>
        <w:tc>
          <w:tcPr>
            <w:tcW w:w="1310" w:type="dxa"/>
            <w:vAlign w:val="center"/>
          </w:tcPr>
          <w:p w14:paraId="64904DE6" w14:textId="77777777" w:rsidR="009D64B4" w:rsidRPr="00956EE3" w:rsidRDefault="009D64B4" w:rsidP="009D64B4">
            <w:pPr>
              <w:jc w:val="center"/>
              <w:rPr>
                <w:rFonts w:ascii="Times New Roman" w:eastAsia="Times New Roman" w:hAnsi="Times New Roman" w:cs="Times New Roman"/>
                <w:sz w:val="16"/>
                <w:szCs w:val="16"/>
              </w:rPr>
            </w:pPr>
          </w:p>
        </w:tc>
        <w:tc>
          <w:tcPr>
            <w:tcW w:w="1276" w:type="dxa"/>
            <w:vAlign w:val="center"/>
          </w:tcPr>
          <w:p w14:paraId="0F095C28" w14:textId="77777777" w:rsidR="009D64B4" w:rsidRPr="00956EE3" w:rsidRDefault="009D64B4" w:rsidP="009D64B4">
            <w:pPr>
              <w:jc w:val="center"/>
              <w:rPr>
                <w:rFonts w:ascii="Times New Roman" w:eastAsia="Times New Roman" w:hAnsi="Times New Roman" w:cs="Times New Roman"/>
                <w:sz w:val="16"/>
                <w:szCs w:val="16"/>
              </w:rPr>
            </w:pPr>
          </w:p>
        </w:tc>
        <w:tc>
          <w:tcPr>
            <w:tcW w:w="816" w:type="dxa"/>
            <w:vAlign w:val="center"/>
          </w:tcPr>
          <w:p w14:paraId="752117B6" w14:textId="77777777" w:rsidR="009D64B4" w:rsidRPr="00956EE3" w:rsidRDefault="009D64B4" w:rsidP="009D64B4">
            <w:pPr>
              <w:ind w:right="32"/>
              <w:jc w:val="center"/>
              <w:rPr>
                <w:rFonts w:ascii="Times New Roman" w:eastAsia="Times New Roman" w:hAnsi="Times New Roman" w:cs="Times New Roman"/>
                <w:sz w:val="16"/>
                <w:szCs w:val="16"/>
              </w:rPr>
            </w:pPr>
          </w:p>
        </w:tc>
      </w:tr>
      <w:tr w:rsidR="00F108D7" w:rsidRPr="00FD4C9C" w14:paraId="318A21DA" w14:textId="77777777" w:rsidTr="00F108D7">
        <w:trPr>
          <w:trHeight w:val="20"/>
          <w:jc w:val="center"/>
        </w:trPr>
        <w:tc>
          <w:tcPr>
            <w:tcW w:w="121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16"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Look w:val="04A0" w:firstRow="1" w:lastRow="0" w:firstColumn="1" w:lastColumn="0" w:noHBand="0" w:noVBand="1"/>
      </w:tblPr>
      <w:tblGrid>
        <w:gridCol w:w="699"/>
        <w:gridCol w:w="1989"/>
        <w:gridCol w:w="1135"/>
        <w:gridCol w:w="7201"/>
        <w:gridCol w:w="1625"/>
        <w:gridCol w:w="868"/>
        <w:gridCol w:w="761"/>
      </w:tblGrid>
      <w:tr w:rsidR="009B22D0" w:rsidRPr="009B22D0" w14:paraId="6B4FB193" w14:textId="77777777" w:rsidTr="009B22D0">
        <w:trPr>
          <w:trHeight w:val="2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BE603"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 п/п</w:t>
            </w:r>
          </w:p>
        </w:tc>
        <w:tc>
          <w:tcPr>
            <w:tcW w:w="1989" w:type="dxa"/>
            <w:tcBorders>
              <w:top w:val="single" w:sz="4" w:space="0" w:color="auto"/>
              <w:left w:val="nil"/>
              <w:bottom w:val="single" w:sz="4" w:space="0" w:color="auto"/>
              <w:right w:val="single" w:sz="4" w:space="0" w:color="auto"/>
            </w:tcBorders>
            <w:shd w:val="clear" w:color="auto" w:fill="auto"/>
            <w:noWrap/>
            <w:vAlign w:val="center"/>
            <w:hideMark/>
          </w:tcPr>
          <w:p w14:paraId="7433EFFB"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Наименование Товара</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14:paraId="078A7543"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Код ОКПД 2</w:t>
            </w:r>
          </w:p>
        </w:tc>
        <w:tc>
          <w:tcPr>
            <w:tcW w:w="7201" w:type="dxa"/>
            <w:tcBorders>
              <w:top w:val="single" w:sz="4" w:space="0" w:color="auto"/>
              <w:left w:val="nil"/>
              <w:bottom w:val="single" w:sz="4" w:space="0" w:color="auto"/>
              <w:right w:val="single" w:sz="4" w:space="0" w:color="auto"/>
            </w:tcBorders>
            <w:shd w:val="clear" w:color="auto" w:fill="auto"/>
            <w:noWrap/>
            <w:vAlign w:val="center"/>
            <w:hideMark/>
          </w:tcPr>
          <w:p w14:paraId="65C12F3B"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Наименование характеристики</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14:paraId="3F3DC47F"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Значение характеристики</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3FA822B7"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Ед. изм.</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14:paraId="30489382" w14:textId="77777777" w:rsidR="009B22D0" w:rsidRPr="009B22D0" w:rsidRDefault="009B22D0" w:rsidP="009B22D0">
            <w:pPr>
              <w:jc w:val="center"/>
              <w:rPr>
                <w:rFonts w:ascii="Times New Roman" w:eastAsia="Times New Roman" w:hAnsi="Times New Roman" w:cs="Times New Roman"/>
                <w:b/>
                <w:bCs/>
                <w:color w:val="000000"/>
                <w:sz w:val="16"/>
                <w:szCs w:val="16"/>
              </w:rPr>
            </w:pPr>
            <w:r w:rsidRPr="009B22D0">
              <w:rPr>
                <w:rFonts w:ascii="Times New Roman" w:eastAsia="Times New Roman" w:hAnsi="Times New Roman" w:cs="Times New Roman"/>
                <w:b/>
                <w:bCs/>
                <w:color w:val="000000"/>
                <w:sz w:val="16"/>
                <w:szCs w:val="16"/>
              </w:rPr>
              <w:t>Кол-во</w:t>
            </w:r>
          </w:p>
        </w:tc>
      </w:tr>
      <w:tr w:rsidR="009B22D0" w:rsidRPr="009B22D0" w14:paraId="0E897AB7" w14:textId="77777777" w:rsidTr="009B22D0">
        <w:trPr>
          <w:trHeight w:val="20"/>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C3BF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1</w:t>
            </w:r>
          </w:p>
        </w:tc>
        <w:tc>
          <w:tcPr>
            <w:tcW w:w="1989" w:type="dxa"/>
            <w:vMerge w:val="restart"/>
            <w:tcBorders>
              <w:top w:val="nil"/>
              <w:left w:val="single" w:sz="4" w:space="0" w:color="auto"/>
              <w:bottom w:val="single" w:sz="4" w:space="0" w:color="auto"/>
              <w:right w:val="single" w:sz="4" w:space="0" w:color="auto"/>
            </w:tcBorders>
            <w:shd w:val="clear" w:color="auto" w:fill="auto"/>
            <w:vAlign w:val="center"/>
            <w:hideMark/>
          </w:tcPr>
          <w:p w14:paraId="4C74DAAE"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для определения эффективности очистки медицинских инструментов, с принадлежностями </w:t>
            </w:r>
            <w:proofErr w:type="spellStart"/>
            <w:r w:rsidRPr="009B22D0">
              <w:rPr>
                <w:rFonts w:ascii="Times New Roman" w:eastAsia="Times New Roman" w:hAnsi="Times New Roman" w:cs="Times New Roman"/>
                <w:color w:val="000000"/>
                <w:sz w:val="16"/>
                <w:szCs w:val="16"/>
              </w:rPr>
              <w:t>Tosi</w:t>
            </w:r>
            <w:proofErr w:type="spellEnd"/>
          </w:p>
        </w:tc>
        <w:tc>
          <w:tcPr>
            <w:tcW w:w="1135" w:type="dxa"/>
            <w:vMerge w:val="restart"/>
            <w:tcBorders>
              <w:top w:val="nil"/>
              <w:left w:val="single" w:sz="4" w:space="0" w:color="auto"/>
              <w:bottom w:val="single" w:sz="4" w:space="0" w:color="000000"/>
              <w:right w:val="single" w:sz="4" w:space="0" w:color="auto"/>
            </w:tcBorders>
            <w:shd w:val="clear" w:color="auto" w:fill="auto"/>
            <w:vAlign w:val="center"/>
            <w:hideMark/>
          </w:tcPr>
          <w:p w14:paraId="39F6135D"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32.50.50.190</w:t>
            </w:r>
          </w:p>
        </w:tc>
        <w:tc>
          <w:tcPr>
            <w:tcW w:w="7201" w:type="dxa"/>
            <w:tcBorders>
              <w:top w:val="nil"/>
              <w:left w:val="nil"/>
              <w:bottom w:val="single" w:sz="4" w:space="0" w:color="auto"/>
              <w:right w:val="single" w:sz="4" w:space="0" w:color="auto"/>
            </w:tcBorders>
            <w:shd w:val="clear" w:color="auto" w:fill="auto"/>
            <w:vAlign w:val="center"/>
            <w:hideMark/>
          </w:tcPr>
          <w:p w14:paraId="30519B92"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предназначены для определения эффективности очистки медицинских инструментов в автоматических моечных машинах. </w:t>
            </w:r>
          </w:p>
        </w:tc>
        <w:tc>
          <w:tcPr>
            <w:tcW w:w="1625" w:type="dxa"/>
            <w:tcBorders>
              <w:top w:val="nil"/>
              <w:left w:val="nil"/>
              <w:bottom w:val="single" w:sz="4" w:space="0" w:color="auto"/>
              <w:right w:val="single" w:sz="4" w:space="0" w:color="auto"/>
            </w:tcBorders>
            <w:shd w:val="clear" w:color="auto" w:fill="auto"/>
            <w:noWrap/>
            <w:vAlign w:val="center"/>
            <w:hideMark/>
          </w:tcPr>
          <w:p w14:paraId="45CA002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741F38"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Упаковка</w:t>
            </w:r>
          </w:p>
        </w:tc>
        <w:tc>
          <w:tcPr>
            <w:tcW w:w="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DEA5C0"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15</w:t>
            </w:r>
          </w:p>
        </w:tc>
      </w:tr>
      <w:tr w:rsidR="009B22D0" w:rsidRPr="009B22D0" w14:paraId="6816FE6C"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4B35684A"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5AEEC65C"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153C8B58"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4EBA733A"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Конструкция индикатора имитирует замковые части медицинских инструментов, наиболее труднодоступные для очистки. </w:t>
            </w:r>
          </w:p>
        </w:tc>
        <w:tc>
          <w:tcPr>
            <w:tcW w:w="1625" w:type="dxa"/>
            <w:tcBorders>
              <w:top w:val="nil"/>
              <w:left w:val="nil"/>
              <w:bottom w:val="single" w:sz="4" w:space="0" w:color="auto"/>
              <w:right w:val="single" w:sz="4" w:space="0" w:color="auto"/>
            </w:tcBorders>
            <w:shd w:val="clear" w:color="auto" w:fill="auto"/>
            <w:noWrap/>
            <w:vAlign w:val="center"/>
            <w:hideMark/>
          </w:tcPr>
          <w:p w14:paraId="61E3641D"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6B84A9E3"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5B76653F"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42EAA553"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552B5B96"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7B6567F9"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7C52BD87"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0D3DF0D6"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представляют собой пластинки из нержавеющей стали размерами 15 х 50 мм, на которые нанесен специальный тестовый загрязнитель, имитирующий загрязнение инструментов кровью. </w:t>
            </w:r>
          </w:p>
        </w:tc>
        <w:tc>
          <w:tcPr>
            <w:tcW w:w="1625" w:type="dxa"/>
            <w:tcBorders>
              <w:top w:val="nil"/>
              <w:left w:val="nil"/>
              <w:bottom w:val="single" w:sz="4" w:space="0" w:color="auto"/>
              <w:right w:val="single" w:sz="4" w:space="0" w:color="auto"/>
            </w:tcBorders>
            <w:shd w:val="clear" w:color="auto" w:fill="auto"/>
            <w:noWrap/>
            <w:vAlign w:val="center"/>
            <w:hideMark/>
          </w:tcPr>
          <w:p w14:paraId="1C4D00E9"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5128A2D7"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1EFBF4CA"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656E7A03"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3ED546FB"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1710DF42"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7D5192CE"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3D79F301"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Металлические пластинки, покрыты пластиковой прозрачной крышечкой, которая зафиксирована под небольшим углом к металлической пластинке, таким образом, чтобы обеспечить доступ воды во время процесса мойки.</w:t>
            </w:r>
          </w:p>
        </w:tc>
        <w:tc>
          <w:tcPr>
            <w:tcW w:w="1625" w:type="dxa"/>
            <w:tcBorders>
              <w:top w:val="nil"/>
              <w:left w:val="nil"/>
              <w:bottom w:val="single" w:sz="4" w:space="0" w:color="auto"/>
              <w:right w:val="single" w:sz="4" w:space="0" w:color="auto"/>
            </w:tcBorders>
            <w:shd w:val="clear" w:color="auto" w:fill="auto"/>
            <w:noWrap/>
            <w:vAlign w:val="center"/>
            <w:hideMark/>
          </w:tcPr>
          <w:p w14:paraId="0A6C451C"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76A3EB2E"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098243C4"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703FBAC7"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5A4BADB0"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245328A8"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254B8834"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5DB4FE31"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 Прозрачная пластиковая крышечка позволяет легко визуально определить эффективность очистки сразу же после завершения процесса. </w:t>
            </w:r>
          </w:p>
        </w:tc>
        <w:tc>
          <w:tcPr>
            <w:tcW w:w="1625" w:type="dxa"/>
            <w:tcBorders>
              <w:top w:val="nil"/>
              <w:left w:val="nil"/>
              <w:bottom w:val="single" w:sz="4" w:space="0" w:color="auto"/>
              <w:right w:val="single" w:sz="4" w:space="0" w:color="auto"/>
            </w:tcBorders>
            <w:shd w:val="clear" w:color="auto" w:fill="auto"/>
            <w:noWrap/>
            <w:vAlign w:val="center"/>
            <w:hideMark/>
          </w:tcPr>
          <w:p w14:paraId="03888CB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288A5BE9"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5EF4CBEA"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12DA6C14"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57ED5E46"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4846988B"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756E2AA"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3B426940"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На пластиковой крышечке выгравировано название фирмы «</w:t>
            </w:r>
            <w:proofErr w:type="spellStart"/>
            <w:r w:rsidRPr="009B22D0">
              <w:rPr>
                <w:rFonts w:ascii="Times New Roman" w:eastAsia="Times New Roman" w:hAnsi="Times New Roman" w:cs="Times New Roman"/>
                <w:color w:val="000000"/>
                <w:sz w:val="16"/>
                <w:szCs w:val="16"/>
              </w:rPr>
              <w:t>Pereg</w:t>
            </w:r>
            <w:proofErr w:type="spellEnd"/>
            <w:r w:rsidRPr="009B22D0">
              <w:rPr>
                <w:rFonts w:ascii="Times New Roman" w:eastAsia="Times New Roman" w:hAnsi="Times New Roman" w:cs="Times New Roman"/>
                <w:color w:val="000000"/>
                <w:sz w:val="16"/>
                <w:szCs w:val="16"/>
              </w:rPr>
              <w:t xml:space="preserve">», название индикаторов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и отметка </w:t>
            </w:r>
            <w:proofErr w:type="spellStart"/>
            <w:r w:rsidRPr="009B22D0">
              <w:rPr>
                <w:rFonts w:ascii="Times New Roman" w:eastAsia="Times New Roman" w:hAnsi="Times New Roman" w:cs="Times New Roman"/>
                <w:color w:val="000000"/>
                <w:sz w:val="16"/>
                <w:szCs w:val="16"/>
              </w:rPr>
              <w:t>DBGM</w:t>
            </w:r>
            <w:proofErr w:type="spellEnd"/>
            <w:r w:rsidRPr="009B22D0">
              <w:rPr>
                <w:rFonts w:ascii="Times New Roman" w:eastAsia="Times New Roman" w:hAnsi="Times New Roman" w:cs="Times New Roman"/>
                <w:color w:val="000000"/>
                <w:sz w:val="16"/>
                <w:szCs w:val="16"/>
              </w:rPr>
              <w:t xml:space="preserve">, обозначающая запатентованный промышленный образец. </w:t>
            </w:r>
          </w:p>
        </w:tc>
        <w:tc>
          <w:tcPr>
            <w:tcW w:w="1625" w:type="dxa"/>
            <w:tcBorders>
              <w:top w:val="nil"/>
              <w:left w:val="nil"/>
              <w:bottom w:val="single" w:sz="4" w:space="0" w:color="auto"/>
              <w:right w:val="single" w:sz="4" w:space="0" w:color="auto"/>
            </w:tcBorders>
            <w:shd w:val="clear" w:color="auto" w:fill="auto"/>
            <w:noWrap/>
            <w:vAlign w:val="center"/>
            <w:hideMark/>
          </w:tcPr>
          <w:p w14:paraId="7DCC9FC0"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2E199158"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25E9BBE8"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0FEFA774"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607108F7"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6B71D36E"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08C90BCA"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23D5FC5B"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Тестовый загрязнитель индикаторов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сделан из очищенной и стандартизированной протеиновой фракции бычьей крови (компоненты фракции имитируют коагулированную человеческую кровь). </w:t>
            </w:r>
          </w:p>
        </w:tc>
        <w:tc>
          <w:tcPr>
            <w:tcW w:w="1625" w:type="dxa"/>
            <w:tcBorders>
              <w:top w:val="nil"/>
              <w:left w:val="nil"/>
              <w:bottom w:val="single" w:sz="4" w:space="0" w:color="auto"/>
              <w:right w:val="single" w:sz="4" w:space="0" w:color="auto"/>
            </w:tcBorders>
            <w:shd w:val="clear" w:color="auto" w:fill="auto"/>
            <w:noWrap/>
            <w:vAlign w:val="center"/>
            <w:hideMark/>
          </w:tcPr>
          <w:p w14:paraId="633EFCD5"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0276660D"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1335BF11"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683F750E"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77F7C110"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76B67E4B"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217EA46"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7A834FF9"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Тестовый загрязнитель индикаторов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имитирует загрязнения инструментов нерастворимыми в воде денатурированными белками крови. Такие загрязнения могут быть на инструментах, применяемых в высокочастотной </w:t>
            </w:r>
            <w:proofErr w:type="spellStart"/>
            <w:r w:rsidRPr="009B22D0">
              <w:rPr>
                <w:rFonts w:ascii="Times New Roman" w:eastAsia="Times New Roman" w:hAnsi="Times New Roman" w:cs="Times New Roman"/>
                <w:color w:val="000000"/>
                <w:sz w:val="16"/>
                <w:szCs w:val="16"/>
              </w:rPr>
              <w:t>электрохирургии</w:t>
            </w:r>
            <w:proofErr w:type="spellEnd"/>
            <w:r w:rsidRPr="009B22D0">
              <w:rPr>
                <w:rFonts w:ascii="Times New Roman" w:eastAsia="Times New Roman" w:hAnsi="Times New Roman" w:cs="Times New Roman"/>
                <w:color w:val="000000"/>
                <w:sz w:val="16"/>
                <w:szCs w:val="16"/>
              </w:rPr>
              <w:t xml:space="preserve"> или других операциях, </w:t>
            </w:r>
            <w:proofErr w:type="gramStart"/>
            <w:r w:rsidRPr="009B22D0">
              <w:rPr>
                <w:rFonts w:ascii="Times New Roman" w:eastAsia="Times New Roman" w:hAnsi="Times New Roman" w:cs="Times New Roman"/>
                <w:color w:val="000000"/>
                <w:sz w:val="16"/>
                <w:szCs w:val="16"/>
              </w:rPr>
              <w:t>там где</w:t>
            </w:r>
            <w:proofErr w:type="gramEnd"/>
            <w:r w:rsidRPr="009B22D0">
              <w:rPr>
                <w:rFonts w:ascii="Times New Roman" w:eastAsia="Times New Roman" w:hAnsi="Times New Roman" w:cs="Times New Roman"/>
                <w:color w:val="000000"/>
                <w:sz w:val="16"/>
                <w:szCs w:val="16"/>
              </w:rPr>
              <w:t xml:space="preserve"> могут быть факторы денатурации белков (высокая температура, воздействие кислот и др.). </w:t>
            </w:r>
          </w:p>
        </w:tc>
        <w:tc>
          <w:tcPr>
            <w:tcW w:w="1625" w:type="dxa"/>
            <w:tcBorders>
              <w:top w:val="nil"/>
              <w:left w:val="nil"/>
              <w:bottom w:val="single" w:sz="4" w:space="0" w:color="auto"/>
              <w:right w:val="single" w:sz="4" w:space="0" w:color="auto"/>
            </w:tcBorders>
            <w:shd w:val="clear" w:color="auto" w:fill="auto"/>
            <w:noWrap/>
            <w:vAlign w:val="center"/>
            <w:hideMark/>
          </w:tcPr>
          <w:p w14:paraId="1AA00DC7"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093D4AC3"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0F69C88D"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6166A99E"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657A7DE3"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273C6B92"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3F78E6A"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5B1F5232"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имеют металлическую пластинку желтого оттенка и полоску тестового загрязнителя более светлого тона, чем 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w:t>
            </w:r>
          </w:p>
        </w:tc>
        <w:tc>
          <w:tcPr>
            <w:tcW w:w="1625" w:type="dxa"/>
            <w:tcBorders>
              <w:top w:val="nil"/>
              <w:left w:val="nil"/>
              <w:bottom w:val="single" w:sz="4" w:space="0" w:color="auto"/>
              <w:right w:val="single" w:sz="4" w:space="0" w:color="auto"/>
            </w:tcBorders>
            <w:shd w:val="clear" w:color="auto" w:fill="auto"/>
            <w:noWrap/>
            <w:vAlign w:val="center"/>
            <w:hideMark/>
          </w:tcPr>
          <w:p w14:paraId="5BA1324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521215F8"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1AE1BEEF"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63ACEE57"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3A860796"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42DDE2A1"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54C0BDC"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616FDACD"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поставляются в картонных коробках. Каждая коробка содержит 12 индикаторов. Каждый индикатор помещен в защитную герметично закрытую упаковку. </w:t>
            </w:r>
          </w:p>
        </w:tc>
        <w:tc>
          <w:tcPr>
            <w:tcW w:w="1625" w:type="dxa"/>
            <w:tcBorders>
              <w:top w:val="nil"/>
              <w:left w:val="nil"/>
              <w:bottom w:val="single" w:sz="4" w:space="0" w:color="auto"/>
              <w:right w:val="single" w:sz="4" w:space="0" w:color="auto"/>
            </w:tcBorders>
            <w:shd w:val="clear" w:color="auto" w:fill="auto"/>
            <w:noWrap/>
            <w:vAlign w:val="center"/>
            <w:hideMark/>
          </w:tcPr>
          <w:p w14:paraId="1B29C92F"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2D17DA54"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071FA295"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145FB556"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7C4072FE"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4F886FFC"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403CFE2C"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7EEFBFD6"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На картонной коробке содержится информация о фирме-производителе, условиях хранения и сроке годности индикаторов. </w:t>
            </w:r>
          </w:p>
        </w:tc>
        <w:tc>
          <w:tcPr>
            <w:tcW w:w="1625" w:type="dxa"/>
            <w:tcBorders>
              <w:top w:val="nil"/>
              <w:left w:val="nil"/>
              <w:bottom w:val="single" w:sz="4" w:space="0" w:color="auto"/>
              <w:right w:val="single" w:sz="4" w:space="0" w:color="auto"/>
            </w:tcBorders>
            <w:shd w:val="clear" w:color="auto" w:fill="auto"/>
            <w:noWrap/>
            <w:vAlign w:val="center"/>
            <w:hideMark/>
          </w:tcPr>
          <w:p w14:paraId="4E9F7D7C"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579DEAEB"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604A1049"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79079F80"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36BC5E8A"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738393BE"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19C7E865"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252B34A6"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Индикаторы </w:t>
            </w:r>
            <w:proofErr w:type="spellStart"/>
            <w:r w:rsidRPr="009B22D0">
              <w:rPr>
                <w:rFonts w:ascii="Times New Roman" w:eastAsia="Times New Roman" w:hAnsi="Times New Roman" w:cs="Times New Roman"/>
                <w:color w:val="000000"/>
                <w:sz w:val="16"/>
                <w:szCs w:val="16"/>
              </w:rPr>
              <w:t>TOSI</w:t>
            </w:r>
            <w:proofErr w:type="spellEnd"/>
            <w:r w:rsidRPr="009B22D0">
              <w:rPr>
                <w:rFonts w:ascii="Times New Roman" w:eastAsia="Times New Roman" w:hAnsi="Times New Roman" w:cs="Times New Roman"/>
                <w:color w:val="000000"/>
                <w:sz w:val="16"/>
                <w:szCs w:val="16"/>
              </w:rPr>
              <w:t xml:space="preserve"> являются изделиями однократного применения. </w:t>
            </w:r>
          </w:p>
        </w:tc>
        <w:tc>
          <w:tcPr>
            <w:tcW w:w="1625" w:type="dxa"/>
            <w:tcBorders>
              <w:top w:val="nil"/>
              <w:left w:val="nil"/>
              <w:bottom w:val="single" w:sz="4" w:space="0" w:color="auto"/>
              <w:right w:val="single" w:sz="4" w:space="0" w:color="auto"/>
            </w:tcBorders>
            <w:shd w:val="clear" w:color="auto" w:fill="auto"/>
            <w:noWrap/>
            <w:vAlign w:val="center"/>
            <w:hideMark/>
          </w:tcPr>
          <w:p w14:paraId="058F8280"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6D8E12D5"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7E756744"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0F2102C6"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347EDED2"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0236F8BB"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11F0DAA1"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60000AE9"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В упаковке 12 штук</w:t>
            </w:r>
          </w:p>
        </w:tc>
        <w:tc>
          <w:tcPr>
            <w:tcW w:w="1625" w:type="dxa"/>
            <w:tcBorders>
              <w:top w:val="nil"/>
              <w:left w:val="nil"/>
              <w:bottom w:val="single" w:sz="4" w:space="0" w:color="auto"/>
              <w:right w:val="single" w:sz="4" w:space="0" w:color="auto"/>
            </w:tcBorders>
            <w:shd w:val="clear" w:color="auto" w:fill="auto"/>
            <w:noWrap/>
            <w:vAlign w:val="center"/>
            <w:hideMark/>
          </w:tcPr>
          <w:p w14:paraId="7CAF74DE"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72235BE3"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5188FB64"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0A14C6F0" w14:textId="77777777" w:rsidTr="009B22D0">
        <w:trPr>
          <w:trHeight w:val="20"/>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741870"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2</w:t>
            </w:r>
          </w:p>
        </w:tc>
        <w:tc>
          <w:tcPr>
            <w:tcW w:w="1989" w:type="dxa"/>
            <w:vMerge w:val="restart"/>
            <w:tcBorders>
              <w:top w:val="nil"/>
              <w:left w:val="single" w:sz="4" w:space="0" w:color="auto"/>
              <w:bottom w:val="single" w:sz="4" w:space="0" w:color="auto"/>
              <w:right w:val="single" w:sz="4" w:space="0" w:color="auto"/>
            </w:tcBorders>
            <w:shd w:val="clear" w:color="auto" w:fill="auto"/>
            <w:vAlign w:val="center"/>
            <w:hideMark/>
          </w:tcPr>
          <w:p w14:paraId="00DA1E2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Тест-пакет </w:t>
            </w:r>
            <w:proofErr w:type="spellStart"/>
            <w:r w:rsidRPr="009B22D0">
              <w:rPr>
                <w:rFonts w:ascii="Times New Roman" w:eastAsia="Times New Roman" w:hAnsi="Times New Roman" w:cs="Times New Roman"/>
                <w:color w:val="000000"/>
                <w:sz w:val="16"/>
                <w:szCs w:val="16"/>
              </w:rPr>
              <w:t>Бови</w:t>
            </w:r>
            <w:proofErr w:type="spellEnd"/>
            <w:r w:rsidRPr="009B22D0">
              <w:rPr>
                <w:rFonts w:ascii="Times New Roman" w:eastAsia="Times New Roman" w:hAnsi="Times New Roman" w:cs="Times New Roman"/>
                <w:color w:val="000000"/>
                <w:sz w:val="16"/>
                <w:szCs w:val="16"/>
              </w:rPr>
              <w:t>-Дик-</w:t>
            </w:r>
            <w:proofErr w:type="spellStart"/>
            <w:r w:rsidRPr="009B22D0">
              <w:rPr>
                <w:rFonts w:ascii="Times New Roman" w:eastAsia="Times New Roman" w:hAnsi="Times New Roman" w:cs="Times New Roman"/>
                <w:color w:val="000000"/>
                <w:sz w:val="16"/>
                <w:szCs w:val="16"/>
              </w:rPr>
              <w:t>Винар</w:t>
            </w:r>
            <w:proofErr w:type="spellEnd"/>
            <w:r w:rsidRPr="009B22D0">
              <w:rPr>
                <w:rFonts w:ascii="Times New Roman" w:eastAsia="Times New Roman" w:hAnsi="Times New Roman" w:cs="Times New Roman"/>
                <w:color w:val="000000"/>
                <w:sz w:val="16"/>
                <w:szCs w:val="16"/>
              </w:rPr>
              <w:t xml:space="preserve"> одноразовый для испытания на паропроницаемость и удаление воздуха из камеры паровых стерилизаторов</w:t>
            </w:r>
          </w:p>
        </w:tc>
        <w:tc>
          <w:tcPr>
            <w:tcW w:w="1135" w:type="dxa"/>
            <w:vMerge w:val="restart"/>
            <w:tcBorders>
              <w:top w:val="nil"/>
              <w:left w:val="single" w:sz="4" w:space="0" w:color="auto"/>
              <w:bottom w:val="single" w:sz="4" w:space="0" w:color="000000"/>
              <w:right w:val="single" w:sz="4" w:space="0" w:color="auto"/>
            </w:tcBorders>
            <w:shd w:val="clear" w:color="auto" w:fill="auto"/>
            <w:vAlign w:val="center"/>
            <w:hideMark/>
          </w:tcPr>
          <w:p w14:paraId="4AC2E6F4"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32.50.50.190</w:t>
            </w:r>
          </w:p>
        </w:tc>
        <w:tc>
          <w:tcPr>
            <w:tcW w:w="7201" w:type="dxa"/>
            <w:tcBorders>
              <w:top w:val="nil"/>
              <w:left w:val="nil"/>
              <w:bottom w:val="single" w:sz="4" w:space="0" w:color="auto"/>
              <w:right w:val="single" w:sz="4" w:space="0" w:color="auto"/>
            </w:tcBorders>
            <w:shd w:val="clear" w:color="auto" w:fill="auto"/>
            <w:vAlign w:val="center"/>
            <w:hideMark/>
          </w:tcPr>
          <w:p w14:paraId="3222F37F"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Тест-пакет </w:t>
            </w:r>
            <w:proofErr w:type="spellStart"/>
            <w:r w:rsidRPr="009B22D0">
              <w:rPr>
                <w:rFonts w:ascii="Times New Roman" w:eastAsia="Times New Roman" w:hAnsi="Times New Roman" w:cs="Times New Roman"/>
                <w:color w:val="000000"/>
                <w:sz w:val="16"/>
                <w:szCs w:val="16"/>
              </w:rPr>
              <w:t>Бови</w:t>
            </w:r>
            <w:proofErr w:type="spellEnd"/>
            <w:r w:rsidRPr="009B22D0">
              <w:rPr>
                <w:rFonts w:ascii="Times New Roman" w:eastAsia="Times New Roman" w:hAnsi="Times New Roman" w:cs="Times New Roman"/>
                <w:color w:val="000000"/>
                <w:sz w:val="16"/>
                <w:szCs w:val="16"/>
              </w:rPr>
              <w:t>-Дик предназначен для проверки паровых стерилизаторов на паропроницаемость и удаление воздуха из стерилизационной камеры.</w:t>
            </w:r>
          </w:p>
        </w:tc>
        <w:tc>
          <w:tcPr>
            <w:tcW w:w="1625" w:type="dxa"/>
            <w:tcBorders>
              <w:top w:val="nil"/>
              <w:left w:val="nil"/>
              <w:bottom w:val="single" w:sz="4" w:space="0" w:color="auto"/>
              <w:right w:val="single" w:sz="4" w:space="0" w:color="auto"/>
            </w:tcBorders>
            <w:shd w:val="clear" w:color="auto" w:fill="auto"/>
            <w:noWrap/>
            <w:vAlign w:val="center"/>
            <w:hideMark/>
          </w:tcPr>
          <w:p w14:paraId="01E419FF"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C5EA5C"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Упаковка</w:t>
            </w:r>
          </w:p>
        </w:tc>
        <w:tc>
          <w:tcPr>
            <w:tcW w:w="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BC9109"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20</w:t>
            </w:r>
          </w:p>
        </w:tc>
      </w:tr>
      <w:tr w:rsidR="009B22D0" w:rsidRPr="009B22D0" w14:paraId="361499D6"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5A208F4C"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2E263399"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0A963805"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3FEFDD93"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Он помогает своевременно выявлять неисправности оборудования, такие как </w:t>
            </w:r>
            <w:proofErr w:type="spellStart"/>
            <w:r w:rsidRPr="009B22D0">
              <w:rPr>
                <w:rFonts w:ascii="Times New Roman" w:eastAsia="Times New Roman" w:hAnsi="Times New Roman" w:cs="Times New Roman"/>
                <w:color w:val="000000"/>
                <w:sz w:val="16"/>
                <w:szCs w:val="16"/>
              </w:rPr>
              <w:t>негерметичность</w:t>
            </w:r>
            <w:proofErr w:type="spellEnd"/>
            <w:r w:rsidRPr="009B22D0">
              <w:rPr>
                <w:rFonts w:ascii="Times New Roman" w:eastAsia="Times New Roman" w:hAnsi="Times New Roman" w:cs="Times New Roman"/>
                <w:color w:val="000000"/>
                <w:sz w:val="16"/>
                <w:szCs w:val="16"/>
              </w:rPr>
              <w:t xml:space="preserve"> стерилизационной камеры, неисправности форвакуумного насоса или клапанов и др. </w:t>
            </w:r>
          </w:p>
        </w:tc>
        <w:tc>
          <w:tcPr>
            <w:tcW w:w="1625" w:type="dxa"/>
            <w:tcBorders>
              <w:top w:val="nil"/>
              <w:left w:val="nil"/>
              <w:bottom w:val="single" w:sz="4" w:space="0" w:color="auto"/>
              <w:right w:val="single" w:sz="4" w:space="0" w:color="auto"/>
            </w:tcBorders>
            <w:shd w:val="clear" w:color="auto" w:fill="auto"/>
            <w:noWrap/>
            <w:vAlign w:val="center"/>
            <w:hideMark/>
          </w:tcPr>
          <w:p w14:paraId="70142E5C"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51437715"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243C3D9E"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2016849C"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4F5E6C80"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74754875"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269A82A"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3A65303F"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 xml:space="preserve">Тест-пакет </w:t>
            </w:r>
            <w:proofErr w:type="spellStart"/>
            <w:r w:rsidRPr="009B22D0">
              <w:rPr>
                <w:rFonts w:ascii="Times New Roman" w:eastAsia="Times New Roman" w:hAnsi="Times New Roman" w:cs="Times New Roman"/>
                <w:color w:val="000000"/>
                <w:sz w:val="16"/>
                <w:szCs w:val="16"/>
              </w:rPr>
              <w:t>Бови</w:t>
            </w:r>
            <w:proofErr w:type="spellEnd"/>
            <w:r w:rsidRPr="009B22D0">
              <w:rPr>
                <w:rFonts w:ascii="Times New Roman" w:eastAsia="Times New Roman" w:hAnsi="Times New Roman" w:cs="Times New Roman"/>
                <w:color w:val="000000"/>
                <w:sz w:val="16"/>
                <w:szCs w:val="16"/>
              </w:rPr>
              <w:t xml:space="preserve">-Дик соответствует ГОСТу </w:t>
            </w:r>
            <w:proofErr w:type="spellStart"/>
            <w:r w:rsidRPr="009B22D0">
              <w:rPr>
                <w:rFonts w:ascii="Times New Roman" w:eastAsia="Times New Roman" w:hAnsi="Times New Roman" w:cs="Times New Roman"/>
                <w:color w:val="000000"/>
                <w:sz w:val="16"/>
                <w:szCs w:val="16"/>
              </w:rPr>
              <w:t>ISO</w:t>
            </w:r>
            <w:proofErr w:type="spellEnd"/>
            <w:r w:rsidRPr="009B22D0">
              <w:rPr>
                <w:rFonts w:ascii="Times New Roman" w:eastAsia="Times New Roman" w:hAnsi="Times New Roman" w:cs="Times New Roman"/>
                <w:color w:val="000000"/>
                <w:sz w:val="16"/>
                <w:szCs w:val="16"/>
              </w:rPr>
              <w:t xml:space="preserve"> 11140-1-2011 и относится к химическим индикаторам для специальных испытаний 2 класса</w:t>
            </w:r>
          </w:p>
        </w:tc>
        <w:tc>
          <w:tcPr>
            <w:tcW w:w="1625" w:type="dxa"/>
            <w:tcBorders>
              <w:top w:val="nil"/>
              <w:left w:val="nil"/>
              <w:bottom w:val="single" w:sz="4" w:space="0" w:color="auto"/>
              <w:right w:val="single" w:sz="4" w:space="0" w:color="auto"/>
            </w:tcBorders>
            <w:shd w:val="clear" w:color="auto" w:fill="auto"/>
            <w:noWrap/>
            <w:vAlign w:val="center"/>
            <w:hideMark/>
          </w:tcPr>
          <w:p w14:paraId="56F8A452"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1BC4C9EA"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6782CD9A"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762C2450"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1AEA0B39"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1FBD462D"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3B39F63A"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39A7ECA8"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Липкий слой на индикаторном листе позволяет вклеить индикатор в журнал 257/у.</w:t>
            </w:r>
          </w:p>
        </w:tc>
        <w:tc>
          <w:tcPr>
            <w:tcW w:w="1625" w:type="dxa"/>
            <w:tcBorders>
              <w:top w:val="nil"/>
              <w:left w:val="nil"/>
              <w:bottom w:val="single" w:sz="4" w:space="0" w:color="auto"/>
              <w:right w:val="single" w:sz="4" w:space="0" w:color="auto"/>
            </w:tcBorders>
            <w:shd w:val="clear" w:color="auto" w:fill="auto"/>
            <w:noWrap/>
            <w:vAlign w:val="center"/>
            <w:hideMark/>
          </w:tcPr>
          <w:p w14:paraId="7A2EBDD9"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6E361F59"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2D5D7A5E"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71F8C4E7"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167A0BCC"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632358F7"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5E18DCFC"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7AE2A6E8"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Срок годности: 48 месяцев</w:t>
            </w:r>
          </w:p>
        </w:tc>
        <w:tc>
          <w:tcPr>
            <w:tcW w:w="1625" w:type="dxa"/>
            <w:tcBorders>
              <w:top w:val="nil"/>
              <w:left w:val="nil"/>
              <w:bottom w:val="single" w:sz="4" w:space="0" w:color="auto"/>
              <w:right w:val="single" w:sz="4" w:space="0" w:color="auto"/>
            </w:tcBorders>
            <w:shd w:val="clear" w:color="auto" w:fill="auto"/>
            <w:noWrap/>
            <w:vAlign w:val="center"/>
            <w:hideMark/>
          </w:tcPr>
          <w:p w14:paraId="6429F9AE"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395C7B87"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2BFBB26D" w14:textId="77777777" w:rsidR="009B22D0" w:rsidRPr="009B22D0" w:rsidRDefault="009B22D0" w:rsidP="009B22D0">
            <w:pPr>
              <w:rPr>
                <w:rFonts w:ascii="Times New Roman" w:eastAsia="Times New Roman" w:hAnsi="Times New Roman" w:cs="Times New Roman"/>
                <w:color w:val="000000"/>
                <w:sz w:val="16"/>
                <w:szCs w:val="16"/>
              </w:rPr>
            </w:pPr>
          </w:p>
        </w:tc>
      </w:tr>
      <w:tr w:rsidR="009B22D0" w:rsidRPr="009B22D0" w14:paraId="768B2987" w14:textId="77777777" w:rsidTr="009B22D0">
        <w:trPr>
          <w:trHeight w:val="20"/>
        </w:trPr>
        <w:tc>
          <w:tcPr>
            <w:tcW w:w="699" w:type="dxa"/>
            <w:vMerge/>
            <w:tcBorders>
              <w:top w:val="nil"/>
              <w:left w:val="single" w:sz="4" w:space="0" w:color="auto"/>
              <w:bottom w:val="single" w:sz="4" w:space="0" w:color="auto"/>
              <w:right w:val="single" w:sz="4" w:space="0" w:color="auto"/>
            </w:tcBorders>
            <w:vAlign w:val="center"/>
            <w:hideMark/>
          </w:tcPr>
          <w:p w14:paraId="6FA6D2CB" w14:textId="77777777" w:rsidR="009B22D0" w:rsidRPr="009B22D0" w:rsidRDefault="009B22D0" w:rsidP="009B22D0">
            <w:pPr>
              <w:rPr>
                <w:rFonts w:ascii="Times New Roman" w:eastAsia="Times New Roman" w:hAnsi="Times New Roman" w:cs="Times New Roman"/>
                <w:color w:val="000000"/>
                <w:sz w:val="16"/>
                <w:szCs w:val="16"/>
              </w:rPr>
            </w:pPr>
          </w:p>
        </w:tc>
        <w:tc>
          <w:tcPr>
            <w:tcW w:w="1989" w:type="dxa"/>
            <w:vMerge/>
            <w:tcBorders>
              <w:top w:val="nil"/>
              <w:left w:val="single" w:sz="4" w:space="0" w:color="auto"/>
              <w:bottom w:val="single" w:sz="4" w:space="0" w:color="auto"/>
              <w:right w:val="single" w:sz="4" w:space="0" w:color="auto"/>
            </w:tcBorders>
            <w:vAlign w:val="center"/>
            <w:hideMark/>
          </w:tcPr>
          <w:p w14:paraId="6DF19FC4" w14:textId="77777777" w:rsidR="009B22D0" w:rsidRPr="009B22D0" w:rsidRDefault="009B22D0" w:rsidP="009B22D0">
            <w:pPr>
              <w:rPr>
                <w:rFonts w:ascii="Times New Roman" w:eastAsia="Times New Roman" w:hAnsi="Times New Roman" w:cs="Times New Roman"/>
                <w:color w:val="000000"/>
                <w:sz w:val="16"/>
                <w:szCs w:val="16"/>
              </w:rPr>
            </w:pPr>
          </w:p>
        </w:tc>
        <w:tc>
          <w:tcPr>
            <w:tcW w:w="1135" w:type="dxa"/>
            <w:vMerge/>
            <w:tcBorders>
              <w:top w:val="nil"/>
              <w:left w:val="single" w:sz="4" w:space="0" w:color="auto"/>
              <w:bottom w:val="single" w:sz="4" w:space="0" w:color="000000"/>
              <w:right w:val="single" w:sz="4" w:space="0" w:color="auto"/>
            </w:tcBorders>
            <w:vAlign w:val="center"/>
            <w:hideMark/>
          </w:tcPr>
          <w:p w14:paraId="698B234D" w14:textId="77777777" w:rsidR="009B22D0" w:rsidRPr="009B22D0" w:rsidRDefault="009B22D0" w:rsidP="009B22D0">
            <w:pPr>
              <w:rPr>
                <w:rFonts w:ascii="Times New Roman" w:eastAsia="Times New Roman" w:hAnsi="Times New Roman" w:cs="Times New Roman"/>
                <w:color w:val="000000"/>
                <w:sz w:val="16"/>
                <w:szCs w:val="16"/>
              </w:rPr>
            </w:pPr>
          </w:p>
        </w:tc>
        <w:tc>
          <w:tcPr>
            <w:tcW w:w="7201" w:type="dxa"/>
            <w:tcBorders>
              <w:top w:val="nil"/>
              <w:left w:val="nil"/>
              <w:bottom w:val="single" w:sz="4" w:space="0" w:color="auto"/>
              <w:right w:val="single" w:sz="4" w:space="0" w:color="auto"/>
            </w:tcBorders>
            <w:shd w:val="clear" w:color="auto" w:fill="auto"/>
            <w:vAlign w:val="center"/>
            <w:hideMark/>
          </w:tcPr>
          <w:p w14:paraId="19D63FFB"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В упаковке 6 тестов</w:t>
            </w:r>
          </w:p>
        </w:tc>
        <w:tc>
          <w:tcPr>
            <w:tcW w:w="1625" w:type="dxa"/>
            <w:tcBorders>
              <w:top w:val="nil"/>
              <w:left w:val="nil"/>
              <w:bottom w:val="single" w:sz="4" w:space="0" w:color="auto"/>
              <w:right w:val="single" w:sz="4" w:space="0" w:color="auto"/>
            </w:tcBorders>
            <w:shd w:val="clear" w:color="auto" w:fill="auto"/>
            <w:noWrap/>
            <w:vAlign w:val="center"/>
            <w:hideMark/>
          </w:tcPr>
          <w:p w14:paraId="4B612F17" w14:textId="77777777" w:rsidR="009B22D0" w:rsidRPr="009B22D0" w:rsidRDefault="009B22D0" w:rsidP="009B22D0">
            <w:pPr>
              <w:jc w:val="center"/>
              <w:rPr>
                <w:rFonts w:ascii="Times New Roman" w:eastAsia="Times New Roman" w:hAnsi="Times New Roman" w:cs="Times New Roman"/>
                <w:color w:val="000000"/>
                <w:sz w:val="16"/>
                <w:szCs w:val="16"/>
              </w:rPr>
            </w:pPr>
            <w:r w:rsidRPr="009B22D0">
              <w:rPr>
                <w:rFonts w:ascii="Times New Roman" w:eastAsia="Times New Roman" w:hAnsi="Times New Roman" w:cs="Times New Roman"/>
                <w:color w:val="000000"/>
                <w:sz w:val="16"/>
                <w:szCs w:val="16"/>
              </w:rPr>
              <w:t>Соответствие</w:t>
            </w:r>
          </w:p>
        </w:tc>
        <w:tc>
          <w:tcPr>
            <w:tcW w:w="868" w:type="dxa"/>
            <w:vMerge/>
            <w:tcBorders>
              <w:top w:val="nil"/>
              <w:left w:val="single" w:sz="4" w:space="0" w:color="auto"/>
              <w:bottom w:val="single" w:sz="4" w:space="0" w:color="auto"/>
              <w:right w:val="single" w:sz="4" w:space="0" w:color="auto"/>
            </w:tcBorders>
            <w:vAlign w:val="center"/>
            <w:hideMark/>
          </w:tcPr>
          <w:p w14:paraId="6A5853F4" w14:textId="77777777" w:rsidR="009B22D0" w:rsidRPr="009B22D0" w:rsidRDefault="009B22D0" w:rsidP="009B22D0">
            <w:pPr>
              <w:rPr>
                <w:rFonts w:ascii="Times New Roman" w:eastAsia="Times New Roman" w:hAnsi="Times New Roman" w:cs="Times New Roman"/>
                <w:color w:val="000000"/>
                <w:sz w:val="16"/>
                <w:szCs w:val="16"/>
              </w:rPr>
            </w:pPr>
          </w:p>
        </w:tc>
        <w:tc>
          <w:tcPr>
            <w:tcW w:w="761" w:type="dxa"/>
            <w:vMerge/>
            <w:tcBorders>
              <w:top w:val="nil"/>
              <w:left w:val="single" w:sz="4" w:space="0" w:color="auto"/>
              <w:bottom w:val="single" w:sz="4" w:space="0" w:color="auto"/>
              <w:right w:val="single" w:sz="4" w:space="0" w:color="auto"/>
            </w:tcBorders>
            <w:vAlign w:val="center"/>
            <w:hideMark/>
          </w:tcPr>
          <w:p w14:paraId="5999A63C" w14:textId="77777777" w:rsidR="009B22D0" w:rsidRPr="009B22D0" w:rsidRDefault="009B22D0" w:rsidP="009B22D0">
            <w:pPr>
              <w:rPr>
                <w:rFonts w:ascii="Times New Roman" w:eastAsia="Times New Roman" w:hAnsi="Times New Roman" w:cs="Times New Roman"/>
                <w:color w:val="000000"/>
                <w:sz w:val="16"/>
                <w:szCs w:val="16"/>
              </w:rPr>
            </w:pPr>
          </w:p>
        </w:tc>
      </w:tr>
    </w:tbl>
    <w:p w14:paraId="39E16C37" w14:textId="77777777" w:rsidR="009407C1" w:rsidRDefault="009407C1" w:rsidP="009407C1">
      <w:pPr>
        <w:spacing w:after="120" w:line="276" w:lineRule="auto"/>
        <w:ind w:firstLine="567"/>
        <w:jc w:val="both"/>
        <w:rPr>
          <w:rFonts w:ascii="Times New Roman" w:hAnsi="Times New Roman" w:cs="Times New Roman"/>
        </w:rPr>
      </w:pPr>
    </w:p>
    <w:p w14:paraId="6ED5AD63" w14:textId="77777777" w:rsidR="00D70612" w:rsidRDefault="00D70612" w:rsidP="009407C1">
      <w:pPr>
        <w:spacing w:after="120" w:line="276" w:lineRule="auto"/>
        <w:ind w:firstLine="567"/>
        <w:jc w:val="both"/>
        <w:rPr>
          <w:rFonts w:ascii="Times New Roman" w:hAnsi="Times New Roman" w:cs="Times New Roman"/>
        </w:rPr>
      </w:pPr>
      <w:bookmarkStart w:id="13" w:name="_GoBack"/>
      <w:bookmarkEnd w:id="13"/>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lastRenderedPageBreak/>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9B22D0">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DA6FD-779F-4D69-A3E7-5CA58EBA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11</Pages>
  <Words>3398</Words>
  <Characters>24586</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27929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72</cp:revision>
  <cp:lastPrinted>2024-10-22T10:24:00Z</cp:lastPrinted>
  <dcterms:created xsi:type="dcterms:W3CDTF">2025-10-08T06:54:00Z</dcterms:created>
  <dcterms:modified xsi:type="dcterms:W3CDTF">2026-07-27T13:31:00Z</dcterms:modified>
</cp:coreProperties>
</file>