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7534A9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>копеек, НДС не облагается на основании гл. 26.2 ст. 346.11 п.2. НК РФ</w:t>
      </w:r>
      <w:r w:rsidR="00091106">
        <w:rPr>
          <w:sz w:val="22"/>
          <w:szCs w:val="22"/>
          <w:lang w:val="ru-RU"/>
        </w:rPr>
        <w:t xml:space="preserve"> </w:t>
      </w:r>
      <w:r w:rsidRPr="00FB72E8">
        <w:rPr>
          <w:sz w:val="22"/>
          <w:szCs w:val="22"/>
          <w:lang w:val="ru-RU"/>
        </w:rPr>
        <w:t xml:space="preserve">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>Осуществлять контроль за исполнением</w:t>
      </w:r>
      <w:r w:rsidR="00425A81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Поставщиком</w:t>
      </w:r>
      <w:r w:rsidR="00425A81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425A81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8"/>
          <w:footerReference w:type="default" r:id="rId9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</w:t>
      </w:r>
      <w:r w:rsidR="009E1213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9E1213">
        <w:rPr>
          <w:sz w:val="22"/>
          <w:szCs w:val="22"/>
        </w:rPr>
        <w:t>26</w:t>
      </w:r>
      <w:r w:rsidR="00332512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2F2683" w:rsidP="00E87802">
            <w:pPr>
              <w:ind w:hanging="137"/>
            </w:pPr>
            <w:r w:rsidRPr="002F2683">
              <w:t>23.42.10.150</w:t>
            </w:r>
            <w:bookmarkStart w:id="8" w:name="_GoBack"/>
            <w:bookmarkEnd w:id="8"/>
          </w:p>
        </w:tc>
        <w:tc>
          <w:tcPr>
            <w:tcW w:w="3235" w:type="dxa"/>
          </w:tcPr>
          <w:p w:rsidR="009E1213" w:rsidRPr="002E31DC" w:rsidRDefault="002E31DC" w:rsidP="002E31DC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E31DC">
              <w:rPr>
                <w:bCs/>
                <w:sz w:val="22"/>
                <w:szCs w:val="22"/>
              </w:rPr>
              <w:t>Унитаз</w:t>
            </w:r>
          </w:p>
          <w:p w:rsidR="00E87802" w:rsidRPr="00C55CC9" w:rsidRDefault="00E87802" w:rsidP="00E87802">
            <w:pPr>
              <w:ind w:hanging="54"/>
              <w:jc w:val="left"/>
            </w:pP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EF569B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9E1213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543224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Унитаз 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8E2397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2F2683" w:rsidRPr="00FB72E8" w:rsidRDefault="008E2397" w:rsidP="002F2683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EF569B">
              <w:rPr>
                <w:iCs/>
                <w:sz w:val="22"/>
                <w:szCs w:val="22"/>
              </w:rPr>
              <w:t xml:space="preserve">за унитаз 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2F2683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Унитаз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2F2683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Унитаз 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2F2683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Унитаз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2F2683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Унитаз</w:t>
            </w:r>
            <w:r w:rsidR="009E121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2F2683" w:rsidRPr="00FB72E8" w:rsidRDefault="00EF569B" w:rsidP="002F2683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Унитаз</w:t>
            </w:r>
            <w:r w:rsidR="009E121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2F2683" w:rsidRPr="00FB72E8" w:rsidRDefault="00EF569B" w:rsidP="002F2683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>Унитаз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9E1213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EF569B">
        <w:rPr>
          <w:iCs/>
          <w:sz w:val="22"/>
          <w:szCs w:val="22"/>
        </w:rPr>
        <w:t>Унитаз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9E1213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5B4C93" w:rsidP="0006061E">
            <w:pPr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Унитаз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C" w:rsidRPr="00FE2D83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5B4C93">
              <w:rPr>
                <w:color w:val="000000"/>
                <w:sz w:val="20"/>
                <w:szCs w:val="20"/>
                <w:shd w:val="clear" w:color="auto" w:fill="FFFFFF"/>
              </w:rPr>
              <w:t>23.42.10.150</w:t>
            </w:r>
            <w:r w:rsidR="009E1213">
              <w:rPr>
                <w:color w:val="000000"/>
                <w:sz w:val="20"/>
                <w:szCs w:val="20"/>
                <w:shd w:val="clear" w:color="auto" w:fill="FFFFFF"/>
              </w:rPr>
              <w:t xml:space="preserve"> Унитаз</w:t>
            </w:r>
            <w:r w:rsidR="009E1213" w:rsidRPr="009E1213">
              <w:rPr>
                <w:color w:val="000000"/>
                <w:sz w:val="22"/>
                <w:szCs w:val="22"/>
              </w:rPr>
              <w:t>-</w:t>
            </w:r>
            <w:r w:rsidR="009E1213" w:rsidRPr="009E1213">
              <w:rPr>
                <w:color w:val="000000"/>
                <w:sz w:val="20"/>
                <w:szCs w:val="20"/>
                <w:shd w:val="clear" w:color="auto" w:fill="FFFFFF"/>
              </w:rPr>
              <w:t>компакт однорежимный, сиденье полипропилен</w:t>
            </w:r>
            <w:r w:rsidR="009E1213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B0228" w:rsidRPr="00BB0228" w:rsidRDefault="00BB0228" w:rsidP="00BB0228">
            <w:pPr>
              <w:pStyle w:val="afa"/>
              <w:ind w:left="-90" w:firstLine="52"/>
              <w:rPr>
                <w:sz w:val="20"/>
                <w:szCs w:val="20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9E1213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27" w:rsidRDefault="00D91527" w:rsidP="000C7337">
      <w:r>
        <w:separator/>
      </w:r>
    </w:p>
  </w:endnote>
  <w:endnote w:type="continuationSeparator" w:id="0">
    <w:p w:rsidR="00D91527" w:rsidRDefault="00D91527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13" w:rsidRDefault="00D91527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2F2683">
      <w:rPr>
        <w:noProof/>
      </w:rPr>
      <w:t>13</w:t>
    </w:r>
    <w:r>
      <w:rPr>
        <w:noProof/>
      </w:rPr>
      <w:fldChar w:fldCharType="end"/>
    </w:r>
  </w:p>
  <w:p w:rsidR="009E1213" w:rsidRPr="00635038" w:rsidRDefault="009E1213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27" w:rsidRDefault="00D91527" w:rsidP="000C7337">
      <w:r>
        <w:separator/>
      </w:r>
    </w:p>
  </w:footnote>
  <w:footnote w:type="continuationSeparator" w:id="0">
    <w:p w:rsidR="00D91527" w:rsidRDefault="00D91527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213" w:rsidRDefault="009E1213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9F9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106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591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1DC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2683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A8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422B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4A9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1213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35BC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2051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527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DF9177-4325-4BCD-89F3-3636B267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CC39-0EB4-4D68-B307-4B9414C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6365</Words>
  <Characters>36282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7</cp:revision>
  <cp:lastPrinted>2021-07-28T12:11:00Z</cp:lastPrinted>
  <dcterms:created xsi:type="dcterms:W3CDTF">2026-05-28T06:12:00Z</dcterms:created>
  <dcterms:modified xsi:type="dcterms:W3CDTF">2026-05-29T08:10:00Z</dcterms:modified>
</cp:coreProperties>
</file>