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206"/>
        <w:jc w:val="center"/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1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10206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Обоснование начальной (максимальной) цены контракта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 соответствии с требованиями статьи 22 Федерального закона от</w:t>
      </w:r>
      <w:r>
        <w:rPr>
          <w:rFonts w:ascii="Times New Roman" w:hAnsi="Times New Roman" w:cs="Times New Roman"/>
          <w:sz w:val="26"/>
          <w:szCs w:val="26"/>
        </w:rPr>
        <w:t xml:space="preserve"> 05.04.2013 г. № 44-ФЗ "О контрактной системе в сфере закупок товаров, работ, услуг для обеспечения государственных и муниципальных нужд" начальная (максимальная) цена государственного контракта определена методом сопоставимых рыночных цен (анализа рынка);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 w:eastAsiaTheme="minorEastAsia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Расчет НМЦК произведен по формуле: </w:t>
      </w:r>
      <w:r>
        <w:rPr>
          <w:rFonts w:ascii="Times New Roman" w:hAnsi="Times New Roman" w:cs="Times New Roman"/>
          <w:sz w:val="26"/>
          <w:szCs w:val="26"/>
        </w:rPr>
        <w:t xml:space="preserve">НМЦКрын</w:t>
      </w:r>
      <w:r>
        <w:rPr>
          <w:rFonts w:ascii="Times New Roman" w:hAnsi="Times New Roman" w:cs="Times New Roman"/>
          <w:sz w:val="26"/>
          <w:szCs w:val="26"/>
        </w:rPr>
        <w:t xml:space="preserve"> =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K</w:t>
      </w:r>
      <w:r>
        <w:rPr>
          <w:rFonts w:ascii="Times New Roman" w:hAnsi="Times New Roman" w:cs="Times New Roman"/>
          <w:sz w:val="26"/>
          <w:szCs w:val="26"/>
        </w:rPr>
        <w:t xml:space="preserve">инф*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rPr/>
              <m:t>V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rPr/>
              <m:t>n</m:t>
            </m:r>
          </m:den>
        </m:f>
        <m:r>
          <w:rPr>
            <w:rFonts w:ascii="Cambria Math" w:hAnsi="Cambria Math" w:cs="Times New Roman"/>
            <w:sz w:val="26"/>
            <w:szCs w:val="26"/>
          </w:rPr>
          <m:rPr>
            <m:sty m:val="p"/>
          </m:rPr>
          <m:t>*</m:t>
        </m:r>
        <m:nary>
          <m:naryPr>
            <m:chr m:val="∑"/>
            <m:grow m:val="off"/>
            <m:ctrlPr>
              <w:rPr>
                <w:rFonts w:ascii="Cambria Math" w:hAnsi="Cambria Math" w:cs="Times New Roman"/>
                <w:i/>
                <w:iCs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rPr/>
              <m:t>i</m:t>
            </m:r>
            <m:r>
              <w:rPr>
                <w:rFonts w:ascii="Cambria Math" w:hAnsi="Cambria Math" w:cs="Times New Roman"/>
                <w:sz w:val="26"/>
                <w:szCs w:val="26"/>
              </w:rPr>
              <m:rPr/>
              <m:t>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rPr/>
              <m:t>n</m:t>
            </m:r>
          </m:sup>
          <m:e>
            <m:r>
              <w:rPr>
                <w:rFonts w:ascii="Cambria Math" w:hAnsi="Cambria Math" w:cs="Times New Roman"/>
                <w:sz w:val="26"/>
                <w:szCs w:val="26"/>
              </w:rPr>
              <m:rPr/>
              <m:t>Ц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rPr/>
              <m:t>i</m:t>
            </m:r>
          </m:e>
        </m:nary>
      </m:oMath>
      <w:r>
        <w:rPr>
          <w:rFonts w:ascii="Times New Roman" w:hAnsi="Times New Roman" w:cs="Times New Roman" w:eastAsiaTheme="minorEastAsia"/>
          <w:iCs/>
          <w:sz w:val="26"/>
          <w:szCs w:val="26"/>
        </w:rPr>
      </w:r>
      <w:r>
        <w:rPr>
          <w:rFonts w:ascii="Times New Roman" w:hAnsi="Times New Roman" w:cs="Times New Roman" w:eastAsiaTheme="minorEastAsia"/>
          <w:iCs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где: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НМЦКрын</w:t>
      </w:r>
      <w:r>
        <w:rPr>
          <w:rFonts w:ascii="Times New Roman" w:hAnsi="Times New Roman" w:cs="Times New Roman"/>
          <w:sz w:val="26"/>
          <w:szCs w:val="26"/>
        </w:rPr>
        <w:t xml:space="preserve">  - начальная (максимальная) цена контракта, определяемая методом сопоставимых рыночных цен (анализ рынка);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V – количество (объем) закупаемого товара (работы, услуги);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n – количество значений, используемых в расчете;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i – номер источника ценовой информации;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цi</w:t>
      </w:r>
      <w:r>
        <w:rPr>
          <w:rFonts w:ascii="Times New Roman" w:hAnsi="Times New Roman" w:cs="Times New Roman"/>
          <w:sz w:val="26"/>
          <w:szCs w:val="26"/>
        </w:rPr>
        <w:t xml:space="preserve"> – цена единицы товара, работы, услуги, предоставленная в источнике с номером i, скорректированная с учетом коэффициентов (индексов), пр</w:t>
      </w:r>
      <w:r>
        <w:rPr>
          <w:rFonts w:ascii="Times New Roman" w:hAnsi="Times New Roman" w:cs="Times New Roman"/>
          <w:sz w:val="26"/>
          <w:szCs w:val="26"/>
        </w:rPr>
        <w:t xml:space="preserve">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пунктом 3.17 Методических рекомендаций.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Результаты проведенных расчетов приведены в таблице: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15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015"/>
        <w:gridCol w:w="1559"/>
        <w:gridCol w:w="850"/>
        <w:gridCol w:w="992"/>
        <w:gridCol w:w="1134"/>
        <w:gridCol w:w="1134"/>
        <w:gridCol w:w="1417"/>
        <w:gridCol w:w="1276"/>
        <w:gridCol w:w="1276"/>
        <w:gridCol w:w="1417"/>
        <w:gridCol w:w="1646"/>
      </w:tblGrid>
      <w:tr>
        <w:tblPrEx/>
        <w:trPr>
          <w:trHeight w:val="517"/>
        </w:trPr>
        <w:tc>
          <w:tcPr>
            <w:shd w:val="clear" w:color="000000" w:fill="ccffff"/>
            <w:tcW w:w="50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20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закупки (услуг)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Объекты закупки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Потребность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000000" w:fill="ccffff"/>
            <w:tcW w:w="368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за ед., руб.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 (на основе коммерческих предложений)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Коэфф. вариации в %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r>
              <w:rPr>
                <w:b w:val="0"/>
                <w:bCs w:val="0"/>
              </w:rPr>
            </w:r>
            <w:r/>
          </w:p>
        </w:tc>
        <w:tc>
          <w:tcPr>
            <w:shd w:val="clear" w:color="000000" w:fill="ccffff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Средняя цена,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  <w:p>
            <w:r>
              <w:rPr>
                <w:b w:val="0"/>
                <w:bCs w:val="0"/>
              </w:rPr>
            </w:r>
            <w:r/>
          </w:p>
        </w:tc>
        <w:tc>
          <w:tcPr>
            <w:shd w:val="clear" w:color="000000" w:fill="ccffff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Цена, выбранная заказчиком, руб.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16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60"/>
        </w:trPr>
        <w:tc>
          <w:tcPr>
            <w:tcW w:w="503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2015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 № 1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 № 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ccffff"/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 № 3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164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517"/>
        </w:trPr>
        <w:tc>
          <w:tcPr>
            <w:shd w:val="clear" w:color="auto" w:fill="auto"/>
            <w:tcW w:w="50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0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П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риобретение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Style w:val="842"/>
                <w:rFonts w:ascii="PT Astra Serif" w:hAnsi="PT Astra Serif" w:eastAsia="PT Astra Serif" w:cs="PT Astra Serif"/>
                <w:b w:val="0"/>
                <w:color w:val="000000" w:themeColor="text1"/>
                <w:sz w:val="20"/>
                <w:szCs w:val="20"/>
              </w:rPr>
              <w:t xml:space="preserve">вспомогательного технического средства, предназначенного для уничтожения носителей информации, содержащей сведения, составляющие государственную тайну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r>
              <w:rPr>
                <w:rFonts w:ascii="PT Astra Serif" w:hAnsi="PT Astra Serif" w:eastAsia="PT Astra Serif" w:cs="PT Astra Serif"/>
                <w:bCs/>
                <w:color w:val="000000" w:themeColor="text1"/>
                <w:sz w:val="20"/>
                <w:szCs w:val="20"/>
              </w:rPr>
              <w:t xml:space="preserve">Уничтожитель бумаги (шредер) повышенного уровня секретности (классов Р6-Р7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))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auto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1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218000,00</w:t>
            </w:r>
            <w:r>
              <w:rPr>
                <w:b w:val="0"/>
                <w:bCs w:val="0"/>
              </w:rPr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245000,00</w:t>
            </w:r>
            <w:r/>
          </w:p>
        </w:tc>
        <w:tc>
          <w:tcPr>
            <w:shd w:val="clear" w:color="auto" w:fill="auto"/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230000,00</w:t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5,86</w:t>
            </w:r>
            <w:r/>
          </w:p>
        </w:tc>
        <w:tc>
          <w:tcPr>
            <w:shd w:val="clear" w:color="auto" w:fill="auto"/>
            <w:tcW w:w="1276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231000,00</w:t>
            </w:r>
            <w:r/>
          </w:p>
        </w:tc>
        <w:tc>
          <w:tcPr>
            <w:shd w:val="clear" w:color="auto" w:fill="auto"/>
            <w:tcW w:w="1417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218000,00</w:t>
            </w:r>
            <w:r/>
          </w:p>
        </w:tc>
        <w:tc>
          <w:tcPr>
            <w:shd w:val="clear" w:color="auto" w:fill="auto"/>
            <w:tcW w:w="16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218000,00</w:t>
            </w:r>
            <w:r>
              <w:rPr>
                <w:b w:val="0"/>
                <w:bCs w:val="0"/>
              </w:rPr>
            </w:r>
            <w:r/>
          </w:p>
        </w:tc>
      </w:tr>
      <w:tr>
        <w:tblPrEx/>
        <w:trPr>
          <w:trHeight w:val="319"/>
        </w:trPr>
        <w:tc>
          <w:tcPr>
            <w:gridSpan w:val="10"/>
            <w:shd w:val="clear" w:color="auto" w:fill="auto"/>
            <w:tcW w:w="12155" w:type="dxa"/>
            <w:vAlign w:val="bottom"/>
            <w:textDirection w:val="lrTb"/>
            <w:noWrap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right w:val="single" w:color="000000" w:sz="4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 xml:space="preserve">Итого: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218000,00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Проведенные исследования позволяют определить начальную (максимальную) цену государственного контракта в размере 218 000 (двести восемнадцать тысяч ) рублей 00 копеек.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Начальник отдела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spacing w:after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по защите государственной тайны и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841"/>
        <w:ind w:left="4800" w:hanging="4800"/>
        <w:jc w:val="both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мобилизационной подготовки                                                                                                                                            </w:t>
      </w:r>
      <w:r>
        <w:rPr>
          <w:sz w:val="26"/>
          <w:szCs w:val="26"/>
          <w:highlight w:val="none"/>
        </w:rPr>
        <w:tab/>
        <w:t xml:space="preserve">М.А. Астахов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sectPr>
      <w:footnotePr/>
      <w:endnotePr/>
      <w:type w:val="nextPage"/>
      <w:pgSz w:w="16838" w:h="11906" w:orient="landscape"/>
      <w:pgMar w:top="709" w:right="1134" w:bottom="709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ambria Math">
    <w:panose1 w:val="02000603000000000000"/>
  </w:font>
  <w:font w:name="Times New Roman">
    <w:panose1 w:val="02020603050405020304"/>
  </w:font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9">
    <w:name w:val="Heading 2 Char"/>
    <w:basedOn w:val="835"/>
    <w:link w:val="658"/>
    <w:uiPriority w:val="9"/>
    <w:rPr>
      <w:rFonts w:ascii="Liberation Sans" w:hAnsi="Liberation Sans" w:eastAsia="Liberation Sans" w:cs="Liberation Sans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5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>
    <w:name w:val="Intense Emphasis"/>
    <w:basedOn w:val="835"/>
    <w:uiPriority w:val="21"/>
    <w:rPr>
      <w:i/>
      <w:iCs/>
      <w:color w:val="5b9bd5" w:themeColor="accent1"/>
    </w:rPr>
  </w:style>
  <w:style w:type="paragraph" w:styleId="839">
    <w:name w:val="Balloon Text"/>
    <w:basedOn w:val="834"/>
    <w:link w:val="84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0" w:customStyle="1">
    <w:name w:val="Текст выноски Знак"/>
    <w:basedOn w:val="835"/>
    <w:link w:val="839"/>
    <w:uiPriority w:val="99"/>
    <w:semiHidden/>
    <w:rPr>
      <w:rFonts w:ascii="Tahoma" w:hAnsi="Tahoma" w:cs="Tahoma"/>
      <w:sz w:val="16"/>
      <w:szCs w:val="16"/>
    </w:rPr>
  </w:style>
  <w:style w:type="paragraph" w:styleId="841" w:customStyle="1">
    <w:name w:val="Left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2" w:customStyle="1">
    <w:name w:val="Font Style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843" w:customStyle="1">
    <w:name w:val="Strong"/>
    <w:uiPriority w:val="22"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*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u1237</cp:lastModifiedBy>
  <cp:revision>13</cp:revision>
  <dcterms:created xsi:type="dcterms:W3CDTF">2026-02-24T16:47:00Z</dcterms:created>
  <dcterms:modified xsi:type="dcterms:W3CDTF">2026-07-20T11:54:04Z</dcterms:modified>
</cp:coreProperties>
</file>