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Приложение №1 к Договору</w:t>
      </w:r>
    </w:p>
    <w:p>
      <w:pPr>
        <w:pStyle w:val="Normal"/>
        <w:spacing w:lineRule="auto" w:line="240"/>
        <w:jc w:val="end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>от ______________ № _______________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Спецификация услуг по размещению таргетированной рекламы в сети Интернет (Яндекс.Директ) в целях информирования о мероприятиях для работодателей и экспертного сообщества по вопросам развития рынка труда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99"/>
        <w:gridCol w:w="3501"/>
        <w:gridCol w:w="1800"/>
        <w:gridCol w:w="1700"/>
        <w:gridCol w:w="1860"/>
      </w:tblGrid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№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Услуги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Кол-во, усл.ед.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Цена за ед., руб.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Стоимость, руб.</w:t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Показы рекламных материалов в системе Яндекс.Директ в целях информирования о мероприятиях для работодателей и экспертного сообщества по вопросам развития рынка труда.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4 879 411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/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4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–</w:t>
            </w:r>
          </w:p>
        </w:tc>
        <w:tc>
          <w:tcPr>
            <w:tcW w:w="35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Итого:</w:t>
            </w:r>
          </w:p>
        </w:tc>
        <w:tc>
          <w:tcPr>
            <w:tcW w:w="1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4 879 411</w:t>
            </w:r>
          </w:p>
        </w:tc>
        <w:tc>
          <w:tcPr>
            <w:tcW w:w="1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–</w:t>
            </w:r>
          </w:p>
        </w:tc>
        <w:tc>
          <w:tcPr>
            <w:tcW w:w="18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Целевая аудитория рекламных кампаний в рамках настоящего Договора: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Целевая аудитория: работодатели и экспертное сообщество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руководители организаций и предприятий всех форм собственности;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HR-специалисты и директора по персоналу;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представители профессиональных союзов;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объединения работодателей;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эксперты в области рынка труда, кадровой политики, образования и профориентации;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представители органов государственной власти и местного самоуправления, курирующие вопросы занятости и трудовых отношений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проведения рекламных кампаний: октябрь – ноябрь 2026 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Услуга включает в себя:</w:t>
      </w:r>
    </w:p>
    <w:p>
      <w:pPr>
        <w:pStyle w:val="Normal"/>
        <w:spacing w:lineRule="auto" w:line="240" w:before="0" w:after="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1.2.1. Подготовительный этап (в течение 14 рабочих дней с даты заключения Договора):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анализ тематики мероприятий, конкурентной среды и целевых аудиторий;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определение географии показов на основании информации, предоставленной Заказчиком;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разработка медиаплана с прогнозируемыми показателями числа показов и направление его на согласование Заказчику;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подготовка рекламных материалов (тексты объявлений, заголовки, описания, изображения) и направление их на согласование Заказчику;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настройка рекламных кабинетов и предоставление Заказчику доступа не позднее 7 рабочих дней с даты заключения Договора.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1.2.2. Настройка и запуск рекламных кампаний: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настройка таргетинга: географического (по географии мероприятий Заказчика), социально-демографического, временного, тематического и поведенческого в РСЯ;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использование форматов: графические объявления (РСЯ), смарт-баннеры, медийные баннеры, иные форматы Яндекс.Директ по согласованию с Заказчиком;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распределение рекламного бюджета между кампаниями в соответствии с медиапланом; изменение бюджета более чем на 10 % по отдельной кампании — только по согласованию с Заказчиком.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1.2.3. Ведение и оптимизация рекламных кампаний в течение всего срока оказания услуг: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мониторинг статуса кампаний, расхода бюджета и достижения основного KPI;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оптимизация текстов, изображений и таргетинговых настроек;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корректировка ставок, аудиторий и расписания показов;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оперативное (не позднее следующего рабочего дня) устранение технических неполадок с уведомлением Заказчика.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1.2.4. Маркировка рекламы: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регистрация рекламных материалов в системе учёта рекламы (ЕРИР через ОРД);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присвоение каждому рекламному объявлению токена (erid) и его размещение в соответствии с требованиями законодательства;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формирование и передача в ОРД отчётов о размещении рекламы в установленные сроки;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1.2.5. Отчётность: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предоставление актов сдачи-приёмки услуг и отчётов об оказанных услугах после проведения рекламной кампании;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предоставление итогового отчёта не позднее 3 рабочих дней после окончания срока Договора; отчёт включает полную статистику по всем кампаниям (показы, охват, клики, расход бюджета) с выгрузкой из кабинета Яндекс.Директ, итоговые значения основного KPI, скриншоты объявлений и документы об исполнении требований о маркировке;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– </w:t>
      </w:r>
      <w:r>
        <w:rPr>
          <w:rFonts w:cs="Times New Roman" w:ascii="Times New Roman" w:hAnsi="Times New Roman"/>
        </w:rPr>
        <w:t>предоставление текущей статистики из рекламного кабинета по запросу Заказчика в течение 1 рабочего дня.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1.2.6. Согласование организуется путём электронной переписки между электронным ящиком Заказчика org_otdel@vcot.info и электронным ящиком Исполнителя, а также посредством мессенджера (MAX) в рабочем чате, создаваемом Исполнителем в течение 7 рабочих дней с даты заключения Договора.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Ключевые показатели эффективности (KPI) оказываемых услуг:</w:t>
      </w:r>
    </w:p>
    <w:tbl>
      <w:tblPr>
        <w:tblW w:w="9360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82"/>
        <w:gridCol w:w="3167"/>
        <w:gridCol w:w="2182"/>
        <w:gridCol w:w="3529"/>
      </w:tblGrid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№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Плановое значение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5E8F0" w:val="clear"/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Примечание</w:t>
            </w:r>
          </w:p>
        </w:tc>
      </w:tr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рекламных кампаний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5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Общее количество показов рекламных объявлений (основной KPI)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4 879 411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Суммарно за весь период</w:t>
            </w:r>
          </w:p>
        </w:tc>
      </w:tr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кликов по объявлениям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195 176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Дополнительный показатель вовлечённости</w:t>
            </w:r>
          </w:p>
        </w:tc>
      </w:tr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цена за тысячу показов (CPM), руб.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95 руб.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Контроль эффективности бюджета</w:t>
            </w:r>
          </w:p>
        </w:tc>
      </w:tr>
      <w:tr>
        <w:trPr/>
        <w:tc>
          <w:tcPr>
            <w:tcW w:w="4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цена клика (CPC), руб.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более 2 руб.</w:t>
            </w:r>
          </w:p>
        </w:tc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auto" w:line="240" w:before="0" w:after="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Дополнительный показатель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Этапность оказания услуг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Услуги оказываются поэтапно. По окончании каждого этапа Исполнитель представляет акт сдачи-приёмки и промежуточный отчёт; по завершении Этапа 2 — дополнительно итоговый отчёт.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c"/>
        <w:tblW w:w="93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322"/>
        <w:gridCol w:w="2706"/>
        <w:gridCol w:w="5354"/>
      </w:tblGrid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этапа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Период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Содержание работ</w:t>
            </w:r>
          </w:p>
        </w:tc>
      </w:tr>
      <w:tr>
        <w:trPr>
          <w:trHeight w:val="999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1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 даты заключения Контракта по 30 июня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Выполнение подготовительного этапа; настройка рекламных кампаний</w:t>
            </w:r>
          </w:p>
        </w:tc>
      </w:tr>
      <w:tr>
        <w:trPr>
          <w:trHeight w:val="553" w:hRule="atLeast"/>
        </w:trPr>
        <w:tc>
          <w:tcPr>
            <w:tcW w:w="132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Этап 2</w:t>
            </w:r>
          </w:p>
        </w:tc>
        <w:tc>
          <w:tcPr>
            <w:tcW w:w="2706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июля — 30 ноября 2026 г.</w:t>
            </w:r>
          </w:p>
        </w:tc>
        <w:tc>
          <w:tcPr>
            <w:tcW w:w="535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Ведение рекламных кампаний; маркировка рекламы 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Распределение объёма показов и бюджета по этапам согласовывается Сторонами в составе медиаплана.</w:t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40" w:right="824" w:gutter="0" w:header="0" w:top="992" w:footer="0" w:bottom="144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0c1fda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c1fda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c1fda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c1fda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c1fda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c1fda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c1fda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c1fda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c1fda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c1fda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0c1fda"/>
    <w:rPr>
      <w:rFonts w:eastAsia="等线 Light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0c1fda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c1fda"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c1f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c1fda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c1f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c1fda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0c1fda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0c1fda"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c1fd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c1fda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c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a006d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LibreOffice/26.2.3.2$Windows_X86_64 LibreOffice_project/70e089b17412e4cb7773e41413306b17a2328c34</Application>
  <AppVersion>15.0000</AppVersion>
  <Pages>3</Pages>
  <Words>605</Words>
  <Characters>4215</Characters>
  <CharactersWithSpaces>4766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2026-05-08T10:38:00Z</dcterms:created>
  <dc:creator>IV SHRNV</dc:creator>
  <dc:description/>
  <dc:language>ru-RU</dc:language>
  <cp:lastModifiedBy/>
  <dcterms:modified xsi:type="dcterms:W3CDTF">2026-05-22T16:44:28Z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