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8"/>
        <w:jc w:val="center"/>
        <w:rPr>
          <w:rFonts w:ascii="Times New Roman" w:hAnsi="Times New Roman"/>
          <w:b/>
          <w:sz w:val="20"/>
          <w:szCs w:val="20"/>
        </w:rPr>
        <w:outlineLvl w:val="0"/>
      </w:pPr>
      <w:r>
        <w:rPr>
          <w:rFonts w:ascii="Times New Roman" w:hAnsi="Times New Roman"/>
          <w:b/>
          <w:sz w:val="20"/>
          <w:szCs w:val="20"/>
        </w:rPr>
      </w:r>
      <w:r>
        <w:rPr>
          <w:rFonts w:ascii="Times New Roman" w:hAnsi="Times New Roman"/>
          <w:b/>
          <w:sz w:val="20"/>
          <w:szCs w:val="20"/>
        </w:rPr>
      </w:r>
      <w:r>
        <w:rPr>
          <w:rFonts w:ascii="Times New Roman" w:hAnsi="Times New Roman"/>
          <w:b/>
          <w:sz w:val="20"/>
          <w:szCs w:val="20"/>
        </w:rPr>
      </w:r>
    </w:p>
    <w:p>
      <w:pPr>
        <w:pStyle w:val="858"/>
        <w:jc w:val="center"/>
        <w:spacing w:after="0" w:line="240" w:lineRule="auto"/>
        <w:rPr>
          <w:rFonts w:ascii="Times New Roman" w:hAnsi="Times New Roman"/>
          <w:b/>
          <w:bCs/>
          <w:color w:val="000000"/>
          <w:spacing w:val="-1"/>
          <w:sz w:val="28"/>
          <w:szCs w:val="28"/>
          <w:highlight w:val="none"/>
          <w:lang w:eastAsia="ru-RU"/>
        </w:rPr>
      </w:pP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  <w:t xml:space="preserve">ОБОСНОВАНИЕ НАЧАЛЬНОЙ (МАКСИМАЛЬНОЙ) ЦЕНЫ </w:t>
      </w: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  <w:t xml:space="preserve">КО</w:t>
      </w: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  <w:t xml:space="preserve">Н</w:t>
      </w: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  <w:t xml:space="preserve">ТРАКТА</w:t>
      </w:r>
      <w:r>
        <w:rPr>
          <w:rFonts w:ascii="Times New Roman" w:hAnsi="Times New Roman"/>
          <w:b/>
          <w:bCs/>
          <w:color w:val="000000"/>
          <w:spacing w:val="-1"/>
          <w:sz w:val="28"/>
          <w:szCs w:val="28"/>
          <w:highlight w:val="none"/>
          <w:lang w:eastAsia="ru-RU"/>
        </w:rPr>
      </w:r>
      <w:r>
        <w:rPr>
          <w:rFonts w:ascii="Times New Roman" w:hAnsi="Times New Roman"/>
          <w:b/>
          <w:bCs/>
          <w:color w:val="000000"/>
          <w:spacing w:val="-1"/>
          <w:sz w:val="28"/>
          <w:szCs w:val="28"/>
          <w:highlight w:val="none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color w:val="00b0f0"/>
          <w:spacing w:val="-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b0f0"/>
          <w:spacing w:val="-1"/>
          <w:sz w:val="28"/>
          <w:szCs w:val="28"/>
          <w:highlight w:val="none"/>
          <w:lang w:eastAsia="ru-RU"/>
        </w:rPr>
        <w:t xml:space="preserve">Поставка комплектов портативных раций</w:t>
      </w:r>
      <w:r>
        <w:rPr>
          <w:rFonts w:ascii="Times New Roman" w:hAnsi="Times New Roman" w:cs="Times New Roman"/>
          <w:b/>
          <w:bCs/>
          <w:color w:val="00b0f0"/>
          <w:spacing w:val="-1"/>
          <w:sz w:val="28"/>
          <w:szCs w:val="28"/>
          <w:highlight w:val="none"/>
        </w:rPr>
      </w:r>
    </w:p>
    <w:p>
      <w:pPr>
        <w:pStyle w:val="858"/>
        <w:ind w:right="-426"/>
        <w:jc w:val="center"/>
        <w:spacing w:after="0" w:line="240" w:lineRule="auto"/>
        <w:rPr>
          <w:rFonts w:ascii="Times New Roman" w:hAnsi="Times New Roman"/>
          <w:i/>
          <w:iCs/>
          <w:sz w:val="20"/>
          <w:szCs w:val="20"/>
          <w:lang w:eastAsia="ru-RU"/>
        </w:rPr>
        <w:pBdr>
          <w:top w:val="single" w:color="000000" w:sz="4" w:space="0"/>
        </w:pBdr>
      </w:pPr>
      <w:r>
        <w:rPr>
          <w:rFonts w:ascii="Times New Roman" w:hAnsi="Times New Roman"/>
          <w:i/>
          <w:iCs/>
          <w:sz w:val="20"/>
          <w:szCs w:val="20"/>
          <w:lang w:eastAsia="ru-RU"/>
        </w:rPr>
      </w:r>
      <w:r>
        <w:rPr>
          <w:rFonts w:ascii="Times New Roman" w:hAnsi="Times New Roman"/>
          <w:i/>
          <w:iCs/>
          <w:sz w:val="20"/>
          <w:szCs w:val="20"/>
          <w:lang w:eastAsia="ru-RU"/>
        </w:rPr>
        <w:t xml:space="preserve"> (указывается предмет контракта)</w:t>
      </w:r>
      <w:r>
        <w:rPr>
          <w:rFonts w:ascii="Times New Roman" w:hAnsi="Times New Roman"/>
          <w:i/>
          <w:iCs/>
          <w:sz w:val="20"/>
          <w:szCs w:val="20"/>
          <w:lang w:eastAsia="ru-RU"/>
        </w:rPr>
      </w:r>
      <w:r>
        <w:rPr>
          <w:rFonts w:ascii="Times New Roman" w:hAnsi="Times New Roman"/>
          <w:i/>
          <w:iCs/>
          <w:sz w:val="20"/>
          <w:szCs w:val="20"/>
          <w:lang w:eastAsia="ru-RU"/>
        </w:rPr>
      </w:r>
    </w:p>
    <w:p>
      <w:pPr>
        <w:pStyle w:val="858"/>
        <w:ind w:right="-426"/>
        <w:jc w:val="center"/>
        <w:spacing w:after="0" w:line="240" w:lineRule="auto"/>
        <w:rPr>
          <w:rFonts w:ascii="Times New Roman" w:hAnsi="Times New Roman"/>
          <w:i/>
          <w:iCs/>
          <w:sz w:val="20"/>
          <w:szCs w:val="20"/>
          <w:lang w:eastAsia="ru-RU"/>
        </w:rPr>
        <w:pBdr>
          <w:top w:val="single" w:color="000000" w:sz="4" w:space="0"/>
        </w:pBdr>
      </w:pPr>
      <w:r>
        <w:rPr>
          <w:rFonts w:ascii="Times New Roman" w:hAnsi="Times New Roman"/>
          <w:i/>
          <w:iCs/>
          <w:sz w:val="20"/>
          <w:szCs w:val="20"/>
          <w:lang w:eastAsia="ru-RU"/>
        </w:rPr>
      </w:r>
      <w:r>
        <w:rPr>
          <w:rFonts w:ascii="Times New Roman" w:hAnsi="Times New Roman"/>
          <w:i/>
          <w:iCs/>
          <w:sz w:val="20"/>
          <w:szCs w:val="20"/>
          <w:lang w:eastAsia="ru-RU"/>
        </w:rPr>
      </w:r>
      <w:r>
        <w:rPr>
          <w:rFonts w:ascii="Times New Roman" w:hAnsi="Times New Roman"/>
          <w:i/>
          <w:iCs/>
          <w:sz w:val="20"/>
          <w:szCs w:val="20"/>
          <w:lang w:eastAsia="ru-RU"/>
        </w:rPr>
      </w:r>
    </w:p>
    <w:p>
      <w:pPr>
        <w:pStyle w:val="858"/>
        <w:ind w:right="-426"/>
        <w:spacing w:after="0" w:line="240" w:lineRule="auto"/>
        <w:rPr>
          <w:rFonts w:ascii="Times New Roman" w:hAnsi="Times New Roman"/>
          <w:i/>
          <w:iCs/>
          <w:sz w:val="20"/>
          <w:szCs w:val="20"/>
          <w:lang w:eastAsia="ru-RU"/>
        </w:rPr>
        <w:pBdr>
          <w:top w:val="single" w:color="000000" w:sz="4" w:space="0"/>
        </w:pBdr>
      </w:pPr>
      <w:r>
        <w:rPr>
          <w:rFonts w:ascii="Times New Roman" w:hAnsi="Times New Roman"/>
          <w:i/>
          <w:iCs/>
          <w:sz w:val="20"/>
          <w:szCs w:val="20"/>
          <w:lang w:eastAsia="ru-RU"/>
        </w:rPr>
      </w:r>
      <w:r>
        <w:rPr>
          <w:rFonts w:ascii="Times New Roman" w:hAnsi="Times New Roman"/>
          <w:i/>
          <w:iCs/>
          <w:sz w:val="20"/>
          <w:szCs w:val="20"/>
          <w:lang w:eastAsia="ru-RU"/>
        </w:rPr>
      </w:r>
      <w:r>
        <w:rPr>
          <w:rFonts w:ascii="Times New Roman" w:hAnsi="Times New Roman"/>
          <w:i/>
          <w:iCs/>
          <w:sz w:val="20"/>
          <w:szCs w:val="20"/>
          <w:lang w:eastAsia="ru-RU"/>
        </w:rPr>
      </w:r>
    </w:p>
    <w:tbl>
      <w:tblPr>
        <w:tblpPr w:horzAnchor="margin" w:tblpXSpec="center" w:vertAnchor="text" w:tblpY="459" w:leftFromText="180" w:topFromText="0" w:rightFromText="180" w:bottomFromText="0"/>
        <w:tblW w:w="1009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3770"/>
        <w:gridCol w:w="63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4"/>
        </w:trPr>
        <w:tc>
          <w:tcPr>
            <w:tcW w:w="3770" w:type="dxa"/>
            <w:vAlign w:val="top"/>
            <w:textDirection w:val="lrTb"/>
            <w:noWrap w:val="false"/>
          </w:tcPr>
          <w:p>
            <w:pPr>
              <w:pStyle w:val="858"/>
              <w:ind w:firstLine="284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framePr w:hSpace="180" w:wrap="around" w:vAnchor="text" w:hAnchor="margin" w:xAlign="center" w:y="459"/>
            </w:pP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Используемый метод определения НМЦК с обосн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о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ванием: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r>
          </w:p>
        </w:tc>
        <w:tc>
          <w:tcPr>
            <w:tcW w:w="6323" w:type="dxa"/>
            <w:vAlign w:val="top"/>
            <w:textDirection w:val="lrTb"/>
            <w:noWrap w:val="false"/>
          </w:tcPr>
          <w:p>
            <w:pPr>
              <w:pStyle w:val="858"/>
              <w:ind w:firstLine="284"/>
              <w:jc w:val="both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framePr w:hSpace="180" w:wrap="around" w:vAnchor="text" w:hAnchor="margin" w:xAlign="center" w:y="459"/>
            </w:pP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Метод сопоставимых рыночных цен (анализа рынка) 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5"/>
        </w:trPr>
        <w:tc>
          <w:tcPr>
            <w:tcW w:w="3770" w:type="dxa"/>
            <w:vAlign w:val="top"/>
            <w:textDirection w:val="lrTb"/>
            <w:noWrap w:val="false"/>
          </w:tcPr>
          <w:p>
            <w:pPr>
              <w:pStyle w:val="858"/>
              <w:ind w:firstLine="284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framePr w:hSpace="180" w:wrap="around" w:vAnchor="text" w:hAnchor="margin" w:xAlign="center" w:y="459"/>
            </w:pP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Расчет НМЦК: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r>
          </w:p>
        </w:tc>
        <w:tc>
          <w:tcPr>
            <w:tcW w:w="6323" w:type="dxa"/>
            <w:vAlign w:val="top"/>
            <w:textDirection w:val="lrTb"/>
            <w:noWrap w:val="false"/>
          </w:tcPr>
          <w:p>
            <w:pPr>
              <w:pStyle w:val="858"/>
              <w:ind w:firstLine="284"/>
              <w:jc w:val="both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framePr w:hSpace="180" w:wrap="around" w:vAnchor="text" w:hAnchor="margin" w:xAlign="center" w:y="459"/>
            </w:pP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31 100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рублей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00 копеек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r>
          </w:p>
          <w:p>
            <w:pPr>
              <w:pStyle w:val="858"/>
              <w:jc w:val="both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  <w:framePr w:hSpace="180" w:wrap="around" w:vAnchor="text" w:hAnchor="margin" w:xAlign="center" w:y="459"/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179"/>
        </w:trPr>
        <w:tc>
          <w:tcPr>
            <w:tcW w:w="3770" w:type="dxa"/>
            <w:vAlign w:val="top"/>
            <w:textDirection w:val="lrTb"/>
            <w:noWrap w:val="false"/>
          </w:tcPr>
          <w:p>
            <w:pPr>
              <w:pStyle w:val="858"/>
              <w:ind w:firstLine="284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framePr w:hSpace="180" w:wrap="around" w:vAnchor="text" w:hAnchor="margin" w:xAlign="center" w:y="459"/>
            </w:pP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Дата подготовки обосн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о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вания НМЦК: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r>
          </w:p>
        </w:tc>
        <w:tc>
          <w:tcPr>
            <w:tcW w:w="6323" w:type="dxa"/>
            <w:vAlign w:val="top"/>
            <w:textDirection w:val="lrTb"/>
            <w:noWrap w:val="false"/>
          </w:tcPr>
          <w:p>
            <w:pPr>
              <w:pStyle w:val="858"/>
              <w:ind w:firstLine="284"/>
              <w:jc w:val="both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  <w:framePr w:hSpace="180" w:wrap="around" w:vAnchor="text" w:hAnchor="margin" w:xAlign="center" w:y="459"/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31.08.2026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</w:r>
      <w:r>
        <w:rPr>
          <w:rFonts w:ascii="Times New Roman" w:hAnsi="Times New Roman"/>
          <w:sz w:val="20"/>
          <w:szCs w:val="20"/>
          <w:lang w:eastAsia="ru-RU"/>
        </w:rPr>
      </w:r>
      <w:r>
        <w:rPr>
          <w:rFonts w:ascii="Times New Roman" w:hAnsi="Times New Roman"/>
          <w:sz w:val="20"/>
          <w:szCs w:val="20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highlight w:val="none"/>
          <w:lang w:eastAsia="ru-RU"/>
        </w:rPr>
      </w:r>
      <w:r>
        <w:rPr>
          <w:rFonts w:ascii="Times New Roman" w:hAnsi="Times New Roman"/>
          <w:sz w:val="20"/>
          <w:szCs w:val="20"/>
          <w:lang w:eastAsia="ru-RU"/>
        </w:rPr>
      </w:r>
      <w:r>
        <w:rPr>
          <w:rFonts w:ascii="Times New Roman" w:hAnsi="Times New Roman"/>
          <w:sz w:val="20"/>
          <w:szCs w:val="20"/>
          <w:lang w:eastAsia="ru-RU"/>
        </w:rPr>
      </w:r>
    </w:p>
    <w:tbl>
      <w:tblPr>
        <w:tblW w:w="10207" w:type="dxa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8"/>
        <w:gridCol w:w="1985"/>
        <w:gridCol w:w="708"/>
        <w:gridCol w:w="567"/>
        <w:gridCol w:w="1134"/>
        <w:gridCol w:w="1133"/>
        <w:gridCol w:w="1135"/>
        <w:gridCol w:w="993"/>
        <w:gridCol w:w="19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35"/>
        </w:trPr>
        <w:tc>
          <w:tcPr>
            <w:tcW w:w="568" w:type="dxa"/>
            <w:vAlign w:val="top"/>
            <w:vMerge w:val="restart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№ п/п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1985" w:type="dxa"/>
            <w:vAlign w:val="top"/>
            <w:vMerge w:val="restart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Наименование товара (работ, услуг)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top"/>
            <w:vMerge w:val="restart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Ед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ница измерения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top"/>
            <w:vMerge w:val="restart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gridSpan w:val="3"/>
            <w:tcW w:w="3402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Источник информации и цена за единицу (с учётом НДС), рублей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993" w:type="dxa"/>
            <w:vAlign w:val="top"/>
            <w:vMerge w:val="restart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Средняя  цена единицы товара (работы, услуги), рублей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984" w:type="dxa"/>
            <w:vAlign w:val="top"/>
            <w:vMerge w:val="restart"/>
            <w:textDirection w:val="lrTb"/>
            <w:noWrap/>
          </w:tcPr>
          <w:tbl>
            <w:tblPr>
              <w:tblpPr w:horzAnchor="margin" w:tblpXSpec="left" w:vertAnchor="text" w:tblpY="-216" w:leftFromText="180" w:topFromText="0" w:rightFromText="180" w:bottomFromText="0"/>
              <w:tblW w:w="1441" w:type="dxa"/>
              <w:tblCellSpacing w:w="0" w:type="dxa"/>
              <w:tblInd w:w="0" w:type="dxa"/>
              <w:tblLayout w:type="fixed"/>
              <w:tblCellMar>
                <w:left w:w="0" w:type="dxa"/>
                <w:top w:w="0" w:type="dxa"/>
                <w:right w:w="0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1441"/>
            </w:tblGrid>
            <w:tr>
              <w:tblPrEx/>
              <w:trPr>
                <w:tblCellSpacing w:w="0" w:type="dxa"/>
                <w:trHeight w:val="31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W w:w="1441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pStyle w:val="858"/>
                    <w:jc w:val="center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НМЦК (с учётом НДС), рублей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858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Style w:val="858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      <wp:simplePos x="0" y="0"/>
                      <wp:positionH relativeFrom="column">
                        <wp:posOffset>195580</wp:posOffset>
                      </wp:positionH>
                      <wp:positionV relativeFrom="paragraph">
                        <wp:posOffset>60960</wp:posOffset>
                      </wp:positionV>
                      <wp:extent cx="897890" cy="635635"/>
                      <wp:effectExtent l="0" t="0" r="0" b="0"/>
                      <wp:wrapNone/>
                      <wp:docPr id="1" name="_x0000_s1039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97890" cy="635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position:absolute;z-index:524288;o:allowoverlap:true;o:allowincell:true;mso-position-horizontal-relative:text;margin-left:15.40pt;mso-position-horizontal:absolute;mso-position-vertical-relative:text;margin-top:4.80pt;mso-position-vertical:absolute;width:70.70pt;height:50.05pt;mso-wrap-distance-left:9.00pt;mso-wrap-distance-top:0.00pt;mso-wrap-distance-right:9.00pt;mso-wrap-distance-bottom:0.00pt;z-index:1;" stroked="f">
                      <v:imagedata r:id="rId9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64"/>
        </w:trPr>
        <w:tc>
          <w:tcPr>
            <w:tcW w:w="568" w:type="dxa"/>
            <w:vAlign w:val="top"/>
            <w:vMerge w:val="continue"/>
            <w:textDirection w:val="lrTb"/>
            <w:noWrap w:val="false"/>
          </w:tcPr>
          <w:p>
            <w:pPr>
              <w:pStyle w:val="858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1985" w:type="dxa"/>
            <w:vAlign w:val="top"/>
            <w:vMerge w:val="continue"/>
            <w:textDirection w:val="lrTb"/>
            <w:noWrap w:val="false"/>
          </w:tcPr>
          <w:p>
            <w:pPr>
              <w:pStyle w:val="858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708" w:type="dxa"/>
            <w:vAlign w:val="top"/>
            <w:vMerge w:val="continue"/>
            <w:textDirection w:val="lrTb"/>
            <w:noWrap w:val="false"/>
          </w:tcPr>
          <w:p>
            <w:pPr>
              <w:pStyle w:val="858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567" w:type="dxa"/>
            <w:vAlign w:val="top"/>
            <w:vMerge w:val="continue"/>
            <w:textDirection w:val="lrTb"/>
            <w:noWrap w:val="false"/>
          </w:tcPr>
          <w:p>
            <w:pPr>
              <w:pStyle w:val="858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Источник 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Источник2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5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Источник 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3" w:type="dxa"/>
            <w:vAlign w:val="top"/>
            <w:vMerge w:val="continue"/>
            <w:textDirection w:val="lrTb"/>
            <w:noWrap w:val="false"/>
          </w:tcPr>
          <w:p>
            <w:pPr>
              <w:pStyle w:val="858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1984" w:type="dxa"/>
            <w:vAlign w:val="top"/>
            <w:vMerge w:val="continue"/>
            <w:textDirection w:val="lrTb"/>
            <w:noWrap w:val="false"/>
          </w:tcPr>
          <w:p>
            <w:pPr>
              <w:pStyle w:val="858"/>
              <w:spacing w:after="0" w:line="240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/>
        </w:trPr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Поставка комплектов портативных раций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708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6220,00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6220,00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5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6220,00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6220,00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31 100,00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5"/>
        </w:trPr>
        <w:tc>
          <w:tcPr>
            <w:gridSpan w:val="4"/>
            <w:tcW w:w="3828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НМЦК, рублей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5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31 100,00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pPr>
        <w:pStyle w:val="858"/>
        <w:ind w:right="-426"/>
        <w:jc w:val="left"/>
        <w:spacing w:after="0" w:line="240" w:lineRule="auto"/>
        <w:rPr>
          <w:rFonts w:ascii="Times New Roman" w:hAnsi="Times New Roman"/>
          <w:b/>
          <w:color w:val="548dd4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t xml:space="preserve">Коэффициент вариации цены на Товар </w:t>
      </w:r>
      <w:r>
        <w:rPr>
          <w:rFonts w:ascii="Times New Roman" w:hAnsi="Times New Roman" w:eastAsia="Times New Roman" w:cs="Times New Roman"/>
          <w:bCs/>
          <w:color w:val="0070c0"/>
          <w:sz w:val="20"/>
          <w:szCs w:val="20"/>
          <w:lang w:eastAsia="ru-RU"/>
        </w:rPr>
        <w:t xml:space="preserve"> не превышает 33%, 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поэтому в соответствии с пунктом 3.20.2 Рекомендаций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, совокупность значений, используемых в расчете, считается одноро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д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ной.</w:t>
      </w:r>
      <w:r>
        <w:rPr>
          <w:rFonts w:ascii="Times New Roman" w:hAnsi="Times New Roman"/>
          <w:b/>
          <w:color w:val="548dd4"/>
          <w:sz w:val="24"/>
          <w:szCs w:val="24"/>
          <w:lang w:eastAsia="ru-RU"/>
        </w:rPr>
      </w:r>
      <w:r>
        <w:rPr>
          <w:rFonts w:ascii="Times New Roman" w:hAnsi="Times New Roman"/>
          <w:b/>
          <w:color w:val="548dd4"/>
          <w:sz w:val="24"/>
          <w:szCs w:val="24"/>
          <w:lang w:eastAsia="ru-RU"/>
        </w:rPr>
      </w:r>
    </w:p>
    <w:p>
      <w:pPr>
        <w:pStyle w:val="858"/>
        <w:ind w:firstLine="709"/>
        <w:jc w:val="both"/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t xml:space="preserve">С учетом предельных объемов бюджетных ассигнований на реализацию данного мероприятия, 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НМЦК устанавливается равной 31 100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рубл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ей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00 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копе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ек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.</w:t>
      </w:r>
      <w:r>
        <w:rPr>
          <w:rFonts w:ascii="Times New Roman" w:hAnsi="Times New Roman"/>
          <w:bCs/>
          <w:sz w:val="20"/>
          <w:szCs w:val="20"/>
          <w:lang w:eastAsia="ru-RU"/>
        </w:rPr>
      </w:r>
      <w:r>
        <w:rPr>
          <w:rFonts w:ascii="Times New Roman" w:hAnsi="Times New Roman"/>
          <w:bCs/>
          <w:sz w:val="20"/>
          <w:szCs w:val="20"/>
          <w:lang w:eastAsia="ru-RU"/>
        </w:rPr>
      </w:r>
    </w:p>
    <w:p>
      <w:pPr>
        <w:pStyle w:val="858"/>
        <w:ind w:firstLine="720"/>
        <w:jc w:val="both"/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t xml:space="preserve">НМЦК включает все расходы, которые может понести Поставщик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при осуществлении им своих обязательств в полном объеме и надлежащего качества, в том числе все подлежащие уплате налоги, сборы и другие обязательные платежи, а также иные расходы, связанные исполнением гос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у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дарственного контракта.</w:t>
      </w:r>
      <w:r>
        <w:rPr>
          <w:rFonts w:ascii="Times New Roman" w:hAnsi="Times New Roman"/>
          <w:bCs/>
          <w:sz w:val="20"/>
          <w:szCs w:val="20"/>
          <w:lang w:eastAsia="ru-RU"/>
        </w:rPr>
      </w:r>
      <w:r>
        <w:rPr>
          <w:rFonts w:ascii="Times New Roman" w:hAnsi="Times New Roman"/>
          <w:bCs/>
          <w:sz w:val="20"/>
          <w:szCs w:val="20"/>
          <w:lang w:eastAsia="ru-RU"/>
        </w:rPr>
      </w:r>
    </w:p>
    <w:p>
      <w:pPr>
        <w:pStyle w:val="858"/>
        <w:ind w:right="-426"/>
        <w:spacing w:after="0" w:line="240" w:lineRule="auto"/>
        <w:rPr>
          <w:rFonts w:ascii="Times New Roman" w:hAnsi="Times New Roman"/>
          <w:sz w:val="20"/>
          <w:szCs w:val="20"/>
        </w:rPr>
        <w:pBdr>
          <w:top w:val="single" w:color="000000" w:sz="4" w:space="0"/>
        </w:pBdr>
      </w:pPr>
      <w:r>
        <w:rPr>
          <w:rFonts w:ascii="Times New Roman" w:hAnsi="Times New Roman"/>
          <w:sz w:val="20"/>
          <w:szCs w:val="20"/>
          <w:lang w:eastAsia="ru-RU"/>
        </w:rPr>
        <w:t xml:space="preserve">Сотрудник</w:t>
      </w:r>
      <w:r>
        <w:rPr>
          <w:rFonts w:ascii="Times New Roman" w:hAnsi="Times New Roman"/>
          <w:sz w:val="20"/>
          <w:szCs w:val="20"/>
          <w:lang w:eastAsia="ru-RU"/>
        </w:rPr>
        <w:t xml:space="preserve"> к</w:t>
      </w:r>
      <w:r>
        <w:rPr>
          <w:rFonts w:ascii="Times New Roman" w:hAnsi="Times New Roman"/>
          <w:sz w:val="20"/>
          <w:szCs w:val="20"/>
          <w:lang w:eastAsia="ru-RU"/>
        </w:rPr>
        <w:t xml:space="preserve">онтрактн</w:t>
      </w:r>
      <w:r>
        <w:rPr>
          <w:rFonts w:ascii="Times New Roman" w:hAnsi="Times New Roman"/>
          <w:sz w:val="20"/>
          <w:szCs w:val="20"/>
          <w:lang w:eastAsia="ru-RU"/>
        </w:rPr>
        <w:t xml:space="preserve">ой службы</w:t>
      </w:r>
      <w:r>
        <w:rPr>
          <w:rFonts w:ascii="Times New Roman" w:hAnsi="Times New Roman"/>
          <w:sz w:val="20"/>
          <w:szCs w:val="20"/>
          <w:lang w:eastAsia="ru-RU"/>
        </w:rPr>
        <w:t xml:space="preserve">: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tbl>
      <w:tblPr>
        <w:tblW w:w="0" w:type="auto"/>
        <w:tblInd w:w="567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754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540" w:type="dxa"/>
            <w:vAlign w:val="bottom"/>
            <w:textDirection w:val="lrTb"/>
            <w:noWrap w:val="false"/>
          </w:tcPr>
          <w:p>
            <w:pPr>
              <w:pStyle w:val="858"/>
              <w:ind w:right="-28" w:firstLine="567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Заместитель начальника отдела ФЭ и МТО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Управления Федеральной службы государственной регистрации, кадастра и картографии по Амурской об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540" w:type="dxa"/>
            <w:vAlign w:val="top"/>
            <w:textDirection w:val="lrTb"/>
            <w:noWrap w:val="false"/>
          </w:tcPr>
          <w:p>
            <w:pPr>
              <w:pStyle w:val="858"/>
              <w:ind w:right="-426" w:firstLine="567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(должность)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858"/>
        <w:ind w:right="-426" w:firstLine="567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ru-RU"/>
        </w:rPr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tbl>
      <w:tblPr>
        <w:tblW w:w="0" w:type="auto"/>
        <w:tblInd w:w="567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170"/>
        <w:gridCol w:w="142"/>
        <w:gridCol w:w="255"/>
        <w:gridCol w:w="1985"/>
        <w:gridCol w:w="340"/>
        <w:gridCol w:w="397"/>
        <w:gridCol w:w="141"/>
        <w:gridCol w:w="312"/>
        <w:gridCol w:w="850"/>
        <w:gridCol w:w="1815"/>
        <w:gridCol w:w="142"/>
        <w:gridCol w:w="7"/>
      </w:tblGrid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89" w:type="dxa"/>
            <w:vAlign w:val="bottom"/>
            <w:textDirection w:val="lrTb"/>
            <w:noWrap w:val="false"/>
          </w:tcPr>
          <w:p>
            <w:pPr>
              <w:pStyle w:val="858"/>
              <w:ind w:right="-426" w:firstLine="567"/>
              <w:jc w:val="right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41" w:type="dxa"/>
            <w:vAlign w:val="bottom"/>
            <w:textDirection w:val="lrTb"/>
            <w:noWrap w:val="false"/>
          </w:tcPr>
          <w:p>
            <w:pPr>
              <w:pStyle w:val="858"/>
              <w:ind w:right="-426" w:firstLine="567"/>
              <w:jc w:val="right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pStyle w:val="858"/>
              <w:ind w:right="-426" w:firstLine="567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Н.Н. Самсель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" w:type="dxa"/>
            <w:vAlign w:val="bottom"/>
            <w:textDirection w:val="lrTb"/>
            <w:noWrap w:val="false"/>
          </w:tcPr>
          <w:p>
            <w:pPr>
              <w:pStyle w:val="858"/>
              <w:ind w:right="-426" w:firstLine="567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>
          <w:gridAfter w:val="1"/>
        </w:trPr>
        <w:tc>
          <w:tcPr>
            <w:gridSpan w:val="1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549" w:type="dxa"/>
            <w:vAlign w:val="top"/>
            <w:textDirection w:val="lrTb"/>
            <w:noWrap w:val="false"/>
          </w:tcPr>
          <w:p>
            <w:pPr>
              <w:pStyle w:val="858"/>
              <w:ind w:right="-426" w:firstLine="567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(подпись/расшифровка подписи)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>
          <w:gridAfter w:val="3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textDirection w:val="lrTb"/>
            <w:noWrap w:val="false"/>
          </w:tcPr>
          <w:p>
            <w:pPr>
              <w:pStyle w:val="858"/>
              <w:ind w:right="-426" w:firstLine="567"/>
              <w:jc w:val="right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212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42" w:type="dxa"/>
            <w:vAlign w:val="bottom"/>
            <w:textDirection w:val="lrTb"/>
            <w:noWrap w:val="false"/>
          </w:tcPr>
          <w:p>
            <w:pPr>
              <w:pStyle w:val="858"/>
              <w:ind w:right="-426" w:firstLine="567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22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5" w:type="dxa"/>
            <w:vAlign w:val="bottom"/>
            <w:textDirection w:val="lrTb"/>
            <w:noWrap w:val="false"/>
          </w:tcPr>
          <w:p>
            <w:pPr>
              <w:pStyle w:val="858"/>
              <w:ind w:right="-426" w:firstLine="567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”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pStyle w:val="858"/>
              <w:ind w:right="-42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31 августа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bottom"/>
            <w:textDirection w:val="lrTb"/>
            <w:noWrap w:val="false"/>
          </w:tcPr>
          <w:p>
            <w:pPr>
              <w:pStyle w:val="858"/>
              <w:ind w:right="-426" w:firstLine="567"/>
              <w:jc w:val="right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pStyle w:val="858"/>
              <w:ind w:right="-42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20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26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г.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pStyle w:val="858"/>
              <w:ind w:right="-42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858"/>
        <w:jc w:val="center"/>
        <w:spacing w:after="0" w:line="240" w:lineRule="auto"/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r>
    </w:p>
    <w:p>
      <w:pPr>
        <w:pStyle w:val="858"/>
        <w:jc w:val="center"/>
        <w:spacing w:after="0" w:line="240" w:lineRule="auto"/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r>
    </w:p>
    <w:p>
      <w:pPr>
        <w:pStyle w:val="858"/>
        <w:jc w:val="center"/>
        <w:spacing w:after="0" w:line="240" w:lineRule="auto"/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r>
    </w:p>
    <w:sectPr>
      <w:footnotePr/>
      <w:endnotePr/>
      <w:type w:val="nextPage"/>
      <w:pgSz w:w="11906" w:h="16838" w:orient="portrait"/>
      <w:pgMar w:top="851" w:right="850" w:bottom="709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Tahoma">
    <w:panose1 w:val="020B0604030504040204"/>
  </w:font>
  <w:font w:name="Symbol">
    <w:panose1 w:val="05010000000000000000"/>
  </w:font>
  <w:font w:name="NTHelvetica/Cyrillic">
    <w:panose1 w:val="02000603000000000000"/>
  </w:font>
  <w:font w:name="Wingdings">
    <w:panose1 w:val="05010000000000000000"/>
  </w:font>
  <w:font w:name="GaramondC">
    <w:panose1 w:val="02000603000000000000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72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"/>
      <w:lvlJc w:val="left"/>
      <w:pPr>
        <w:ind w:left="1080" w:hanging="360"/>
        <w:tabs>
          <w:tab w:val="num" w:pos="1080" w:leader="none"/>
        </w:tabs>
      </w:pPr>
      <w:rPr>
        <w:rFonts w:ascii="Symbol" w:hAnsi="Symbol"/>
      </w:rPr>
    </w:lvl>
    <w:lvl w:ilvl="2">
      <w:start w:val="1"/>
      <w:numFmt w:val="bullet"/>
      <w:isLgl w:val="false"/>
      <w:suff w:val="tab"/>
      <w:lvlText w:val=""/>
      <w:lvlJc w:val="left"/>
      <w:pPr>
        <w:ind w:left="1440" w:hanging="360"/>
        <w:tabs>
          <w:tab w:val="num" w:pos="1440" w:leader="none"/>
        </w:tabs>
      </w:pPr>
      <w:rPr>
        <w:rFonts w:ascii="Symbol" w:hAnsi="Symbol"/>
      </w:rPr>
    </w:lvl>
    <w:lvl w:ilvl="3">
      <w:start w:val="1"/>
      <w:numFmt w:val="bullet"/>
      <w:isLgl w:val="false"/>
      <w:suff w:val="tab"/>
      <w:lvlText w:val=""/>
      <w:lvlJc w:val="left"/>
      <w:pPr>
        <w:ind w:left="1800" w:hanging="360"/>
        <w:tabs>
          <w:tab w:val="num" w:pos="18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"/>
      <w:lvlJc w:val="left"/>
      <w:pPr>
        <w:ind w:left="2160" w:hanging="360"/>
        <w:tabs>
          <w:tab w:val="num" w:pos="2160" w:leader="none"/>
        </w:tabs>
      </w:pPr>
      <w:rPr>
        <w:rFonts w:ascii="Symbol" w:hAnsi="Symbol"/>
      </w:rPr>
    </w:lvl>
    <w:lvl w:ilvl="5">
      <w:start w:val="1"/>
      <w:numFmt w:val="bullet"/>
      <w:isLgl w:val="false"/>
      <w:suff w:val="tab"/>
      <w:lvlText w:val=""/>
      <w:lvlJc w:val="left"/>
      <w:pPr>
        <w:ind w:left="2520" w:hanging="360"/>
        <w:tabs>
          <w:tab w:val="num" w:pos="2520" w:leader="none"/>
        </w:tabs>
      </w:pPr>
      <w:rPr>
        <w:rFonts w:ascii="Symbol" w:hAnsi="Symbol"/>
      </w:rPr>
    </w:lvl>
    <w:lvl w:ilvl="6">
      <w:start w:val="1"/>
      <w:numFmt w:val="bullet"/>
      <w:isLgl w:val="false"/>
      <w:suff w:val="tab"/>
      <w:lvlText w:val="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"/>
      <w:lvlJc w:val="left"/>
      <w:pPr>
        <w:ind w:left="3240" w:hanging="360"/>
        <w:tabs>
          <w:tab w:val="num" w:pos="3240" w:leader="none"/>
        </w:tabs>
      </w:pPr>
      <w:rPr>
        <w:rFonts w:ascii="Symbol" w:hAnsi="Symbol"/>
      </w:rPr>
    </w:lvl>
    <w:lvl w:ilvl="8">
      <w:start w:val="1"/>
      <w:numFmt w:val="bullet"/>
      <w:isLgl w:val="false"/>
      <w:suff w:val="tab"/>
      <w:lvlText w:val=""/>
      <w:lvlJc w:val="left"/>
      <w:pPr>
        <w:ind w:left="3600" w:hanging="360"/>
        <w:tabs>
          <w:tab w:val="num" w:pos="3600" w:leader="none"/>
        </w:tabs>
      </w:pPr>
      <w:rPr>
        <w:rFonts w:ascii="Symbol" w:hAnsi="Symbol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lang w:val="ru-RU" w:eastAsia="ru-RU" w:bidi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5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1069" w:hanging="360"/>
      </w:pPr>
    </w:lvl>
    <w:lvl w:ilvl="2">
      <w:start w:val="1"/>
      <w:numFmt w:val="decimal"/>
      <w:isLgl w:val="false"/>
      <w:suff w:val="tab"/>
      <w:lvlText w:val="%1.%2.%3"/>
      <w:lvlJc w:val="left"/>
      <w:pPr>
        <w:ind w:left="1429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429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789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789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2149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2149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149" w:hanging="144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1460" w:hanging="360"/>
        <w:tabs>
          <w:tab w:val="num" w:pos="1460" w:leader="none"/>
        </w:tabs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  <w:tabs>
          <w:tab w:val="num" w:pos="216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  <w:tabs>
          <w:tab w:val="num" w:pos="432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  <w:tabs>
          <w:tab w:val="num" w:pos="648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  <w:tabs>
          <w:tab w:val="num" w:pos="7200" w:leader="none"/>
        </w:tabs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eastAsia="Times New Roman"/>
        <w:b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069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1004" w:hanging="360"/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44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64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04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24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64" w:hanging="360"/>
      </w:pPr>
      <w:rPr>
        <w:rFonts w:ascii="Wingdings" w:hAnsi="Wingdings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1"/>
  </w:num>
  <w:num w:numId="7">
    <w:abstractNumId w:val="2"/>
  </w:num>
  <w:num w:numId="8">
    <w:abstractNumId w:val="7"/>
  </w:num>
  <w:num w:numId="9">
    <w:abstractNumId w:val="8"/>
  </w:num>
  <w:num w:numId="10">
    <w:abstractNumId w:val="1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0">
    <w:name w:val="Heading 1"/>
    <w:basedOn w:val="858"/>
    <w:next w:val="858"/>
    <w:link w:val="6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1">
    <w:name w:val="Heading 1 Char"/>
    <w:link w:val="680"/>
    <w:uiPriority w:val="9"/>
    <w:rPr>
      <w:rFonts w:ascii="Arial" w:hAnsi="Arial" w:eastAsia="Arial" w:cs="Arial"/>
      <w:sz w:val="40"/>
      <w:szCs w:val="40"/>
    </w:rPr>
  </w:style>
  <w:style w:type="paragraph" w:styleId="682">
    <w:name w:val="Heading 2"/>
    <w:basedOn w:val="858"/>
    <w:next w:val="858"/>
    <w:link w:val="68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3">
    <w:name w:val="Heading 2 Char"/>
    <w:link w:val="682"/>
    <w:uiPriority w:val="9"/>
    <w:rPr>
      <w:rFonts w:ascii="Arial" w:hAnsi="Arial" w:eastAsia="Arial" w:cs="Arial"/>
      <w:sz w:val="34"/>
    </w:rPr>
  </w:style>
  <w:style w:type="paragraph" w:styleId="684">
    <w:name w:val="Heading 3"/>
    <w:basedOn w:val="858"/>
    <w:next w:val="858"/>
    <w:link w:val="68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5">
    <w:name w:val="Heading 3 Char"/>
    <w:link w:val="684"/>
    <w:uiPriority w:val="9"/>
    <w:rPr>
      <w:rFonts w:ascii="Arial" w:hAnsi="Arial" w:eastAsia="Arial" w:cs="Arial"/>
      <w:sz w:val="30"/>
      <w:szCs w:val="30"/>
    </w:rPr>
  </w:style>
  <w:style w:type="paragraph" w:styleId="686">
    <w:name w:val="Heading 4"/>
    <w:basedOn w:val="858"/>
    <w:next w:val="858"/>
    <w:link w:val="68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7">
    <w:name w:val="Heading 4 Char"/>
    <w:link w:val="686"/>
    <w:uiPriority w:val="9"/>
    <w:rPr>
      <w:rFonts w:ascii="Arial" w:hAnsi="Arial" w:eastAsia="Arial" w:cs="Arial"/>
      <w:b/>
      <w:bCs/>
      <w:sz w:val="26"/>
      <w:szCs w:val="26"/>
    </w:rPr>
  </w:style>
  <w:style w:type="paragraph" w:styleId="688">
    <w:name w:val="Heading 5"/>
    <w:basedOn w:val="858"/>
    <w:next w:val="858"/>
    <w:link w:val="68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9">
    <w:name w:val="Heading 5 Char"/>
    <w:link w:val="688"/>
    <w:uiPriority w:val="9"/>
    <w:rPr>
      <w:rFonts w:ascii="Arial" w:hAnsi="Arial" w:eastAsia="Arial" w:cs="Arial"/>
      <w:b/>
      <w:bCs/>
      <w:sz w:val="24"/>
      <w:szCs w:val="24"/>
    </w:rPr>
  </w:style>
  <w:style w:type="paragraph" w:styleId="690">
    <w:name w:val="Heading 6"/>
    <w:basedOn w:val="858"/>
    <w:next w:val="858"/>
    <w:link w:val="69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1">
    <w:name w:val="Heading 6 Char"/>
    <w:link w:val="690"/>
    <w:uiPriority w:val="9"/>
    <w:rPr>
      <w:rFonts w:ascii="Arial" w:hAnsi="Arial" w:eastAsia="Arial" w:cs="Arial"/>
      <w:b/>
      <w:bCs/>
      <w:sz w:val="22"/>
      <w:szCs w:val="22"/>
    </w:rPr>
  </w:style>
  <w:style w:type="paragraph" w:styleId="692">
    <w:name w:val="Heading 7"/>
    <w:basedOn w:val="858"/>
    <w:next w:val="858"/>
    <w:link w:val="69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3">
    <w:name w:val="Heading 7 Char"/>
    <w:link w:val="69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4">
    <w:name w:val="Heading 8"/>
    <w:basedOn w:val="858"/>
    <w:next w:val="858"/>
    <w:link w:val="69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5">
    <w:name w:val="Heading 8 Char"/>
    <w:link w:val="694"/>
    <w:uiPriority w:val="9"/>
    <w:rPr>
      <w:rFonts w:ascii="Arial" w:hAnsi="Arial" w:eastAsia="Arial" w:cs="Arial"/>
      <w:i/>
      <w:iCs/>
      <w:sz w:val="22"/>
      <w:szCs w:val="22"/>
    </w:rPr>
  </w:style>
  <w:style w:type="paragraph" w:styleId="696">
    <w:name w:val="Heading 9"/>
    <w:basedOn w:val="858"/>
    <w:next w:val="858"/>
    <w:link w:val="69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7">
    <w:name w:val="Heading 9 Char"/>
    <w:link w:val="696"/>
    <w:uiPriority w:val="9"/>
    <w:rPr>
      <w:rFonts w:ascii="Arial" w:hAnsi="Arial" w:eastAsia="Arial" w:cs="Arial"/>
      <w:i/>
      <w:iCs/>
      <w:sz w:val="21"/>
      <w:szCs w:val="21"/>
    </w:rPr>
  </w:style>
  <w:style w:type="paragraph" w:styleId="698">
    <w:name w:val="List Paragraph"/>
    <w:basedOn w:val="858"/>
    <w:uiPriority w:val="34"/>
    <w:qFormat/>
    <w:pPr>
      <w:contextualSpacing/>
      <w:ind w:left="720"/>
    </w:pPr>
  </w:style>
  <w:style w:type="paragraph" w:styleId="699">
    <w:name w:val="No Spacing"/>
    <w:uiPriority w:val="1"/>
    <w:qFormat/>
    <w:pPr>
      <w:spacing w:before="0" w:after="0" w:line="240" w:lineRule="auto"/>
    </w:pPr>
  </w:style>
  <w:style w:type="paragraph" w:styleId="700">
    <w:name w:val="Title"/>
    <w:basedOn w:val="858"/>
    <w:next w:val="858"/>
    <w:link w:val="70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1">
    <w:name w:val="Title Char"/>
    <w:link w:val="700"/>
    <w:uiPriority w:val="10"/>
    <w:rPr>
      <w:sz w:val="48"/>
      <w:szCs w:val="48"/>
    </w:rPr>
  </w:style>
  <w:style w:type="paragraph" w:styleId="702">
    <w:name w:val="Subtitle"/>
    <w:basedOn w:val="858"/>
    <w:next w:val="858"/>
    <w:link w:val="703"/>
    <w:uiPriority w:val="11"/>
    <w:qFormat/>
    <w:pPr>
      <w:spacing w:before="200" w:after="200"/>
    </w:pPr>
    <w:rPr>
      <w:sz w:val="24"/>
      <w:szCs w:val="24"/>
    </w:rPr>
  </w:style>
  <w:style w:type="character" w:styleId="703">
    <w:name w:val="Subtitle Char"/>
    <w:link w:val="702"/>
    <w:uiPriority w:val="11"/>
    <w:rPr>
      <w:sz w:val="24"/>
      <w:szCs w:val="24"/>
    </w:rPr>
  </w:style>
  <w:style w:type="paragraph" w:styleId="704">
    <w:name w:val="Quote"/>
    <w:basedOn w:val="858"/>
    <w:next w:val="858"/>
    <w:link w:val="705"/>
    <w:uiPriority w:val="29"/>
    <w:qFormat/>
    <w:pPr>
      <w:ind w:left="720" w:right="720"/>
    </w:pPr>
    <w:rPr>
      <w:i/>
    </w:rPr>
  </w:style>
  <w:style w:type="character" w:styleId="705">
    <w:name w:val="Quote Char"/>
    <w:link w:val="704"/>
    <w:uiPriority w:val="29"/>
    <w:rPr>
      <w:i/>
    </w:rPr>
  </w:style>
  <w:style w:type="paragraph" w:styleId="706">
    <w:name w:val="Intense Quote"/>
    <w:basedOn w:val="858"/>
    <w:next w:val="858"/>
    <w:link w:val="70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7">
    <w:name w:val="Intense Quote Char"/>
    <w:link w:val="706"/>
    <w:uiPriority w:val="30"/>
    <w:rPr>
      <w:i/>
    </w:rPr>
  </w:style>
  <w:style w:type="paragraph" w:styleId="708">
    <w:name w:val="Header"/>
    <w:basedOn w:val="858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Header Char"/>
    <w:link w:val="708"/>
    <w:uiPriority w:val="99"/>
  </w:style>
  <w:style w:type="paragraph" w:styleId="710">
    <w:name w:val="Footer"/>
    <w:basedOn w:val="858"/>
    <w:link w:val="71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1">
    <w:name w:val="Footer Char"/>
    <w:link w:val="710"/>
    <w:uiPriority w:val="99"/>
  </w:style>
  <w:style w:type="paragraph" w:styleId="712">
    <w:name w:val="Caption"/>
    <w:basedOn w:val="858"/>
    <w:next w:val="858"/>
    <w:link w:val="71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3">
    <w:name w:val="Caption Char"/>
    <w:basedOn w:val="712"/>
    <w:link w:val="710"/>
    <w:uiPriority w:val="35"/>
  </w:style>
  <w:style w:type="table" w:styleId="71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0">
    <w:name w:val="Hyperlink"/>
    <w:uiPriority w:val="99"/>
    <w:unhideWhenUsed/>
    <w:rPr>
      <w:color w:val="0000ff" w:themeColor="hyperlink"/>
      <w:u w:val="single"/>
    </w:rPr>
  </w:style>
  <w:style w:type="paragraph" w:styleId="841">
    <w:name w:val="footnote text"/>
    <w:basedOn w:val="858"/>
    <w:link w:val="842"/>
    <w:uiPriority w:val="99"/>
    <w:semiHidden/>
    <w:unhideWhenUsed/>
    <w:pPr>
      <w:spacing w:after="40" w:line="240" w:lineRule="auto"/>
    </w:pPr>
    <w:rPr>
      <w:sz w:val="18"/>
    </w:rPr>
  </w:style>
  <w:style w:type="character" w:styleId="842">
    <w:name w:val="Footnote Text Char"/>
    <w:link w:val="841"/>
    <w:uiPriority w:val="99"/>
    <w:rPr>
      <w:sz w:val="18"/>
    </w:rPr>
  </w:style>
  <w:style w:type="character" w:styleId="843">
    <w:name w:val="footnote reference"/>
    <w:uiPriority w:val="99"/>
    <w:unhideWhenUsed/>
    <w:rPr>
      <w:vertAlign w:val="superscript"/>
    </w:rPr>
  </w:style>
  <w:style w:type="paragraph" w:styleId="844">
    <w:name w:val="endnote text"/>
    <w:basedOn w:val="858"/>
    <w:link w:val="845"/>
    <w:uiPriority w:val="99"/>
    <w:semiHidden/>
    <w:unhideWhenUsed/>
    <w:pPr>
      <w:spacing w:after="0" w:line="240" w:lineRule="auto"/>
    </w:pPr>
    <w:rPr>
      <w:sz w:val="20"/>
    </w:rPr>
  </w:style>
  <w:style w:type="character" w:styleId="845">
    <w:name w:val="Endnote Text Char"/>
    <w:link w:val="844"/>
    <w:uiPriority w:val="99"/>
    <w:rPr>
      <w:sz w:val="20"/>
    </w:rPr>
  </w:style>
  <w:style w:type="character" w:styleId="846">
    <w:name w:val="endnote reference"/>
    <w:uiPriority w:val="99"/>
    <w:semiHidden/>
    <w:unhideWhenUsed/>
    <w:rPr>
      <w:vertAlign w:val="superscript"/>
    </w:rPr>
  </w:style>
  <w:style w:type="paragraph" w:styleId="847">
    <w:name w:val="toc 1"/>
    <w:basedOn w:val="858"/>
    <w:next w:val="858"/>
    <w:uiPriority w:val="39"/>
    <w:unhideWhenUsed/>
    <w:pPr>
      <w:ind w:left="0" w:right="0" w:firstLine="0"/>
      <w:spacing w:after="57"/>
    </w:pPr>
  </w:style>
  <w:style w:type="paragraph" w:styleId="848">
    <w:name w:val="toc 2"/>
    <w:basedOn w:val="858"/>
    <w:next w:val="858"/>
    <w:uiPriority w:val="39"/>
    <w:unhideWhenUsed/>
    <w:pPr>
      <w:ind w:left="283" w:right="0" w:firstLine="0"/>
      <w:spacing w:after="57"/>
    </w:pPr>
  </w:style>
  <w:style w:type="paragraph" w:styleId="849">
    <w:name w:val="toc 3"/>
    <w:basedOn w:val="858"/>
    <w:next w:val="858"/>
    <w:uiPriority w:val="39"/>
    <w:unhideWhenUsed/>
    <w:pPr>
      <w:ind w:left="567" w:right="0" w:firstLine="0"/>
      <w:spacing w:after="57"/>
    </w:pPr>
  </w:style>
  <w:style w:type="paragraph" w:styleId="850">
    <w:name w:val="toc 4"/>
    <w:basedOn w:val="858"/>
    <w:next w:val="858"/>
    <w:uiPriority w:val="39"/>
    <w:unhideWhenUsed/>
    <w:pPr>
      <w:ind w:left="850" w:right="0" w:firstLine="0"/>
      <w:spacing w:after="57"/>
    </w:pPr>
  </w:style>
  <w:style w:type="paragraph" w:styleId="851">
    <w:name w:val="toc 5"/>
    <w:basedOn w:val="858"/>
    <w:next w:val="858"/>
    <w:uiPriority w:val="39"/>
    <w:unhideWhenUsed/>
    <w:pPr>
      <w:ind w:left="1134" w:right="0" w:firstLine="0"/>
      <w:spacing w:after="57"/>
    </w:pPr>
  </w:style>
  <w:style w:type="paragraph" w:styleId="852">
    <w:name w:val="toc 6"/>
    <w:basedOn w:val="858"/>
    <w:next w:val="858"/>
    <w:uiPriority w:val="39"/>
    <w:unhideWhenUsed/>
    <w:pPr>
      <w:ind w:left="1417" w:right="0" w:firstLine="0"/>
      <w:spacing w:after="57"/>
    </w:pPr>
  </w:style>
  <w:style w:type="paragraph" w:styleId="853">
    <w:name w:val="toc 7"/>
    <w:basedOn w:val="858"/>
    <w:next w:val="858"/>
    <w:uiPriority w:val="39"/>
    <w:unhideWhenUsed/>
    <w:pPr>
      <w:ind w:left="1701" w:right="0" w:firstLine="0"/>
      <w:spacing w:after="57"/>
    </w:pPr>
  </w:style>
  <w:style w:type="paragraph" w:styleId="854">
    <w:name w:val="toc 8"/>
    <w:basedOn w:val="858"/>
    <w:next w:val="858"/>
    <w:uiPriority w:val="39"/>
    <w:unhideWhenUsed/>
    <w:pPr>
      <w:ind w:left="1984" w:right="0" w:firstLine="0"/>
      <w:spacing w:after="57"/>
    </w:pPr>
  </w:style>
  <w:style w:type="paragraph" w:styleId="855">
    <w:name w:val="toc 9"/>
    <w:basedOn w:val="858"/>
    <w:next w:val="858"/>
    <w:uiPriority w:val="39"/>
    <w:unhideWhenUsed/>
    <w:pPr>
      <w:ind w:left="2268" w:right="0" w:firstLine="0"/>
      <w:spacing w:after="57"/>
    </w:pPr>
  </w:style>
  <w:style w:type="paragraph" w:styleId="856">
    <w:name w:val="TOC Heading"/>
    <w:uiPriority w:val="39"/>
    <w:unhideWhenUsed/>
  </w:style>
  <w:style w:type="paragraph" w:styleId="857">
    <w:name w:val="table of figures"/>
    <w:basedOn w:val="858"/>
    <w:next w:val="858"/>
    <w:uiPriority w:val="99"/>
    <w:unhideWhenUsed/>
    <w:pPr>
      <w:spacing w:after="0" w:afterAutospacing="0"/>
    </w:pPr>
  </w:style>
  <w:style w:type="paragraph" w:styleId="858" w:default="1">
    <w:name w:val="Normal"/>
    <w:next w:val="858"/>
    <w:link w:val="858"/>
    <w:qFormat/>
    <w:pPr>
      <w:spacing w:after="200" w:line="276" w:lineRule="auto"/>
    </w:pPr>
    <w:rPr>
      <w:rFonts w:ascii="Calibri" w:hAnsi="Calibri"/>
      <w:sz w:val="22"/>
      <w:szCs w:val="22"/>
      <w:lang w:val="ru-RU" w:eastAsia="en-US" w:bidi="ar-SA"/>
    </w:rPr>
  </w:style>
  <w:style w:type="paragraph" w:styleId="859">
    <w:name w:val="Заголовок 1,Заголовок 1 Знак1,Заголовок 1 Знак Знак,Заголовок 1 Знак Знак1,Заголовок 1 Знак2,Document Header1,Заголовок 1 Знак1 Знак,Заголовок 1 Знак Знак Знак,Заголовок 1 Знак Знак1 Знак,Заголовок 1 Знак Знак2,Заголовок 1 Знак2 Знак,H1"/>
    <w:basedOn w:val="858"/>
    <w:next w:val="858"/>
    <w:link w:val="871"/>
    <w:qFormat/>
    <w:pPr>
      <w:keepNext/>
      <w:spacing w:before="240" w:after="60" w:line="240" w:lineRule="auto"/>
      <w:outlineLvl w:val="0"/>
    </w:pPr>
    <w:rPr>
      <w:rFonts w:ascii="Arial" w:hAnsi="Arial"/>
      <w:b/>
      <w:sz w:val="32"/>
      <w:szCs w:val="20"/>
      <w:lang w:eastAsia="ru-RU"/>
    </w:rPr>
  </w:style>
  <w:style w:type="character" w:styleId="860">
    <w:name w:val="Основной шрифт абзаца"/>
    <w:next w:val="860"/>
    <w:link w:val="858"/>
    <w:semiHidden/>
  </w:style>
  <w:style w:type="table" w:styleId="861">
    <w:name w:val="Обычная таблица"/>
    <w:next w:val="861"/>
    <w:link w:val="858"/>
    <w:semiHidden/>
    <w:tblPr/>
  </w:style>
  <w:style w:type="numbering" w:styleId="862">
    <w:name w:val="Нет списка"/>
    <w:next w:val="862"/>
    <w:link w:val="858"/>
    <w:semiHidden/>
  </w:style>
  <w:style w:type="character" w:styleId="863">
    <w:name w:val="Гиперссылка"/>
    <w:next w:val="863"/>
    <w:link w:val="858"/>
    <w:uiPriority w:val="99"/>
    <w:rPr>
      <w:color w:val="0000ff"/>
      <w:u w:val="single"/>
    </w:rPr>
  </w:style>
  <w:style w:type="character" w:styleId="864">
    <w:name w:val="Основной текст Знак,Основной текст Знак Знак Знак,body text Знак1,body text Знак Знак1,body text Знак Знак Знак,bt Знак,ändrad Знак,body text1 Знак,bt1 Знак,body text2 Знак,bt2 Знак,body text11 Знак,bt11 Знак,body text3 Знак,bt3 Знак,paragraph 2 Знак"/>
    <w:next w:val="864"/>
    <w:link w:val="865"/>
    <w:rPr>
      <w:sz w:val="24"/>
      <w:lang w:val="en-US" w:eastAsia="en-US" w:bidi="ar-SA"/>
    </w:rPr>
  </w:style>
  <w:style w:type="paragraph" w:styleId="865">
    <w:name w:val="Основной текст,Основной текст Знак Знак,body text,body text Знак,body text Знак Знак,bt,ändrad,body text1,bt1,body text2,bt2,body text11,bt11,body text3,bt3,paragraph 2,paragraph 21,EHPT,Body Text2,b,Body Text level 2,Знак"/>
    <w:basedOn w:val="858"/>
    <w:next w:val="865"/>
    <w:link w:val="864"/>
    <w:pPr>
      <w:spacing w:before="280" w:after="280" w:line="240" w:lineRule="auto"/>
    </w:pPr>
    <w:rPr>
      <w:rFonts w:ascii="Times New Roman" w:hAnsi="Times New Roman"/>
      <w:sz w:val="24"/>
      <w:szCs w:val="20"/>
      <w:lang w:val="en-US" w:eastAsia="en-US"/>
    </w:rPr>
  </w:style>
  <w:style w:type="paragraph" w:styleId="866">
    <w:name w:val="03osnovnoytexttabl"/>
    <w:basedOn w:val="858"/>
    <w:next w:val="866"/>
    <w:link w:val="858"/>
    <w:pPr>
      <w:spacing w:before="120" w:after="0" w:line="320" w:lineRule="atLeast"/>
    </w:pPr>
    <w:rPr>
      <w:rFonts w:ascii="GaramondC" w:hAnsi="GaramondC" w:eastAsia="Calibri"/>
      <w:color w:val="000000"/>
      <w:sz w:val="20"/>
      <w:szCs w:val="20"/>
      <w:lang w:eastAsia="ru-RU"/>
    </w:rPr>
  </w:style>
  <w:style w:type="paragraph" w:styleId="867">
    <w:name w:val="Основной текст с отступом 2"/>
    <w:basedOn w:val="858"/>
    <w:next w:val="867"/>
    <w:link w:val="868"/>
    <w:pPr>
      <w:ind w:left="283"/>
      <w:spacing w:after="120" w:line="480" w:lineRule="auto"/>
    </w:pPr>
  </w:style>
  <w:style w:type="character" w:styleId="868">
    <w:name w:val="Основной текст с отступом 2 Знак"/>
    <w:next w:val="868"/>
    <w:link w:val="867"/>
    <w:rPr>
      <w:rFonts w:ascii="Calibri" w:hAnsi="Calibri"/>
      <w:sz w:val="22"/>
      <w:szCs w:val="22"/>
      <w:lang w:eastAsia="en-US"/>
    </w:rPr>
  </w:style>
  <w:style w:type="paragraph" w:styleId="869">
    <w:name w:val="Основной текст с отступом"/>
    <w:basedOn w:val="858"/>
    <w:next w:val="869"/>
    <w:link w:val="870"/>
    <w:pPr>
      <w:ind w:left="283"/>
      <w:spacing w:after="120"/>
    </w:pPr>
  </w:style>
  <w:style w:type="character" w:styleId="870">
    <w:name w:val="Основной текст с отступом Знак"/>
    <w:next w:val="870"/>
    <w:link w:val="869"/>
    <w:rPr>
      <w:rFonts w:ascii="Calibri" w:hAnsi="Calibri"/>
      <w:sz w:val="22"/>
      <w:szCs w:val="22"/>
      <w:lang w:eastAsia="en-US"/>
    </w:rPr>
  </w:style>
  <w:style w:type="character" w:styleId="871">
    <w:name w:val="Заголовок 1 Знак,Заголовок 1 Знак1 Знак1,Заголовок 1 Знак Знак Знак1,Заголовок 1 Знак Знак1 Знак1,Заголовок 1 Знак2 Знак1,Document Header1 Знак,Заголовок 1 Знак1 Знак Знак,Заголовок 1 Знак Знак Знак Знак,Заголовок 1 Знак Знак1 Знак Знак,H1 Знак"/>
    <w:next w:val="871"/>
    <w:link w:val="859"/>
    <w:rPr>
      <w:rFonts w:ascii="Arial" w:hAnsi="Arial"/>
      <w:b/>
      <w:sz w:val="32"/>
    </w:rPr>
  </w:style>
  <w:style w:type="paragraph" w:styleId="872">
    <w:name w:val="ConsPlusNormal"/>
    <w:next w:val="872"/>
    <w:link w:val="875"/>
    <w:uiPriority w:val="99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paragraph" w:styleId="873">
    <w:name w:val="Абзац списка,Bullet List,FooterText,numbered,Цветной список - Акцент 11,Список нумерованный цифры"/>
    <w:basedOn w:val="858"/>
    <w:next w:val="873"/>
    <w:link w:val="884"/>
    <w:uiPriority w:val="34"/>
    <w:qFormat/>
    <w:pPr>
      <w:contextualSpacing/>
      <w:ind w:left="720"/>
      <w:jc w:val="right"/>
      <w:spacing w:line="360" w:lineRule="auto"/>
    </w:pPr>
    <w:rPr>
      <w:rFonts w:eastAsia="Calibri"/>
    </w:rPr>
  </w:style>
  <w:style w:type="paragraph" w:styleId="874">
    <w:name w:val="ConsNormal + Times New Roman,11 пт,По ширине"/>
    <w:basedOn w:val="858"/>
    <w:next w:val="874"/>
    <w:link w:val="858"/>
    <w:pPr>
      <w:ind w:left="2085" w:right="-54" w:hanging="360"/>
      <w:jc w:val="both"/>
      <w:spacing w:after="0" w:line="240" w:lineRule="auto"/>
      <w:tabs>
        <w:tab w:val="num" w:pos="2085" w:leader="none"/>
      </w:tabs>
    </w:pPr>
    <w:rPr>
      <w:rFonts w:ascii="Times New Roman" w:hAnsi="Times New Roman"/>
      <w:lang w:eastAsia="ru-RU"/>
    </w:rPr>
  </w:style>
  <w:style w:type="character" w:styleId="875">
    <w:name w:val="ConsPlusNormal Знак"/>
    <w:next w:val="875"/>
    <w:link w:val="872"/>
    <w:uiPriority w:val="99"/>
    <w:rPr>
      <w:rFonts w:ascii="Arial" w:hAnsi="Arial" w:cs="Arial"/>
    </w:rPr>
  </w:style>
  <w:style w:type="paragraph" w:styleId="876">
    <w:name w:val="Обычный1"/>
    <w:next w:val="876"/>
    <w:link w:val="858"/>
    <w:rPr>
      <w:rFonts w:ascii="NTHelvetica/Cyrillic" w:hAnsi="NTHelvetica/Cyrillic"/>
      <w:color w:val="000080"/>
      <w:sz w:val="16"/>
      <w:lang w:val="ru-RU" w:eastAsia="ru-RU" w:bidi="ar-SA"/>
    </w:rPr>
  </w:style>
  <w:style w:type="paragraph" w:styleId="877">
    <w:name w:val="Основной текст с отступом 31"/>
    <w:basedOn w:val="858"/>
    <w:next w:val="877"/>
    <w:link w:val="858"/>
    <w:pPr>
      <w:ind w:left="708" w:firstLine="708"/>
      <w:jc w:val="both"/>
      <w:spacing w:after="0" w:line="240" w:lineRule="auto"/>
      <w:widowControl w:val="off"/>
    </w:pPr>
    <w:rPr>
      <w:rFonts w:ascii="Arial" w:hAnsi="Arial"/>
      <w:color w:val="000000"/>
      <w:sz w:val="20"/>
      <w:szCs w:val="20"/>
      <w:lang w:eastAsia="ru-RU"/>
    </w:rPr>
  </w:style>
  <w:style w:type="paragraph" w:styleId="878">
    <w:name w:val="Абзац списка1"/>
    <w:basedOn w:val="858"/>
    <w:next w:val="878"/>
    <w:link w:val="858"/>
    <w:pPr>
      <w:ind w:left="708"/>
      <w:spacing w:after="0" w:line="240" w:lineRule="auto"/>
    </w:pPr>
    <w:rPr>
      <w:rFonts w:eastAsia="Calibri" w:cs="Calibri"/>
      <w:sz w:val="24"/>
      <w:szCs w:val="24"/>
      <w:lang w:eastAsia="ru-RU"/>
    </w:rPr>
  </w:style>
  <w:style w:type="paragraph" w:styleId="879">
    <w:name w:val="Standard"/>
    <w:next w:val="879"/>
    <w:link w:val="858"/>
    <w:qFormat/>
    <w:rPr>
      <w:bCs/>
      <w:lang w:val="ru-RU" w:eastAsia="ar-SA" w:bidi="ar-SA"/>
    </w:rPr>
  </w:style>
  <w:style w:type="paragraph" w:styleId="880">
    <w:name w:val="Style5"/>
    <w:basedOn w:val="858"/>
    <w:next w:val="880"/>
    <w:link w:val="858"/>
    <w:pPr>
      <w:spacing w:after="0" w:line="240" w:lineRule="auto"/>
      <w:widowControl w:val="off"/>
    </w:pPr>
    <w:rPr>
      <w:rFonts w:ascii="Times New Roman" w:hAnsi="Times New Roman"/>
      <w:sz w:val="24"/>
      <w:szCs w:val="24"/>
      <w:lang w:eastAsia="ru-RU"/>
    </w:rPr>
  </w:style>
  <w:style w:type="paragraph" w:styleId="881">
    <w:name w:val="Без интервала"/>
    <w:next w:val="881"/>
    <w:link w:val="890"/>
    <w:uiPriority w:val="1"/>
    <w:qFormat/>
    <w:rPr>
      <w:rFonts w:ascii="Calibri" w:hAnsi="Calibri" w:eastAsia="Calibri"/>
      <w:sz w:val="22"/>
      <w:szCs w:val="22"/>
      <w:lang w:val="ru-RU" w:eastAsia="en-US" w:bidi="ar-SA"/>
    </w:rPr>
  </w:style>
  <w:style w:type="paragraph" w:styleId="882">
    <w:name w:val="Текст выноски"/>
    <w:basedOn w:val="858"/>
    <w:next w:val="882"/>
    <w:link w:val="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83">
    <w:name w:val="Текст выноски Знак"/>
    <w:next w:val="883"/>
    <w:link w:val="882"/>
    <w:rPr>
      <w:rFonts w:ascii="Tahoma" w:hAnsi="Tahoma" w:cs="Tahoma"/>
      <w:sz w:val="16"/>
      <w:szCs w:val="16"/>
      <w:lang w:eastAsia="en-US"/>
    </w:rPr>
  </w:style>
  <w:style w:type="character" w:styleId="884">
    <w:name w:val="Абзац списка Знак,Bullet List Знак,FooterText Знак,numbered Знак,Цветной список - Акцент 11 Знак,Список нумерованный цифры Знак"/>
    <w:next w:val="884"/>
    <w:link w:val="873"/>
    <w:uiPriority w:val="34"/>
    <w:rPr>
      <w:rFonts w:ascii="Calibri" w:hAnsi="Calibri" w:eastAsia="Calibri"/>
      <w:sz w:val="22"/>
      <w:szCs w:val="22"/>
      <w:lang w:eastAsia="en-US"/>
    </w:rPr>
  </w:style>
  <w:style w:type="character" w:styleId="885">
    <w:name w:val="Font Style65"/>
    <w:next w:val="885"/>
    <w:link w:val="858"/>
    <w:uiPriority w:val="99"/>
    <w:rPr>
      <w:rFonts w:ascii="Times New Roman" w:hAnsi="Times New Roman" w:cs="Times New Roman"/>
      <w:sz w:val="22"/>
      <w:szCs w:val="22"/>
    </w:rPr>
  </w:style>
  <w:style w:type="paragraph" w:styleId="886">
    <w:name w:val="Style19"/>
    <w:basedOn w:val="858"/>
    <w:next w:val="886"/>
    <w:link w:val="858"/>
    <w:uiPriority w:val="99"/>
    <w:pPr>
      <w:ind w:firstLine="542"/>
      <w:jc w:val="both"/>
      <w:spacing w:after="0" w:line="254" w:lineRule="exact"/>
      <w:widowControl w:val="off"/>
    </w:pPr>
    <w:rPr>
      <w:rFonts w:ascii="Times New Roman" w:hAnsi="Times New Roman"/>
      <w:sz w:val="24"/>
      <w:szCs w:val="24"/>
      <w:lang w:eastAsia="ru-RU"/>
    </w:rPr>
  </w:style>
  <w:style w:type="character" w:styleId="887">
    <w:name w:val="Font Style67"/>
    <w:next w:val="887"/>
    <w:link w:val="858"/>
    <w:uiPriority w:val="99"/>
    <w:rPr>
      <w:rFonts w:ascii="Times New Roman" w:hAnsi="Times New Roman" w:cs="Times New Roman"/>
      <w:i/>
      <w:iCs/>
      <w:sz w:val="22"/>
      <w:szCs w:val="22"/>
    </w:rPr>
  </w:style>
  <w:style w:type="character" w:styleId="888">
    <w:name w:val="Строгий"/>
    <w:next w:val="888"/>
    <w:link w:val="858"/>
    <w:uiPriority w:val="22"/>
    <w:rPr>
      <w:b/>
      <w:bCs/>
    </w:rPr>
  </w:style>
  <w:style w:type="table" w:styleId="889">
    <w:name w:val="Сетка таблицы"/>
    <w:basedOn w:val="861"/>
    <w:next w:val="889"/>
    <w:link w:val="858"/>
    <w:uiPriority w:val="59"/>
    <w:tblPr/>
  </w:style>
  <w:style w:type="character" w:styleId="890">
    <w:name w:val="Без интервала Знак"/>
    <w:next w:val="890"/>
    <w:link w:val="881"/>
    <w:uiPriority w:val="1"/>
    <w:rPr>
      <w:rFonts w:ascii="Calibri" w:hAnsi="Calibri" w:eastAsia="Calibri"/>
      <w:sz w:val="22"/>
      <w:szCs w:val="22"/>
      <w:lang w:eastAsia="en-US"/>
    </w:rPr>
  </w:style>
  <w:style w:type="character" w:styleId="891" w:default="1">
    <w:name w:val="Default Paragraph Font"/>
    <w:uiPriority w:val="1"/>
    <w:semiHidden/>
    <w:unhideWhenUsed/>
  </w:style>
  <w:style w:type="numbering" w:styleId="892" w:default="1">
    <w:name w:val="No List"/>
    <w:uiPriority w:val="99"/>
    <w:semiHidden/>
    <w:unhideWhenUsed/>
  </w:style>
  <w:style w:type="table" w:styleId="89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Hewlett-Packard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</dc:title>
  <dc:creator>д</dc:creator>
  <cp:lastModifiedBy>samsel_nn</cp:lastModifiedBy>
  <cp:revision>31</cp:revision>
  <dcterms:created xsi:type="dcterms:W3CDTF">2022-02-28T04:21:00Z</dcterms:created>
  <dcterms:modified xsi:type="dcterms:W3CDTF">2026-09-01T04:40:37Z</dcterms:modified>
  <cp:version>1048576</cp:version>
</cp:coreProperties>
</file>