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D9A5B">
      <w:pPr>
        <w:widowControl/>
        <w:ind w:firstLine="567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КОНТРАКТ №</w:t>
      </w:r>
    </w:p>
    <w:p w14:paraId="6C67958F">
      <w:pPr>
        <w:widowControl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оказание услуг по сопровождению, установке и адаптации программ для ЭВМ, баз данных (программных средств и информационных продуктов вычислительной техники) - 1С:АС </w:t>
      </w:r>
    </w:p>
    <w:p w14:paraId="5174BCFD">
      <w:pPr>
        <w:widowControl/>
        <w:ind w:firstLine="567"/>
        <w:jc w:val="center"/>
        <w:rPr>
          <w:color w:val="1F0401"/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ИКЗ: </w:t>
      </w:r>
      <w:r>
        <w:rPr>
          <w:color w:val="1F0401"/>
          <w:sz w:val="22"/>
          <w:szCs w:val="22"/>
          <w:shd w:val="clear" w:color="auto" w:fill="FFFFFF"/>
        </w:rPr>
        <w:t>261672200886777080100100020000000244</w:t>
      </w:r>
    </w:p>
    <w:p w14:paraId="6AAB399B">
      <w:pPr>
        <w:widowControl/>
        <w:ind w:firstLine="567"/>
        <w:jc w:val="center"/>
        <w:rPr>
          <w:sz w:val="22"/>
          <w:szCs w:val="22"/>
        </w:rPr>
      </w:pPr>
    </w:p>
    <w:p w14:paraId="0683087C">
      <w:pPr>
        <w:widowControl/>
        <w:rPr>
          <w:sz w:val="22"/>
          <w:szCs w:val="22"/>
        </w:rPr>
      </w:pPr>
      <w:r>
        <w:rPr>
          <w:sz w:val="22"/>
          <w:szCs w:val="22"/>
        </w:rPr>
        <w:t xml:space="preserve">г. Москва                                                                                                              </w:t>
      </w:r>
      <w:r>
        <w:rPr>
          <w:spacing w:val="2"/>
          <w:sz w:val="22"/>
          <w:szCs w:val="22"/>
        </w:rPr>
        <w:t xml:space="preserve">«___»____________ </w:t>
      </w:r>
      <w:r>
        <w:rPr>
          <w:sz w:val="22"/>
          <w:szCs w:val="22"/>
        </w:rPr>
        <w:t>2026 г.</w:t>
      </w:r>
    </w:p>
    <w:p w14:paraId="6BE936F7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CEE8B3A">
      <w:pPr>
        <w:widowControl/>
        <w:ind w:firstLine="567"/>
        <w:jc w:val="both"/>
        <w:rPr>
          <w:sz w:val="22"/>
          <w:szCs w:val="22"/>
        </w:rPr>
      </w:pPr>
      <w:bookmarkStart w:id="0" w:name="_Hlk223605347"/>
      <w:r>
        <w:rPr>
          <w:bCs/>
          <w:sz w:val="22"/>
          <w:szCs w:val="22"/>
        </w:rPr>
        <w:t>Федеральное государственное бюджетное учреждение «Агентство развития сельских территорий» (сокращенное наименование - ФГБУ АРСТ)</w:t>
      </w:r>
      <w:bookmarkEnd w:id="0"/>
      <w:r>
        <w:rPr>
          <w:color w:val="000000"/>
          <w:sz w:val="22"/>
          <w:szCs w:val="22"/>
        </w:rPr>
        <w:t xml:space="preserve">, в лице </w:t>
      </w:r>
      <w:r>
        <w:rPr>
          <w:sz w:val="22"/>
          <w:szCs w:val="22"/>
        </w:rPr>
        <w:t>временно исполняющего обязанности директора Гончиковой Натальи Владимировны, действующего на основании Устава и приказа Минсельхоза России от 27.03.2026 № 31-кр,  именуемое в дальнейшем «Заказчик»</w:t>
      </w:r>
      <w:r>
        <w:rPr>
          <w:spacing w:val="1"/>
          <w:sz w:val="22"/>
          <w:szCs w:val="22"/>
        </w:rPr>
        <w:t>,</w:t>
      </w:r>
      <w:r>
        <w:rPr>
          <w:spacing w:val="115"/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pacing w:val="115"/>
          <w:sz w:val="22"/>
          <w:szCs w:val="22"/>
        </w:rPr>
        <w:t xml:space="preserve"> </w:t>
      </w:r>
      <w:r>
        <w:rPr>
          <w:sz w:val="22"/>
          <w:szCs w:val="22"/>
        </w:rPr>
        <w:t>од</w:t>
      </w:r>
      <w:r>
        <w:rPr>
          <w:spacing w:val="1"/>
          <w:sz w:val="22"/>
          <w:szCs w:val="22"/>
        </w:rPr>
        <w:t>н</w:t>
      </w:r>
      <w:r>
        <w:rPr>
          <w:spacing w:val="2"/>
          <w:sz w:val="22"/>
          <w:szCs w:val="22"/>
        </w:rPr>
        <w:t>о</w:t>
      </w:r>
      <w:r>
        <w:rPr>
          <w:spacing w:val="-1"/>
          <w:sz w:val="22"/>
          <w:szCs w:val="22"/>
        </w:rPr>
        <w:t>й</w:t>
      </w:r>
      <w:r>
        <w:rPr>
          <w:sz w:val="22"/>
          <w:szCs w:val="22"/>
        </w:rPr>
        <w:t xml:space="preserve"> сторо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ы,</w:t>
      </w:r>
      <w:r>
        <w:rPr>
          <w:spacing w:val="1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и _____________________</w:t>
      </w:r>
      <w:r>
        <w:rPr>
          <w:b/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именуемое в дальнейшем </w:t>
      </w:r>
      <w:r>
        <w:rPr>
          <w:sz w:val="22"/>
          <w:szCs w:val="22"/>
        </w:rPr>
        <w:t>«Исполнитель»,</w:t>
      </w:r>
      <w:r>
        <w:rPr>
          <w:bCs/>
          <w:sz w:val="22"/>
          <w:szCs w:val="22"/>
        </w:rPr>
        <w:t xml:space="preserve"> в лице ___________, действующего на основании _________</w:t>
      </w:r>
      <w:r>
        <w:rPr>
          <w:spacing w:val="112"/>
          <w:sz w:val="22"/>
          <w:szCs w:val="22"/>
        </w:rPr>
        <w:t>,</w:t>
      </w:r>
      <w:r>
        <w:rPr>
          <w:spacing w:val="141"/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pacing w:val="141"/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>
        <w:rPr>
          <w:spacing w:val="2"/>
          <w:sz w:val="22"/>
          <w:szCs w:val="22"/>
        </w:rPr>
        <w:t>р</w:t>
      </w:r>
      <w:r>
        <w:rPr>
          <w:spacing w:val="-4"/>
          <w:sz w:val="22"/>
          <w:szCs w:val="22"/>
        </w:rPr>
        <w:t>у</w:t>
      </w:r>
      <w:r>
        <w:rPr>
          <w:sz w:val="22"/>
          <w:szCs w:val="22"/>
        </w:rPr>
        <w:t>го</w:t>
      </w:r>
      <w:r>
        <w:rPr>
          <w:spacing w:val="1"/>
          <w:sz w:val="22"/>
          <w:szCs w:val="22"/>
        </w:rPr>
        <w:t>й</w:t>
      </w:r>
      <w:r>
        <w:rPr>
          <w:sz w:val="22"/>
          <w:szCs w:val="22"/>
        </w:rPr>
        <w:t xml:space="preserve"> сторо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ы,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дал</w:t>
      </w:r>
      <w:r>
        <w:rPr>
          <w:spacing w:val="1"/>
          <w:sz w:val="22"/>
          <w:szCs w:val="22"/>
        </w:rPr>
        <w:t>ьн</w:t>
      </w:r>
      <w:r>
        <w:rPr>
          <w:sz w:val="22"/>
          <w:szCs w:val="22"/>
        </w:rPr>
        <w:t>е</w:t>
      </w:r>
      <w:r>
        <w:rPr>
          <w:spacing w:val="1"/>
          <w:sz w:val="22"/>
          <w:szCs w:val="22"/>
        </w:rPr>
        <w:t>й</w:t>
      </w:r>
      <w:r>
        <w:rPr>
          <w:sz w:val="22"/>
          <w:szCs w:val="22"/>
        </w:rPr>
        <w:t>шем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>
        <w:rPr>
          <w:spacing w:val="1"/>
          <w:sz w:val="22"/>
          <w:szCs w:val="22"/>
        </w:rPr>
        <w:t>м</w:t>
      </w:r>
      <w:r>
        <w:rPr>
          <w:sz w:val="22"/>
          <w:szCs w:val="22"/>
        </w:rPr>
        <w:t>есте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им</w:t>
      </w:r>
      <w:r>
        <w:rPr>
          <w:sz w:val="22"/>
          <w:szCs w:val="22"/>
        </w:rPr>
        <w:t>е</w:t>
      </w:r>
      <w:r>
        <w:rPr>
          <w:spacing w:val="3"/>
          <w:sz w:val="22"/>
          <w:szCs w:val="22"/>
        </w:rPr>
        <w:t>н</w:t>
      </w:r>
      <w:r>
        <w:rPr>
          <w:spacing w:val="-4"/>
          <w:sz w:val="22"/>
          <w:szCs w:val="22"/>
        </w:rPr>
        <w:t>у</w:t>
      </w:r>
      <w:r>
        <w:rPr>
          <w:spacing w:val="1"/>
          <w:sz w:val="22"/>
          <w:szCs w:val="22"/>
        </w:rPr>
        <w:t>е</w:t>
      </w:r>
      <w:r>
        <w:rPr>
          <w:sz w:val="22"/>
          <w:szCs w:val="22"/>
        </w:rPr>
        <w:t>мы</w:t>
      </w:r>
      <w:r>
        <w:rPr>
          <w:spacing w:val="1"/>
          <w:sz w:val="22"/>
          <w:szCs w:val="22"/>
        </w:rPr>
        <w:t>е</w:t>
      </w:r>
      <w:r>
        <w:rPr>
          <w:spacing w:val="45"/>
          <w:sz w:val="22"/>
          <w:szCs w:val="22"/>
        </w:rPr>
        <w:t xml:space="preserve"> «</w:t>
      </w:r>
      <w:r>
        <w:rPr>
          <w:sz w:val="22"/>
          <w:szCs w:val="22"/>
        </w:rPr>
        <w:t>С</w:t>
      </w:r>
      <w:r>
        <w:rPr>
          <w:spacing w:val="2"/>
          <w:sz w:val="22"/>
          <w:szCs w:val="22"/>
        </w:rPr>
        <w:t>т</w:t>
      </w:r>
      <w:r>
        <w:rPr>
          <w:sz w:val="22"/>
          <w:szCs w:val="22"/>
        </w:rPr>
        <w:t>о</w:t>
      </w:r>
      <w:r>
        <w:rPr>
          <w:spacing w:val="1"/>
          <w:sz w:val="22"/>
          <w:szCs w:val="22"/>
        </w:rPr>
        <w:t>р</w:t>
      </w:r>
      <w:r>
        <w:rPr>
          <w:sz w:val="22"/>
          <w:szCs w:val="22"/>
        </w:rPr>
        <w:t>оны», а по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отдел</w:t>
      </w:r>
      <w:r>
        <w:rPr>
          <w:spacing w:val="1"/>
          <w:sz w:val="22"/>
          <w:szCs w:val="22"/>
        </w:rPr>
        <w:t>ьн</w:t>
      </w:r>
      <w:r>
        <w:rPr>
          <w:sz w:val="22"/>
          <w:szCs w:val="22"/>
        </w:rPr>
        <w:t>ост</w:t>
      </w:r>
      <w:r>
        <w:rPr>
          <w:spacing w:val="1"/>
          <w:sz w:val="22"/>
          <w:szCs w:val="22"/>
        </w:rPr>
        <w:t>и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«</w:t>
      </w:r>
      <w:r>
        <w:rPr>
          <w:sz w:val="22"/>
          <w:szCs w:val="22"/>
        </w:rPr>
        <w:t>С</w:t>
      </w:r>
      <w:r>
        <w:rPr>
          <w:spacing w:val="2"/>
          <w:sz w:val="22"/>
          <w:szCs w:val="22"/>
        </w:rPr>
        <w:t>т</w:t>
      </w:r>
      <w:r>
        <w:rPr>
          <w:sz w:val="22"/>
          <w:szCs w:val="22"/>
        </w:rPr>
        <w:t>о</w:t>
      </w:r>
      <w:r>
        <w:rPr>
          <w:spacing w:val="1"/>
          <w:sz w:val="22"/>
          <w:szCs w:val="22"/>
        </w:rPr>
        <w:t>р</w:t>
      </w:r>
      <w:r>
        <w:rPr>
          <w:sz w:val="22"/>
          <w:szCs w:val="22"/>
        </w:rPr>
        <w:t>о</w:t>
      </w:r>
      <w:r>
        <w:rPr>
          <w:spacing w:val="1"/>
          <w:sz w:val="22"/>
          <w:szCs w:val="22"/>
        </w:rPr>
        <w:t>н</w:t>
      </w:r>
      <w:r>
        <w:rPr>
          <w:spacing w:val="-2"/>
          <w:sz w:val="22"/>
          <w:szCs w:val="22"/>
        </w:rPr>
        <w:t>а»</w:t>
      </w:r>
      <w:r>
        <w:rPr>
          <w:sz w:val="22"/>
          <w:szCs w:val="22"/>
        </w:rPr>
        <w:t>,</w:t>
      </w:r>
      <w:r>
        <w:rPr>
          <w:spacing w:val="98"/>
          <w:sz w:val="22"/>
          <w:szCs w:val="22"/>
        </w:rPr>
        <w:t xml:space="preserve"> </w:t>
      </w:r>
      <w:r>
        <w:rPr>
          <w:sz w:val="22"/>
          <w:szCs w:val="22"/>
        </w:rPr>
        <w:t>руководствуясь пунктом 4 части 1 статьи 93 44-ФЗ «О контрактной системе в сфере закупок товаров, работ, услуг для обеспечения государственных и муниципальных нужд» (далее – Закон № 44-ФЗ), заключили настоящий Контракт (далее – Контракт) о нижеследующем:</w:t>
      </w:r>
    </w:p>
    <w:p w14:paraId="166026AF">
      <w:pPr>
        <w:widowControl/>
        <w:ind w:firstLine="567"/>
        <w:jc w:val="both"/>
        <w:rPr>
          <w:sz w:val="22"/>
          <w:szCs w:val="22"/>
        </w:rPr>
      </w:pPr>
    </w:p>
    <w:p w14:paraId="01B8CFBC">
      <w:pPr>
        <w:widowControl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1.</w:t>
      </w:r>
      <w:r>
        <w:rPr>
          <w:b/>
          <w:bCs/>
          <w:spacing w:val="113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</w:t>
      </w:r>
      <w:r>
        <w:rPr>
          <w:b/>
          <w:bCs/>
          <w:spacing w:val="-2"/>
          <w:sz w:val="22"/>
          <w:szCs w:val="22"/>
        </w:rPr>
        <w:t>Р</w:t>
      </w:r>
      <w:r>
        <w:rPr>
          <w:b/>
          <w:bCs/>
          <w:sz w:val="22"/>
          <w:szCs w:val="22"/>
        </w:rPr>
        <w:t xml:space="preserve">ЕДМЕТ </w:t>
      </w:r>
      <w:r>
        <w:rPr>
          <w:b/>
          <w:bCs/>
          <w:spacing w:val="1"/>
          <w:sz w:val="22"/>
          <w:szCs w:val="22"/>
        </w:rPr>
        <w:t>КОНТРАКТА</w:t>
      </w:r>
      <w:r>
        <w:rPr>
          <w:b/>
          <w:bCs/>
          <w:sz w:val="22"/>
          <w:szCs w:val="22"/>
        </w:rPr>
        <w:t xml:space="preserve"> </w:t>
      </w:r>
    </w:p>
    <w:p w14:paraId="2A060FB4">
      <w:pPr>
        <w:pStyle w:val="12"/>
        <w:widowControl/>
        <w:numPr>
          <w:ilvl w:val="1"/>
          <w:numId w:val="1"/>
        </w:numPr>
        <w:ind w:left="0" w:firstLine="567"/>
        <w:jc w:val="both"/>
        <w:rPr>
          <w:bCs/>
          <w:sz w:val="22"/>
          <w:szCs w:val="22"/>
        </w:rPr>
      </w:pPr>
      <w:r>
        <w:rPr>
          <w:sz w:val="22"/>
          <w:szCs w:val="22"/>
        </w:rPr>
        <w:t>За</w:t>
      </w:r>
      <w:r>
        <w:rPr>
          <w:spacing w:val="1"/>
          <w:sz w:val="22"/>
          <w:szCs w:val="22"/>
        </w:rPr>
        <w:t>к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з</w:t>
      </w:r>
      <w:r>
        <w:rPr>
          <w:sz w:val="22"/>
          <w:szCs w:val="22"/>
        </w:rPr>
        <w:t>ч</w:t>
      </w:r>
      <w:r>
        <w:rPr>
          <w:spacing w:val="1"/>
          <w:sz w:val="22"/>
          <w:szCs w:val="22"/>
        </w:rPr>
        <w:t>и</w:t>
      </w:r>
      <w:r>
        <w:rPr>
          <w:sz w:val="22"/>
          <w:szCs w:val="22"/>
        </w:rPr>
        <w:t>к</w:t>
      </w:r>
      <w:r>
        <w:rPr>
          <w:spacing w:val="3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п</w:t>
      </w:r>
      <w:r>
        <w:rPr>
          <w:sz w:val="22"/>
          <w:szCs w:val="22"/>
        </w:rPr>
        <w:t>о</w:t>
      </w:r>
      <w:r>
        <w:rPr>
          <w:spacing w:val="2"/>
          <w:sz w:val="22"/>
          <w:szCs w:val="22"/>
        </w:rPr>
        <w:t>р</w:t>
      </w:r>
      <w:r>
        <w:rPr>
          <w:spacing w:val="-4"/>
          <w:sz w:val="22"/>
          <w:szCs w:val="22"/>
        </w:rPr>
        <w:t>у</w:t>
      </w:r>
      <w:r>
        <w:rPr>
          <w:sz w:val="22"/>
          <w:szCs w:val="22"/>
        </w:rPr>
        <w:t>ч</w:t>
      </w:r>
      <w:r>
        <w:rPr>
          <w:spacing w:val="1"/>
          <w:sz w:val="22"/>
          <w:szCs w:val="22"/>
        </w:rPr>
        <w:t>а</w:t>
      </w:r>
      <w:r>
        <w:rPr>
          <w:sz w:val="22"/>
          <w:szCs w:val="22"/>
        </w:rPr>
        <w:t>ет,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а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Исполнитель</w:t>
      </w:r>
      <w:r>
        <w:rPr>
          <w:spacing w:val="3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п</w:t>
      </w:r>
      <w:r>
        <w:rPr>
          <w:sz w:val="22"/>
          <w:szCs w:val="22"/>
        </w:rPr>
        <w:t>р</w:t>
      </w:r>
      <w:r>
        <w:rPr>
          <w:spacing w:val="1"/>
          <w:sz w:val="22"/>
          <w:szCs w:val="22"/>
        </w:rPr>
        <w:t>и</w:t>
      </w:r>
      <w:r>
        <w:rPr>
          <w:spacing w:val="-1"/>
          <w:sz w:val="22"/>
          <w:szCs w:val="22"/>
        </w:rPr>
        <w:t>н</w:t>
      </w:r>
      <w:r>
        <w:rPr>
          <w:spacing w:val="1"/>
          <w:sz w:val="22"/>
          <w:szCs w:val="22"/>
        </w:rPr>
        <w:t>и</w:t>
      </w:r>
      <w:r>
        <w:rPr>
          <w:sz w:val="22"/>
          <w:szCs w:val="22"/>
        </w:rPr>
        <w:t>мает</w:t>
      </w:r>
      <w:r>
        <w:rPr>
          <w:spacing w:val="3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а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 xml:space="preserve">себя обязательства оказать услуги по сопровождению, установке и адаптации программ для ЭВМ, баз данных (программных средств и информационных продуктов вычислительной техники) - 1С:АС </w:t>
      </w:r>
      <w:r>
        <w:rPr>
          <w:bCs/>
          <w:sz w:val="22"/>
          <w:szCs w:val="22"/>
        </w:rPr>
        <w:t xml:space="preserve">(далее - услуги), а Заказчик обязуется принять и оплатить надлежащим образом оказанные услуги в соответствии с условиями настоящего контракта. </w:t>
      </w:r>
    </w:p>
    <w:p w14:paraId="45952CE8">
      <w:pPr>
        <w:widowControl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 Требования, предъявляемые к оказываемым услугам, их содержание и объем изложены в техническом задании (Приложение № 1), которое является неотъемлемой частью настоящего Контракта.</w:t>
      </w:r>
    </w:p>
    <w:p w14:paraId="4E9A27C0">
      <w:pPr>
        <w:widowControl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 Срок оказания услуг: с даты заключения Контракта по 31.12.2026г.</w:t>
      </w:r>
    </w:p>
    <w:p w14:paraId="06E899D3">
      <w:pPr>
        <w:widowControl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1.4. Объем оказываемых услуг: 30 (тридцать) часов. </w:t>
      </w:r>
    </w:p>
    <w:p w14:paraId="2461E974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1.5. Место оказания услуг: 107078, г. Москва, Садовая-Спасская ул., д. 11/1</w:t>
      </w:r>
    </w:p>
    <w:p w14:paraId="5B45CAA6">
      <w:pPr>
        <w:widowControl/>
        <w:ind w:firstLine="567"/>
        <w:jc w:val="both"/>
        <w:rPr>
          <w:bCs/>
          <w:sz w:val="22"/>
          <w:szCs w:val="22"/>
        </w:rPr>
      </w:pPr>
      <w:r>
        <w:rPr>
          <w:sz w:val="22"/>
          <w:szCs w:val="22"/>
        </w:rPr>
        <w:t>1.6.  Расчетный период, установленный настоящим Контрактом, равен 1 (одному) календарному месяцу.</w:t>
      </w:r>
    </w:p>
    <w:p w14:paraId="1F7C3566">
      <w:pPr>
        <w:pStyle w:val="12"/>
        <w:widowControl/>
        <w:ind w:left="375" w:firstLine="567"/>
        <w:jc w:val="center"/>
        <w:rPr>
          <w:bCs/>
          <w:spacing w:val="1"/>
          <w:sz w:val="22"/>
          <w:szCs w:val="22"/>
        </w:rPr>
      </w:pPr>
    </w:p>
    <w:p w14:paraId="7B193D87">
      <w:pPr>
        <w:widowControl/>
        <w:ind w:firstLine="567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pacing w:val="113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ЦЕНА </w:t>
      </w:r>
      <w:r>
        <w:rPr>
          <w:b/>
          <w:bCs/>
          <w:spacing w:val="1"/>
          <w:sz w:val="22"/>
          <w:szCs w:val="22"/>
        </w:rPr>
        <w:t>КОНТРАКТА</w:t>
      </w:r>
      <w:r>
        <w:rPr>
          <w:b/>
          <w:bCs/>
          <w:sz w:val="22"/>
          <w:szCs w:val="22"/>
        </w:rPr>
        <w:t xml:space="preserve"> И ПОРЯДОК РАСЧЕТОВ</w:t>
      </w:r>
    </w:p>
    <w:p w14:paraId="125A5C15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Цена Контракта составляет _____ (_____) рублей ___ копеек, в том числе НДС ___ % в размере _____ (______) рублей ____ копейки. </w:t>
      </w:r>
    </w:p>
    <w:p w14:paraId="2F8B44CE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Цена сформирована из расчета 30 (тридцать) часов рабочего времени по часовой ставке в размере _____ руб./час, в соответствии со спецификацией (Приложение № 2), являющейся неотъемлемой частью настоящего Контракта.</w:t>
      </w:r>
    </w:p>
    <w:p w14:paraId="0CDB6F00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 Цена Контракта указана с учетом всех расходов Исполнителя, связанных с оказанием услуг, в том числе транспортных расходов, страхования, налогов, расходов по оплате стоимости сторонних организаций и третьих лиц, и других обязательных платежей, которые необходимо выплатить при исполнении Контракта. </w:t>
      </w:r>
    </w:p>
    <w:p w14:paraId="593E1682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2.3. Цена Контракта является твердой и не может изменяться в ходе его исполнения, за исключением случаев, предусмотренных Законом № 44-ФЗ.</w:t>
      </w:r>
    </w:p>
    <w:p w14:paraId="3DF26C51">
      <w:pPr>
        <w:widowControl/>
        <w:tabs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2.4.  Авансирование не предусмотрено.</w:t>
      </w:r>
    </w:p>
    <w:p w14:paraId="18323944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>
        <w:rPr>
          <w:sz w:val="22"/>
          <w:szCs w:val="22"/>
        </w:rPr>
        <w:t>2.5. Оплата по настоящему Контракту производится Заказчиком безналичным расчётом, в течение 7 (семи) рабочих дней с момента подписания Заказчиком документа о приемке оказанных услуг (далее – документ о приемке) в единой информационной системе (далее – ЕИС), за фактически оказанные услуги в отчётном периоде (п. 1.6. Контракта) с приложением оригинала счета (счет-фактуры при наличии)</w:t>
      </w:r>
      <w:r>
        <w:rPr>
          <w:sz w:val="24"/>
          <w:szCs w:val="24"/>
        </w:rPr>
        <w:t>.</w:t>
      </w:r>
    </w:p>
    <w:p w14:paraId="59CBB760">
      <w:pPr>
        <w:widowControl/>
        <w:tabs>
          <w:tab w:val="left" w:pos="0"/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2.6. Датой исполнения Заказчиком обязательств по оплате считается дата списания денежных средств со счета Заказчика.</w:t>
      </w:r>
    </w:p>
    <w:p w14:paraId="7746B743">
      <w:pPr>
        <w:widowControl/>
        <w:tabs>
          <w:tab w:val="left" w:pos="0"/>
          <w:tab w:val="left" w:pos="1134"/>
        </w:tabs>
        <w:autoSpaceDE/>
        <w:autoSpaceDN/>
        <w:adjustRightInd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2.7. В связи с предоставлением не  всех необходимых для оплаты документов (документ о приемке счет, счет-фактура (при наличии)) по вине Исполнителя, Заказчик вправе соответственно задержать оплату за оказанные услуги соразмерно просрочке Исполнителя.</w:t>
      </w:r>
    </w:p>
    <w:p w14:paraId="6EF179ED">
      <w:pPr>
        <w:widowControl/>
        <w:ind w:firstLine="567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2.8. Источник финансирования: </w:t>
      </w:r>
      <w:r>
        <w:rPr>
          <w:iCs/>
          <w:sz w:val="22"/>
          <w:szCs w:val="22"/>
        </w:rPr>
        <w:t>средства субсидии на финансовое обеспечение выполнения государственного задания (средства федерального бюджета).</w:t>
      </w:r>
    </w:p>
    <w:p w14:paraId="40DF6B37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2.9. </w:t>
      </w:r>
      <w:r>
        <w:rPr>
          <w:spacing w:val="-1"/>
          <w:sz w:val="22"/>
          <w:szCs w:val="22"/>
        </w:rPr>
        <w:t>В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pacing w:val="5"/>
          <w:sz w:val="22"/>
          <w:szCs w:val="22"/>
        </w:rPr>
        <w:t>л</w:t>
      </w:r>
      <w:r>
        <w:rPr>
          <w:spacing w:val="-4"/>
          <w:sz w:val="22"/>
          <w:szCs w:val="22"/>
        </w:rPr>
        <w:t>у</w:t>
      </w:r>
      <w:r>
        <w:rPr>
          <w:spacing w:val="1"/>
          <w:sz w:val="22"/>
          <w:szCs w:val="22"/>
        </w:rPr>
        <w:t>ч</w:t>
      </w:r>
      <w:r>
        <w:rPr>
          <w:sz w:val="22"/>
          <w:szCs w:val="22"/>
        </w:rPr>
        <w:t>ае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из</w:t>
      </w:r>
      <w:r>
        <w:rPr>
          <w:sz w:val="22"/>
          <w:szCs w:val="22"/>
        </w:rPr>
        <w:t>ме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е</w:t>
      </w:r>
      <w:r>
        <w:rPr>
          <w:spacing w:val="1"/>
          <w:sz w:val="22"/>
          <w:szCs w:val="22"/>
        </w:rPr>
        <w:t>ни</w:t>
      </w:r>
      <w:r>
        <w:rPr>
          <w:sz w:val="22"/>
          <w:szCs w:val="22"/>
        </w:rPr>
        <w:t>я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расчет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ого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счета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Исполнителя,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>
        <w:rPr>
          <w:spacing w:val="1"/>
          <w:sz w:val="22"/>
          <w:szCs w:val="22"/>
        </w:rPr>
        <w:t>н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об</w:t>
      </w:r>
      <w:r>
        <w:rPr>
          <w:spacing w:val="-2"/>
          <w:sz w:val="22"/>
          <w:szCs w:val="22"/>
        </w:rPr>
        <w:t>я</w:t>
      </w:r>
      <w:r>
        <w:rPr>
          <w:spacing w:val="1"/>
          <w:sz w:val="22"/>
          <w:szCs w:val="22"/>
        </w:rPr>
        <w:t>з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н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сро</w:t>
      </w:r>
      <w:r>
        <w:rPr>
          <w:spacing w:val="-1"/>
          <w:sz w:val="22"/>
          <w:szCs w:val="22"/>
        </w:rPr>
        <w:t>к</w:t>
      </w:r>
      <w:r>
        <w:rPr>
          <w:spacing w:val="2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е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более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трех д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е</w:t>
      </w:r>
      <w:r>
        <w:rPr>
          <w:spacing w:val="1"/>
          <w:sz w:val="22"/>
          <w:szCs w:val="22"/>
        </w:rPr>
        <w:t>й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>
        <w:rPr>
          <w:spacing w:val="1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пи</w:t>
      </w:r>
      <w:r>
        <w:rPr>
          <w:sz w:val="22"/>
          <w:szCs w:val="22"/>
        </w:rPr>
        <w:t>с</w:t>
      </w:r>
      <w:r>
        <w:rPr>
          <w:spacing w:val="1"/>
          <w:sz w:val="22"/>
          <w:szCs w:val="22"/>
        </w:rPr>
        <w:t>ь</w:t>
      </w:r>
      <w:r>
        <w:rPr>
          <w:sz w:val="22"/>
          <w:szCs w:val="22"/>
        </w:rPr>
        <w:t>ме</w:t>
      </w:r>
      <w:r>
        <w:rPr>
          <w:spacing w:val="-1"/>
          <w:sz w:val="22"/>
          <w:szCs w:val="22"/>
        </w:rPr>
        <w:t>н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о</w:t>
      </w:r>
      <w:r>
        <w:rPr>
          <w:spacing w:val="1"/>
          <w:sz w:val="22"/>
          <w:szCs w:val="22"/>
        </w:rPr>
        <w:t>й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ф</w:t>
      </w:r>
      <w:r>
        <w:rPr>
          <w:spacing w:val="-2"/>
          <w:sz w:val="22"/>
          <w:szCs w:val="22"/>
        </w:rPr>
        <w:t>о</w:t>
      </w:r>
      <w:r>
        <w:rPr>
          <w:sz w:val="22"/>
          <w:szCs w:val="22"/>
        </w:rPr>
        <w:t>рме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сообщ</w:t>
      </w:r>
      <w:r>
        <w:rPr>
          <w:spacing w:val="1"/>
          <w:sz w:val="22"/>
          <w:szCs w:val="22"/>
        </w:rPr>
        <w:t>и</w:t>
      </w:r>
      <w:r>
        <w:rPr>
          <w:sz w:val="22"/>
          <w:szCs w:val="22"/>
        </w:rPr>
        <w:t>ть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об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этом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За</w:t>
      </w:r>
      <w:r>
        <w:rPr>
          <w:spacing w:val="1"/>
          <w:sz w:val="22"/>
          <w:szCs w:val="22"/>
        </w:rPr>
        <w:t>к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з</w:t>
      </w:r>
      <w:r>
        <w:rPr>
          <w:sz w:val="22"/>
          <w:szCs w:val="22"/>
        </w:rPr>
        <w:t>ч</w:t>
      </w:r>
      <w:r>
        <w:rPr>
          <w:spacing w:val="1"/>
          <w:sz w:val="22"/>
          <w:szCs w:val="22"/>
        </w:rPr>
        <w:t>и</w:t>
      </w:r>
      <w:r>
        <w:rPr>
          <w:spacing w:val="3"/>
          <w:sz w:val="22"/>
          <w:szCs w:val="22"/>
        </w:rPr>
        <w:t>к</w:t>
      </w:r>
      <w:r>
        <w:rPr>
          <w:spacing w:val="-7"/>
          <w:sz w:val="22"/>
          <w:szCs w:val="22"/>
        </w:rPr>
        <w:t>у</w:t>
      </w:r>
      <w:r>
        <w:rPr>
          <w:sz w:val="22"/>
          <w:szCs w:val="22"/>
        </w:rPr>
        <w:t>,</w:t>
      </w:r>
      <w:r>
        <w:rPr>
          <w:spacing w:val="2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у</w:t>
      </w:r>
      <w:r>
        <w:rPr>
          <w:spacing w:val="1"/>
          <w:sz w:val="22"/>
          <w:szCs w:val="22"/>
        </w:rPr>
        <w:t>к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за</w:t>
      </w:r>
      <w:r>
        <w:rPr>
          <w:sz w:val="22"/>
          <w:szCs w:val="22"/>
        </w:rPr>
        <w:t>в</w:t>
      </w:r>
      <w:r>
        <w:rPr>
          <w:spacing w:val="1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ов</w:t>
      </w:r>
      <w:r>
        <w:rPr>
          <w:spacing w:val="2"/>
          <w:sz w:val="22"/>
          <w:szCs w:val="22"/>
        </w:rPr>
        <w:t>ы</w:t>
      </w:r>
      <w:r>
        <w:rPr>
          <w:sz w:val="22"/>
          <w:szCs w:val="22"/>
        </w:rPr>
        <w:t>е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ре</w:t>
      </w:r>
      <w:r>
        <w:rPr>
          <w:spacing w:val="1"/>
          <w:sz w:val="22"/>
          <w:szCs w:val="22"/>
        </w:rPr>
        <w:t>к</w:t>
      </w:r>
      <w:r>
        <w:rPr>
          <w:sz w:val="22"/>
          <w:szCs w:val="22"/>
        </w:rPr>
        <w:t>в</w:t>
      </w:r>
      <w:r>
        <w:rPr>
          <w:spacing w:val="1"/>
          <w:sz w:val="22"/>
          <w:szCs w:val="22"/>
        </w:rPr>
        <w:t>изи</w:t>
      </w:r>
      <w:r>
        <w:rPr>
          <w:sz w:val="22"/>
          <w:szCs w:val="22"/>
        </w:rPr>
        <w:t>ты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расчет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ог</w:t>
      </w:r>
      <w:r>
        <w:rPr>
          <w:spacing w:val="-2"/>
          <w:sz w:val="22"/>
          <w:szCs w:val="22"/>
        </w:rPr>
        <w:t>о</w:t>
      </w:r>
      <w:r>
        <w:rPr>
          <w:sz w:val="22"/>
          <w:szCs w:val="22"/>
        </w:rPr>
        <w:t xml:space="preserve"> счета.</w:t>
      </w:r>
      <w:r>
        <w:rPr>
          <w:spacing w:val="5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В</w:t>
      </w:r>
      <w:r>
        <w:rPr>
          <w:spacing w:val="5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п</w:t>
      </w:r>
      <w:r>
        <w:rPr>
          <w:sz w:val="22"/>
          <w:szCs w:val="22"/>
        </w:rPr>
        <w:t>рот</w:t>
      </w:r>
      <w:r>
        <w:rPr>
          <w:spacing w:val="1"/>
          <w:sz w:val="22"/>
          <w:szCs w:val="22"/>
        </w:rPr>
        <w:t>и</w:t>
      </w:r>
      <w:r>
        <w:rPr>
          <w:sz w:val="22"/>
          <w:szCs w:val="22"/>
        </w:rPr>
        <w:t>в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ом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pacing w:val="-2"/>
          <w:sz w:val="22"/>
          <w:szCs w:val="22"/>
        </w:rPr>
        <w:t>л</w:t>
      </w:r>
      <w:r>
        <w:rPr>
          <w:spacing w:val="-4"/>
          <w:sz w:val="22"/>
          <w:szCs w:val="22"/>
        </w:rPr>
        <w:t>у</w:t>
      </w:r>
      <w:r>
        <w:rPr>
          <w:spacing w:val="1"/>
          <w:sz w:val="22"/>
          <w:szCs w:val="22"/>
        </w:rPr>
        <w:t>ча</w:t>
      </w:r>
      <w:r>
        <w:rPr>
          <w:sz w:val="22"/>
          <w:szCs w:val="22"/>
        </w:rPr>
        <w:t>е</w:t>
      </w:r>
      <w:r>
        <w:rPr>
          <w:spacing w:val="5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в</w:t>
      </w:r>
      <w:r>
        <w:rPr>
          <w:sz w:val="22"/>
          <w:szCs w:val="22"/>
        </w:rPr>
        <w:t>се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р</w:t>
      </w:r>
      <w:r>
        <w:rPr>
          <w:spacing w:val="1"/>
          <w:sz w:val="22"/>
          <w:szCs w:val="22"/>
        </w:rPr>
        <w:t>и</w:t>
      </w:r>
      <w:r>
        <w:rPr>
          <w:sz w:val="22"/>
          <w:szCs w:val="22"/>
        </w:rPr>
        <w:t>с</w:t>
      </w:r>
      <w:r>
        <w:rPr>
          <w:spacing w:val="1"/>
          <w:sz w:val="22"/>
          <w:szCs w:val="22"/>
        </w:rPr>
        <w:t>ки</w:t>
      </w:r>
      <w:r>
        <w:rPr>
          <w:sz w:val="22"/>
          <w:szCs w:val="22"/>
        </w:rPr>
        <w:t>,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свя</w:t>
      </w:r>
      <w:r>
        <w:rPr>
          <w:spacing w:val="1"/>
          <w:sz w:val="22"/>
          <w:szCs w:val="22"/>
        </w:rPr>
        <w:t>з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нн</w:t>
      </w:r>
      <w:r>
        <w:rPr>
          <w:sz w:val="22"/>
          <w:szCs w:val="22"/>
        </w:rPr>
        <w:t>ые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pacing w:val="5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п</w:t>
      </w:r>
      <w:r>
        <w:rPr>
          <w:sz w:val="22"/>
          <w:szCs w:val="22"/>
        </w:rPr>
        <w:t>ереч</w:t>
      </w:r>
      <w:r>
        <w:rPr>
          <w:spacing w:val="1"/>
          <w:sz w:val="22"/>
          <w:szCs w:val="22"/>
        </w:rPr>
        <w:t>и</w:t>
      </w:r>
      <w:r>
        <w:rPr>
          <w:sz w:val="22"/>
          <w:szCs w:val="22"/>
        </w:rPr>
        <w:t>сле</w:t>
      </w:r>
      <w:r>
        <w:rPr>
          <w:spacing w:val="1"/>
          <w:sz w:val="22"/>
          <w:szCs w:val="22"/>
        </w:rPr>
        <w:t>ни</w:t>
      </w:r>
      <w:r>
        <w:rPr>
          <w:sz w:val="22"/>
          <w:szCs w:val="22"/>
        </w:rPr>
        <w:t>ем</w:t>
      </w:r>
      <w:r>
        <w:rPr>
          <w:spacing w:val="57"/>
          <w:sz w:val="22"/>
          <w:szCs w:val="22"/>
        </w:rPr>
        <w:t xml:space="preserve"> </w:t>
      </w:r>
      <w:r>
        <w:rPr>
          <w:sz w:val="22"/>
          <w:szCs w:val="22"/>
        </w:rPr>
        <w:t>За</w:t>
      </w:r>
      <w:r>
        <w:rPr>
          <w:spacing w:val="1"/>
          <w:sz w:val="22"/>
          <w:szCs w:val="22"/>
        </w:rPr>
        <w:t>к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з</w:t>
      </w:r>
      <w:r>
        <w:rPr>
          <w:sz w:val="22"/>
          <w:szCs w:val="22"/>
        </w:rPr>
        <w:t>ч</w:t>
      </w:r>
      <w:r>
        <w:rPr>
          <w:spacing w:val="1"/>
          <w:sz w:val="22"/>
          <w:szCs w:val="22"/>
        </w:rPr>
        <w:t>ик</w:t>
      </w:r>
      <w:r>
        <w:rPr>
          <w:sz w:val="22"/>
          <w:szCs w:val="22"/>
        </w:rPr>
        <w:t>ом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де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еж</w:t>
      </w:r>
      <w:r>
        <w:rPr>
          <w:spacing w:val="1"/>
          <w:sz w:val="22"/>
          <w:szCs w:val="22"/>
        </w:rPr>
        <w:t>н</w:t>
      </w:r>
      <w:r>
        <w:rPr>
          <w:spacing w:val="-2"/>
          <w:sz w:val="22"/>
          <w:szCs w:val="22"/>
        </w:rPr>
        <w:t>ы</w:t>
      </w:r>
      <w:r>
        <w:rPr>
          <w:sz w:val="22"/>
          <w:szCs w:val="22"/>
        </w:rPr>
        <w:t xml:space="preserve">х средств 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а</w:t>
      </w:r>
      <w:r>
        <w:rPr>
          <w:spacing w:val="4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у</w:t>
      </w:r>
      <w:r>
        <w:rPr>
          <w:spacing w:val="3"/>
          <w:sz w:val="22"/>
          <w:szCs w:val="22"/>
        </w:rPr>
        <w:t>к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з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нн</w:t>
      </w:r>
      <w:r>
        <w:rPr>
          <w:sz w:val="22"/>
          <w:szCs w:val="22"/>
        </w:rPr>
        <w:t>ы</w:t>
      </w:r>
      <w:r>
        <w:rPr>
          <w:spacing w:val="1"/>
          <w:sz w:val="22"/>
          <w:szCs w:val="22"/>
        </w:rPr>
        <w:t>й</w:t>
      </w:r>
      <w:r>
        <w:rPr>
          <w:sz w:val="22"/>
          <w:szCs w:val="22"/>
        </w:rPr>
        <w:t xml:space="preserve"> в 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 xml:space="preserve">астоящем контракте счет Исполнителя, </w:t>
      </w:r>
      <w:r>
        <w:rPr>
          <w:spacing w:val="1"/>
          <w:sz w:val="22"/>
          <w:szCs w:val="22"/>
        </w:rPr>
        <w:t>н</w:t>
      </w:r>
      <w:r>
        <w:rPr>
          <w:sz w:val="22"/>
          <w:szCs w:val="22"/>
        </w:rPr>
        <w:t>есе</w:t>
      </w:r>
      <w:r>
        <w:rPr>
          <w:spacing w:val="3"/>
          <w:sz w:val="22"/>
          <w:szCs w:val="22"/>
        </w:rPr>
        <w:t>т</w:t>
      </w:r>
      <w:r>
        <w:rPr>
          <w:sz w:val="22"/>
          <w:szCs w:val="22"/>
        </w:rPr>
        <w:t xml:space="preserve"> Исполнитель</w:t>
      </w:r>
    </w:p>
    <w:p w14:paraId="5620E908">
      <w:pPr>
        <w:widowControl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</w:t>
      </w:r>
      <w:r>
        <w:rPr>
          <w:color w:val="000000"/>
          <w:kern w:val="2"/>
          <w:sz w:val="22"/>
          <w:szCs w:val="22"/>
          <w:lang w:eastAsia="ar-SA"/>
        </w:rPr>
        <w:t xml:space="preserve">                                           </w:t>
      </w:r>
    </w:p>
    <w:p w14:paraId="4798BFC2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СДАЧИ И ПРИЕМКИ ОКАЗАННЫХ УСЛУГ</w:t>
      </w:r>
    </w:p>
    <w:p w14:paraId="225CB505">
      <w:pPr>
        <w:ind w:firstLine="567"/>
        <w:jc w:val="both"/>
        <w:outlineLvl w:val="1"/>
        <w:rPr>
          <w:color w:val="000000" w:themeColor="text1"/>
          <w:kern w:val="36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3.1. Сдача-приемка услуг осуществляется по окончании отчетного периода и оформляется документом о приемке.</w:t>
      </w:r>
    </w:p>
    <w:p w14:paraId="599933FE">
      <w:pPr>
        <w:ind w:firstLine="567"/>
        <w:jc w:val="both"/>
        <w:outlineLvl w:val="1"/>
        <w:rPr>
          <w:sz w:val="22"/>
          <w:szCs w:val="22"/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Исполнитель в срок не позднее 3 (трех)  с даты истечения отчетного периода по Контракту формирует с использованием </w:t>
      </w:r>
      <w:r>
        <w:rPr>
          <w:rFonts w:eastAsia="Calibri"/>
          <w:sz w:val="22"/>
          <w:szCs w:val="22"/>
          <w:lang w:eastAsia="en-US"/>
        </w:rPr>
        <w:t>ЕИС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, подписывает </w:t>
      </w:r>
      <w:r>
        <w:rPr>
          <w:rFonts w:eastAsia="Calibri"/>
          <w:sz w:val="22"/>
          <w:szCs w:val="22"/>
          <w:lang w:eastAsia="en-US"/>
        </w:rPr>
        <w:t>квалифицированной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усиленной электронной подписью лица, имеющего право действовать от имени Исполнителя, и размещает в ЕИС документ о приемке с приложением документов о результатах оказанных услуг, содержащий детализацию фактически оказанных услуг за отчетный период и фактическую стоимость (цену) оказанных </w:t>
      </w:r>
      <w:r>
        <w:rPr>
          <w:sz w:val="22"/>
          <w:szCs w:val="22"/>
        </w:rPr>
        <w:t xml:space="preserve">услуг,  в соответствии с требованиями п. </w:t>
      </w:r>
      <w:r>
        <w:rPr>
          <w:rFonts w:eastAsia="Calibri"/>
          <w:sz w:val="22"/>
          <w:szCs w:val="22"/>
          <w:lang w:eastAsia="en-US"/>
        </w:rPr>
        <w:t xml:space="preserve"> 1 ч. 13 статьи 94  Закона </w:t>
      </w:r>
      <w:r>
        <w:rPr>
          <w:rFonts w:eastAsia="Calibri"/>
          <w:spacing w:val="-3"/>
          <w:sz w:val="22"/>
          <w:szCs w:val="22"/>
          <w:lang w:eastAsia="en-US"/>
        </w:rPr>
        <w:t>№ 44-ФЗ</w:t>
      </w:r>
      <w:r>
        <w:rPr>
          <w:sz w:val="22"/>
          <w:szCs w:val="22"/>
        </w:rPr>
        <w:t>.</w:t>
      </w:r>
    </w:p>
    <w:p w14:paraId="656C736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К документу о приемке </w:t>
      </w:r>
      <w:r>
        <w:rPr>
          <w:sz w:val="22"/>
          <w:szCs w:val="22"/>
        </w:rPr>
        <w:t>Исполнитель</w:t>
      </w:r>
      <w:r>
        <w:rPr>
          <w:rFonts w:eastAsia="Calibri"/>
          <w:sz w:val="22"/>
          <w:szCs w:val="22"/>
          <w:lang w:eastAsia="en-US"/>
        </w:rPr>
        <w:t xml:space="preserve"> прилагает оригинал счета на оплату и счет-фактуру (при наличии), либо направляет </w:t>
      </w:r>
      <w:r>
        <w:rPr>
          <w:sz w:val="22"/>
          <w:szCs w:val="22"/>
        </w:rPr>
        <w:t>через оператора электронного документооборота (ЭДО)</w:t>
      </w:r>
      <w:r>
        <w:rPr>
          <w:rFonts w:eastAsia="Calibri"/>
          <w:sz w:val="22"/>
          <w:szCs w:val="22"/>
          <w:lang w:eastAsia="en-US"/>
        </w:rPr>
        <w:t xml:space="preserve"> оригинал счета на оплату и счет-фактуру (при наличии),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14:paraId="0C955334">
      <w:pPr>
        <w:ind w:firstLine="567"/>
        <w:jc w:val="both"/>
        <w:rPr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36"/>
          <w:sz w:val="22"/>
          <w:szCs w:val="22"/>
          <w14:textFill>
            <w14:solidFill>
              <w14:schemeClr w14:val="tx1"/>
            </w14:solidFill>
          </w14:textFill>
        </w:rPr>
        <w:t xml:space="preserve">3.2. 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Датой поступления Заказчику документа о приемке, подписанного Исполнителем, считается дата размещения  Исполнителем такого документа в ЕИС в соответствии с часовой зоной, в которой расположен Заказчик</w:t>
      </w:r>
      <w:r>
        <w:rPr>
          <w:i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</w:t>
      </w:r>
    </w:p>
    <w:p w14:paraId="57A59841">
      <w:pPr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3.3.  </w:t>
      </w:r>
      <w:r>
        <w:rPr>
          <w:rFonts w:eastAsia="Calibri"/>
          <w:sz w:val="22"/>
          <w:szCs w:val="22"/>
          <w:lang w:eastAsia="en-US"/>
        </w:rPr>
        <w:t xml:space="preserve">Заказчик (за исключением случая создания приемочной комиссии в соответствии с пунктом 3.6. Контракта) в срок не более </w:t>
      </w:r>
      <w:bookmarkStart w:id="1" w:name="P1489"/>
      <w:bookmarkEnd w:id="1"/>
      <w:r>
        <w:rPr>
          <w:rFonts w:eastAsia="Calibri"/>
          <w:sz w:val="22"/>
          <w:szCs w:val="22"/>
          <w:lang w:eastAsia="en-US"/>
        </w:rPr>
        <w:t>20 (двадцати) рабочих дней с момента поступления документа о приемке проводит экспертизу предоставленных Исполнителем результатов оказания услуг, предусмотренных Контрактом, в части их соответствия условиям настоящего Контракта.</w:t>
      </w:r>
    </w:p>
    <w:p w14:paraId="06CECF75">
      <w:pPr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3.4.  </w:t>
      </w:r>
      <w:r>
        <w:rPr>
          <w:rFonts w:eastAsia="Calibri"/>
          <w:sz w:val="22"/>
          <w:szCs w:val="22"/>
          <w:lang w:eastAsia="en-US"/>
        </w:rPr>
        <w:t>В случае отсутствия оснований, препятствующих приемке оказанных услуг, либо замечаний к сведениям, содержащимся в документе о приемке, и/или к содержанию (оформлению) приложенных к документу о приемке документам, которые считаются его неотъемлемой частью, Заказчик в течение 5 (пяти) рабочих дней с момента завершения проведения экспертизы подписывает усиленной квалифицированной электронной подписью лица, имеющего право действовать от имени Заказчика, и размещает в ЕИС документ о приемке.</w:t>
      </w:r>
    </w:p>
    <w:p w14:paraId="46F966D0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3.5. </w:t>
      </w:r>
      <w:r>
        <w:rPr>
          <w:rFonts w:eastAsia="Calibri"/>
          <w:sz w:val="22"/>
          <w:szCs w:val="22"/>
          <w:lang w:eastAsia="en-US"/>
        </w:rPr>
        <w:t>В случае наличия в заключении, подготовленном по результатам проведения экспертизы, нарушений требований настоящего Контракта, препятствующих приемке оказанных услуг, либо наличия замечаний к сведениям, содержащимся в документе о приемке, и/или к содержанию (оформлению) приложенных к документу о приемке документам, которые считаются его неотъемлемой частью, Заказчик в течение 5 (пяти) рабочих дней с момента завершения проведения экспертизы, 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с указанием причин такого отказа.</w:t>
      </w:r>
    </w:p>
    <w:p w14:paraId="68EA12F3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Исполнитель обязан устранить выявленные недостатки и в срок не более 5 (пяти) рабочих дней повторно направить Заказчику документы, указанные в пункте 3.1 настоящего раздела, либо мотивированный отказ от устранения выявленных недостатков с указанием причин такого отказа. </w:t>
      </w:r>
    </w:p>
    <w:p w14:paraId="76E5E8DD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Повторное рассмотрение документов о приемке осуществляется в порядке, определенном настоящим разделом Контракта.</w:t>
      </w:r>
    </w:p>
    <w:p w14:paraId="6D235866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3.6. Заказчик вправе создать приемочную комиссию, состоящую не менее чем из пяти человек, для проверки соответствия качества оказанных услуг требованиям, установленным Контрактом и приложениями к нему. </w:t>
      </w:r>
    </w:p>
    <w:p w14:paraId="00033379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случае создания приемочной комиссии, в срок не более 20 (двадцати) рабочих дней, следующих за днем поступления Заказчику документа о приемке:</w:t>
      </w:r>
    </w:p>
    <w:p w14:paraId="15DA6A86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а) члены приемочной комиссии подписывают усиленными электронными подписями поступивший документ о приемке или формируют с использованием ЕИС,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ЕИС;</w:t>
      </w:r>
    </w:p>
    <w:p w14:paraId="773547AE">
      <w:pPr>
        <w:ind w:firstLine="567"/>
        <w:jc w:val="both"/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eastAsia="Calibri"/>
          <w:sz w:val="22"/>
          <w:szCs w:val="22"/>
          <w:lang w:eastAsia="en-US"/>
        </w:rPr>
        <w:t>б) после подписания членами приемочной комиссии в соответствии с подпунктом «а»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ЕИС. Если члены приемочной комиссии в соответствии с подпунктом «а» настоящего пункта не использовали усиленные электронные подписи и ЕИС, Заказчик прилагает подписанные ими документы в форме электронных образов бумажных документов.</w:t>
      </w:r>
    </w:p>
    <w:p w14:paraId="520BE44B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3.7. </w:t>
      </w:r>
      <w:r>
        <w:rPr>
          <w:rFonts w:eastAsia="Calibri"/>
          <w:sz w:val="22"/>
          <w:szCs w:val="22"/>
          <w:lang w:eastAsia="en-US"/>
        </w:rPr>
        <w:t>Датой поступления Исполнителю документа о приемке, мотивированного отказа от подписания документа о приемке считается дата их размещения в ЕИС в соответствии с часовой зоной, в которой расположен Исполнитель.</w:t>
      </w:r>
    </w:p>
    <w:p w14:paraId="2D420011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3.8. Если иное не установлено Законом № 44-ФЗ, подписание документа о приемке осуществляется в электронной форме уполномоченными лицами Сторон усиленными квалифицированными электронными подписями с соблюдением требований Федерального закона от 06.04.2011 № 63-ФЗ «Об электронной подписи», для чего Стороны обеспечивают регистрацию уполномоченных лиц в ЕИС в соответствии с требованиями Закона № 44-ФЗ.</w:t>
      </w:r>
    </w:p>
    <w:p w14:paraId="5809587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3.9. Документ о приемке, полученный Сторонами друг от друга с использованием ЕИС, не требует дублирования документами, оформленными на бумажных носителях, принимается к учету Сторонами в качестве первичного учетного документа и применяется при возникновении претензий и судебных споров.</w:t>
      </w:r>
    </w:p>
    <w:p w14:paraId="7993308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3.10. Экспертиза предоставленных Исполнителем результатов оказания услуг, предусмотренных Контрактом, может проводиться Заказчиком своими силами, или к ее проведению могут привлекаться эксперты, экспертные организации на основании контрактов, заключенных в соответствии с Законом № 44-ФЗ.</w:t>
      </w:r>
    </w:p>
    <w:p w14:paraId="1EB9BBC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случае привлечения Заказчиком для проведения экспертизы предоставленных Исполнителем результатов оказания услуг, предусмотренных Контрактом, в части их соответствия условиям настоящего Контракта, экспертов, экспертных организаций при принятии решения о приемке или об отказе в приемке предоставленных Исполнителем результатов оказания услуг,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5666A4FA">
      <w:pPr>
        <w:ind w:firstLine="567"/>
        <w:jc w:val="both"/>
        <w:rPr>
          <w:sz w:val="22"/>
          <w:szCs w:val="22"/>
        </w:rPr>
      </w:pPr>
      <w:bookmarkStart w:id="2" w:name="_Hlk146635340"/>
      <w:r>
        <w:rPr>
          <w:sz w:val="22"/>
          <w:szCs w:val="22"/>
        </w:rPr>
        <w:t>В случае, если по результатам такой экспертизы установлены нарушения требований Контракта, не препятствующие приемке оказанных услуг, в заключении могут содержаться предложения об устранении данных нарушений с указанием срока их устранения.</w:t>
      </w:r>
    </w:p>
    <w:bookmarkEnd w:id="2"/>
    <w:p w14:paraId="3AD3EE2D">
      <w:pPr>
        <w:ind w:firstLine="567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3.11. Заказчик вправе не отказывать в приемке оказанных услуг в случае выявления несоответствия оказанной услуги условиям Контракта, если выявленное несоответствие не препятствует приемке оказанной услуги и устранено Исполнителем.</w:t>
      </w:r>
    </w:p>
    <w:p w14:paraId="5CB30E55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FE68353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ГАРАНТИИ И КАЧЕСТВО УСЛУГ</w:t>
      </w:r>
    </w:p>
    <w:p w14:paraId="2948FE5D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4.1. Исполнитель гарантирует, что оказываемые услуги соответствуют требованиям, установленным в Контракте, обязательным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</w:p>
    <w:p w14:paraId="70530F3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4.2. Гарантийный срок на результат оказанных по Контракту услуг равен сроку действия настоящего Контракта. Под гарантией понимается устранение Исполнителем своими силами и за свой счет допущенных по его вине недостатков, выявленных после приемки  оказанных услуг. </w:t>
      </w:r>
    </w:p>
    <w:p w14:paraId="3D7CDF72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4.3. Если в период гарантийного срока обнаружатся недостатки, то Исполнитель (в случае, если не докажет отсутствие своей вины) обязан устранить их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недостатков.</w:t>
      </w:r>
    </w:p>
    <w:p w14:paraId="7A94E01E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4.4. Исполнитель гарантирует возможность безопасного использования результата оказанных услуг по назначению в течение всего гарантийного срока. </w:t>
      </w:r>
    </w:p>
    <w:p w14:paraId="508FA55E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</w:p>
    <w:p w14:paraId="31C7EDCD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ПРАВА И ОБЯЗАННОСТИ СТОРОН</w:t>
      </w:r>
    </w:p>
    <w:p w14:paraId="5DFAA577">
      <w:pPr>
        <w:ind w:firstLine="567"/>
        <w:rPr>
          <w:b/>
          <w:sz w:val="22"/>
          <w:szCs w:val="22"/>
        </w:rPr>
      </w:pPr>
      <w:r>
        <w:rPr>
          <w:sz w:val="22"/>
          <w:szCs w:val="22"/>
        </w:rPr>
        <w:t>5.1. Исполнитель обязан:</w:t>
      </w:r>
    </w:p>
    <w:p w14:paraId="73AAB7D2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5.1.1. Оказывать услуги по настоящему Контракту в соответствии с техническим заданием (приложение №  1).</w:t>
      </w:r>
    </w:p>
    <w:p w14:paraId="775ADB36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5.1.2.  Гарантировать, что качество услуг соответствует требованиям стандартов и техническому заданию, а также иным требованиям, предъявляемым к услугам такого рода на территории Российской Федерации.</w:t>
      </w:r>
    </w:p>
    <w:p w14:paraId="7398A46B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5.1.3. Известить Заказчика и до получения от него указаний приостановить оказание услуг при обнаружении:  возможных неблагоприятных для Заказчика последствий выполнения его указаний о способе выполнения услуг; иных, независящих от Исполнителя обстоятельств, создающих невозможность выполнения услуг в срок.</w:t>
      </w:r>
    </w:p>
    <w:p w14:paraId="41E89C2D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5.1.4. Выполнять в полном объеме все свои обязательства, предусмотренные в настоящем  Контракте. </w:t>
      </w:r>
    </w:p>
    <w:p w14:paraId="13BC3534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5.1.5. Обеспечить сохранность данных в соответствии с Федеральным законом от 27.07.2006 № 152-ФЗ «О персональных данных».</w:t>
      </w:r>
    </w:p>
    <w:p w14:paraId="3651D0FA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 Заказчик обязан: </w:t>
      </w:r>
    </w:p>
    <w:p w14:paraId="7BCACC6D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5.2.1. Предоставить Исполнителю всю имеющуюся в распоряжении Заказчика документацию, необходимую для оказания  услуг. </w:t>
      </w:r>
    </w:p>
    <w:p w14:paraId="2E1167FC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5.2.2. После проверки объема и качества оказанных услуг рассмотреть и подписать документ о приемке.</w:t>
      </w:r>
    </w:p>
    <w:p w14:paraId="6CCF08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5.2.3. Произвести оплату оказанных услуг в соответствии с условиями настоящего Контракта. </w:t>
      </w:r>
    </w:p>
    <w:p w14:paraId="5D76102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5.2.4. Выполнить в полном объеме все свои обязательства, предусмотренные в других статьях настоящего Контракта.</w:t>
      </w:r>
    </w:p>
    <w:p w14:paraId="15569232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5.3. Заказчик вправе осуществлять контроль и надзор за ходом и качеством оказания услуг, соблюдением сроков их оказания, не вмешиваясь при этом в оперативно-хозяйственную деятельность Исполнителя.</w:t>
      </w:r>
    </w:p>
    <w:p w14:paraId="35333C7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</w:p>
    <w:p w14:paraId="1B903CA6">
      <w:pPr>
        <w:ind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6. ОТВЕТСТВЕННОСТЬ СТОРОН</w:t>
      </w:r>
    </w:p>
    <w:p w14:paraId="07737BCF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Федерации. </w:t>
      </w:r>
    </w:p>
    <w:p w14:paraId="74615CF5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6.2. Размер и порядок начисления неустойки (штрафов, пени) определяется в соответствии с Законом № 44-ФЗ и постановлением Правительства РФ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1063».</w:t>
      </w:r>
    </w:p>
    <w:p w14:paraId="56381C03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14:paraId="4197866B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6.4.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131EAA10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6.5. В случае неисполнения или ненадлежащего исполнения Заказчиком обязательств, предусмотренных Контрактом, за исключением просрочки исполнения обязательств, предусмотренных Контрактом,  Исполнитель вправе потребовать уплаты штрафа, размер которого составляет  1000 рублей.</w:t>
      </w:r>
    </w:p>
    <w:p w14:paraId="1A6EECD3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6.6.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49572664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6.7.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 10 % цены Контракта (этапа).</w:t>
      </w:r>
    </w:p>
    <w:p w14:paraId="5C54F875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6.8.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 размере  1000 рублей.</w:t>
      </w:r>
    </w:p>
    <w:p w14:paraId="42CC789F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6.9. В случае просрочки исполнения Исполнителем обязательств, предусмотренных Контрактом, Заказчик начисляет пени.</w:t>
      </w:r>
    </w:p>
    <w:p w14:paraId="393C369E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6.10.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5608107B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6.11. Уплата неустойки (штрафа) не освобождает Исполнителя от исполнения своих обязательств по Контракту.</w:t>
      </w:r>
    </w:p>
    <w:p w14:paraId="0E6D2AA9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6.12. Стороны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14:paraId="0D0A3F0F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5D21D5A0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6.14.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760D3749">
      <w:pPr>
        <w:pStyle w:val="9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6.15. Стороны несут ответственность за достоверность и соответствие законодательству Российской Федерации сведений, указанных в предоставленных друг другу документах.</w:t>
      </w:r>
    </w:p>
    <w:p w14:paraId="17A5D2A9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14:paraId="4F8F4BA0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ПОРЯДОК РАССМОТРЕНИЯ СПОРОВ</w:t>
      </w:r>
    </w:p>
    <w:p w14:paraId="475515BC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Споры и разногласия Сторон, возникающие в связи с исполнением настоящего Контракта, рассматриваются Сторонами путем переговоров. </w:t>
      </w:r>
    </w:p>
    <w:p w14:paraId="262FBA9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Неурегулированные путем переговоров споры и разногласия разрешаются в Арбитражном суде города Москвы. </w:t>
      </w:r>
    </w:p>
    <w:p w14:paraId="101719C4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</w:p>
    <w:p w14:paraId="614429ED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 ФОРС-МАЖОР</w:t>
      </w:r>
    </w:p>
    <w:p w14:paraId="0F094C02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8.1. Стороны освобождаются от ответственности за частичное или полное неисполнение обязательств по настоящему Контракту, если неисполнение Сторонами обязательств вызвано непреодолимой силой, то есть чрезвычайными и непредотвратимыми обстоятельствами (стихийные бедствия, землетрясения, наводнения, пожары, мятежи, гражданские беспорядки, забастовки персонала, война и военные действия). </w:t>
      </w:r>
    </w:p>
    <w:p w14:paraId="72B5933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8.2. Сторона, которая не в состоянии выполнить свои обязательства по настоящему Контракту в силу вышеуказанных обстоятельств, незамедлительно письменно информирует другую Сторону о наступлении данных обстоятельств и прекращении выполнения указанных обязательств, но в любом случае не позднее 3 (трех) рабочих дней после начала их действия.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Контракту по причине указанных обстоятельств. Факт наступления и прекращения обстоятельств непреодолимой силы документально подтверждается компетентными государственными органами. </w:t>
      </w:r>
    </w:p>
    <w:p w14:paraId="3ADD58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8.3. Если указанные обстоятельства продолжаются более 1 (одного) месяца, то каждая Сторона имеет право на досрочное расторжение настоящего Контракта. В этом случае Стороны производят взаиморасчеты. </w:t>
      </w:r>
    </w:p>
    <w:p w14:paraId="5888F2F9">
      <w:pPr>
        <w:widowControl/>
        <w:autoSpaceDE/>
        <w:autoSpaceDN/>
        <w:adjustRightInd/>
        <w:ind w:firstLine="567"/>
        <w:jc w:val="both"/>
        <w:rPr>
          <w:b/>
          <w:sz w:val="22"/>
          <w:szCs w:val="22"/>
        </w:rPr>
      </w:pPr>
    </w:p>
    <w:p w14:paraId="18DE1007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 УСЛОВИЯ КОНФИДЕНЦИАЛЬНОСТИ</w:t>
      </w:r>
    </w:p>
    <w:p w14:paraId="1A19A0A8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По взаимному согласию Сторон в рамках настоящего Контракта конфиденциальной признается информация, касающаяся предмета Контракта, хода его выполнения и полученных результатов. </w:t>
      </w:r>
    </w:p>
    <w:p w14:paraId="643504C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Каждая из Сторон обязана обеспечить защиту конфиденциальной информации от несанкционированного использования, распространения или публикации. </w:t>
      </w:r>
    </w:p>
    <w:p w14:paraId="61052586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9.3. Любой ущерб, вызванный нарушением положений настоящего раздела Контракта, определяется и возмещается в соответствии с действующим законодательством Российской Федерации. </w:t>
      </w:r>
    </w:p>
    <w:p w14:paraId="1D7D80B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9.4. Вышеперечисленные обязательства действуют в течение всего срока действия настоящего Контракта, а также после окончания или расторжения Контракта в течение срока, установленного нормативными правовыми актами Российской Федерации. </w:t>
      </w:r>
    </w:p>
    <w:p w14:paraId="72BFA9B2">
      <w:pPr>
        <w:widowControl/>
        <w:autoSpaceDE/>
        <w:autoSpaceDN/>
        <w:adjustRightInd/>
        <w:ind w:firstLine="567"/>
        <w:rPr>
          <w:b/>
          <w:sz w:val="22"/>
          <w:szCs w:val="22"/>
        </w:rPr>
      </w:pPr>
    </w:p>
    <w:p w14:paraId="3DDDFADD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10. РАСТОРЖЕНИЕ И ПРЕКРАЩЕНИЕ КОНТРАКТА</w:t>
      </w:r>
    </w:p>
    <w:p w14:paraId="07EDCB0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10.1. Расторжение Контракта допускается по соглашению Сторон, по решению суда, в случае одностороннего отказа Стороны  от исполнения Контракта в соответствии с гражданским законодательством Российской Федерации. </w:t>
      </w:r>
    </w:p>
    <w:p w14:paraId="48927DBF">
      <w:pPr>
        <w:tabs>
          <w:tab w:val="left" w:pos="1418"/>
          <w:tab w:val="left" w:pos="1474"/>
          <w:tab w:val="left" w:pos="1560"/>
        </w:tabs>
        <w:ind w:firstLine="567"/>
        <w:jc w:val="both"/>
        <w:rPr>
          <w:i/>
          <w:sz w:val="22"/>
          <w:szCs w:val="22"/>
        </w:rPr>
      </w:pPr>
      <w:r>
        <w:rPr>
          <w:sz w:val="22"/>
          <w:szCs w:val="22"/>
        </w:rPr>
        <w:t>10.2.  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календарных дней с даты его получения.</w:t>
      </w:r>
    </w:p>
    <w:p w14:paraId="36EED6B0">
      <w:pPr>
        <w:tabs>
          <w:tab w:val="left" w:pos="1418"/>
          <w:tab w:val="left" w:pos="1474"/>
          <w:tab w:val="left" w:pos="156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10.3. Расторжение Контракта производится Сторонами путем подписания соответствующего соглашения о расторжении.</w:t>
      </w:r>
    </w:p>
    <w:p w14:paraId="03AEF0AA">
      <w:pPr>
        <w:tabs>
          <w:tab w:val="left" w:pos="1418"/>
          <w:tab w:val="left" w:pos="1474"/>
          <w:tab w:val="left" w:pos="156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10.4. В случае расторжения настоящего Контракта по инициативе любой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из Сторон Стороны производят сверку расчетов, которой подтверждается объем оказанных Исполнителем услуг.</w:t>
      </w:r>
    </w:p>
    <w:p w14:paraId="3B7AB782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10.5.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 </w:t>
      </w:r>
    </w:p>
    <w:p w14:paraId="6DDEC739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 </w:t>
      </w:r>
    </w:p>
    <w:p w14:paraId="168DBD1C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11  СРОК ДЕЙСТВИЯ КОНТРАКТА</w:t>
      </w:r>
    </w:p>
    <w:p w14:paraId="52A594D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11.1. Контракт вступает в силу и становится обязательным для Сторон с момента подписания и действует по «31» декабря 2026 г. (включительно), а в части оплаты — до полного исполнения обязательств. </w:t>
      </w:r>
      <w:r>
        <w:rPr>
          <w:color w:val="080606"/>
          <w:sz w:val="22"/>
          <w:szCs w:val="22"/>
          <w:shd w:val="clear" w:color="auto" w:fill="FFFFFF"/>
        </w:rPr>
        <w:t>Окончание срока действия Контракта не влечет прекращения неисполненных обязательств Сторон по Контракту</w:t>
      </w:r>
    </w:p>
    <w:p w14:paraId="52EA9C01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14:paraId="0D6FBE0A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12. ПРОЧИЕ УСЛОВИЯ КОНТРАКТА</w:t>
      </w:r>
    </w:p>
    <w:p w14:paraId="5FCBA80C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12.1. Изменение существенных условий Контракта при его исполнении не допускается,  за исключением случаев, предусмотренных Законом № 44-ФЗ.</w:t>
      </w:r>
    </w:p>
    <w:p w14:paraId="30D10AF9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12.2. Все изменения и дополнения к настоящему Контракту оформляются дополнительными соглашениями, подписываемыми Сторонами, и являются неотъемлемой частью Контракта. </w:t>
      </w:r>
    </w:p>
    <w:p w14:paraId="63E5081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12.3. При исполнении Контракта не допускается перемена  Исполнителя, за исключением случая, если новый  исполнитель является правопреемником  Исполнителя  вследствие реорганизации юридического лица в форме преобразования, слияния или присоединения</w:t>
      </w:r>
    </w:p>
    <w:p w14:paraId="5E9EC4E0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12.4. Настоящий Контракт составлен в форме электронного документа, подписанного усиленными электронными подписями Сторон.</w:t>
      </w:r>
    </w:p>
    <w:p w14:paraId="0BF3BE17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12.5. Неотъемлемыми частями Контракта являются: </w:t>
      </w:r>
    </w:p>
    <w:p w14:paraId="20D01D5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Приложение № 1 «Техническое задание»;</w:t>
      </w:r>
    </w:p>
    <w:p w14:paraId="6B039502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Приложение № 2 «Спецификация». </w:t>
      </w:r>
    </w:p>
    <w:p w14:paraId="03786338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</w:p>
    <w:p w14:paraId="3C8307A0">
      <w:pPr>
        <w:tabs>
          <w:tab w:val="left" w:pos="900"/>
        </w:tabs>
        <w:ind w:firstLine="567"/>
        <w:jc w:val="center"/>
        <w:rPr>
          <w:b/>
          <w:color w:val="000000"/>
          <w:spacing w:val="2"/>
          <w:sz w:val="22"/>
          <w:szCs w:val="22"/>
        </w:rPr>
      </w:pPr>
      <w:r>
        <w:rPr>
          <w:b/>
          <w:color w:val="000000"/>
          <w:spacing w:val="2"/>
          <w:sz w:val="22"/>
          <w:szCs w:val="22"/>
        </w:rPr>
        <w:t>13. АНТИКОРРУПЦИОННАЯ ОГОВОРКА</w:t>
      </w:r>
    </w:p>
    <w:p w14:paraId="09C86C6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13.1. Настоящая оговорка отражает приверженность Сторон Контракта,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Контракта на высоком уровне.</w:t>
      </w:r>
    </w:p>
    <w:p w14:paraId="68F28440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13.2. Стороны пришли к обоюдному согласию о необходимости подписания Антикоррупционной оговорки, Стороны подтверждают, что решение о подписании является добровольным и осознают смысл и последствия нарушения условий настоящего соглашения. </w:t>
      </w:r>
    </w:p>
    <w:p w14:paraId="3AC8823D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13.3. Стороны Контракта подтверждают, что ведут легитимную хозяйственную деятельность и имеют только законные источники финансирования.</w:t>
      </w:r>
    </w:p>
    <w:p w14:paraId="393922B8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13.4. Стороны Контракта обязуются соблюдать, а также обеспечивать соблюдение их аффилированными лицами, работниками и посредниками, действующими по Контракту,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5FF5CE66">
      <w:pPr>
        <w:snapToGrid w:val="0"/>
        <w:ind w:firstLine="567"/>
        <w:jc w:val="both"/>
        <w:rPr>
          <w:sz w:val="22"/>
          <w:szCs w:val="22"/>
        </w:rPr>
      </w:pPr>
    </w:p>
    <w:p w14:paraId="73FC0BEC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bookmarkStart w:id="3" w:name="Par857"/>
      <w:bookmarkEnd w:id="3"/>
    </w:p>
    <w:p w14:paraId="27625A04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14. ЮРИДИЧЕСКИЕ АДРЕСА И ПЛАТЕЖНЫЕ РЕКВИЗИТЫ СТОРОН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1"/>
        <w:gridCol w:w="5147"/>
      </w:tblGrid>
      <w:tr w14:paraId="2EB7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10" w:type="dxa"/>
          </w:tcPr>
          <w:p w14:paraId="032419E8">
            <w:pPr>
              <w:widowControl/>
              <w:autoSpaceDE/>
              <w:autoSpaceDN/>
              <w:adjustRightInd/>
              <w:ind w:firstLine="56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14:paraId="35B6D244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 АРСТ</w:t>
            </w:r>
          </w:p>
          <w:p w14:paraId="41AD4E8C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адрес:107078, г. Москва,</w:t>
            </w:r>
          </w:p>
          <w:p w14:paraId="30AB3484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Садовая-Спасская ул., д. 11/1</w:t>
            </w:r>
          </w:p>
          <w:p w14:paraId="330A75C2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 107078, г. Москва,</w:t>
            </w:r>
          </w:p>
          <w:p w14:paraId="33546A18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Садовая-Спасская ул., д. 11/1</w:t>
            </w:r>
          </w:p>
          <w:p w14:paraId="4876F3A9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Тел.: 8 (495) 196-66-65</w:t>
            </w:r>
          </w:p>
          <w:p w14:paraId="166E652D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1026700853420</w:t>
            </w:r>
          </w:p>
          <w:p w14:paraId="242C2D77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ИНН/КПП 6722008867/770801001,</w:t>
            </w:r>
          </w:p>
          <w:p w14:paraId="4DD8F7F6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ОКПО 00535907</w:t>
            </w:r>
          </w:p>
          <w:p w14:paraId="17AD6805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727C3E83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ОКЦ № 1 ГУ Банка России по ЦФО//УФК</w:t>
            </w:r>
          </w:p>
          <w:p w14:paraId="2377185C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Г.МОСКВЕ, г. Москва</w:t>
            </w:r>
          </w:p>
          <w:p w14:paraId="2AEE4323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004525988</w:t>
            </w:r>
          </w:p>
          <w:p w14:paraId="119254A8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Корреспондентский счет</w:t>
            </w:r>
          </w:p>
          <w:p w14:paraId="35C67AB0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(единый казначейский счет)</w:t>
            </w:r>
          </w:p>
          <w:p w14:paraId="1A5D7A9F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0321464300000017300</w:t>
            </w:r>
          </w:p>
          <w:p w14:paraId="0F35E095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 (номер казначейского</w:t>
            </w:r>
          </w:p>
          <w:p w14:paraId="20F57E29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счета) 40102810545370000003</w:t>
            </w:r>
          </w:p>
          <w:p w14:paraId="04F5B00F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Лицевой счет 20736У41880</w:t>
            </w:r>
          </w:p>
          <w:p w14:paraId="606FD5A9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</w:t>
            </w:r>
          </w:p>
          <w:p w14:paraId="3D64A6A9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электронной</w:t>
            </w:r>
          </w:p>
          <w:p w14:paraId="595A7B4F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почты:</w:t>
            </w:r>
          </w:p>
          <w:p w14:paraId="7F395E56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fgbu.arst@mail.ru</w:t>
            </w:r>
          </w:p>
          <w:p w14:paraId="75CA72CE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телефон: 8 (495) 196-66-65</w:t>
            </w:r>
          </w:p>
          <w:p w14:paraId="72A33AE0">
            <w:pPr>
              <w:widowControl/>
              <w:autoSpaceDE/>
              <w:autoSpaceDN/>
              <w:adjustRightInd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14:paraId="7B168EE5">
            <w:pPr>
              <w:widowControl/>
              <w:autoSpaceDE/>
              <w:autoSpaceDN/>
              <w:adjustRightInd/>
              <w:ind w:firstLine="56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  <w:p w14:paraId="066790C9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</w:p>
          <w:p w14:paraId="4E2A16F5">
            <w:pPr>
              <w:widowControl/>
              <w:autoSpaceDE/>
              <w:autoSpaceDN/>
              <w:adjustRightInd/>
              <w:ind w:firstLine="567"/>
              <w:jc w:val="both"/>
              <w:rPr>
                <w:sz w:val="22"/>
                <w:szCs w:val="22"/>
              </w:rPr>
            </w:pPr>
          </w:p>
          <w:p w14:paraId="3FBF87BA">
            <w:pPr>
              <w:widowControl/>
              <w:autoSpaceDE/>
              <w:autoSpaceDN/>
              <w:adjustRightInd/>
              <w:ind w:firstLine="567"/>
              <w:jc w:val="both"/>
              <w:rPr>
                <w:b/>
                <w:sz w:val="22"/>
                <w:szCs w:val="22"/>
              </w:rPr>
            </w:pPr>
          </w:p>
          <w:p w14:paraId="31C6B26E">
            <w:pPr>
              <w:widowControl/>
              <w:autoSpaceDE/>
              <w:autoSpaceDN/>
              <w:adjustRightInd/>
              <w:ind w:firstLine="567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F3A028E">
      <w:pPr>
        <w:ind w:firstLine="567"/>
        <w:jc w:val="both"/>
        <w:rPr>
          <w:sz w:val="22"/>
          <w:szCs w:val="22"/>
        </w:rPr>
      </w:pPr>
    </w:p>
    <w:p w14:paraId="4F80E8FD">
      <w:pPr>
        <w:widowControl/>
        <w:ind w:firstLine="567"/>
        <w:contextualSpacing/>
        <w:jc w:val="right"/>
        <w:rPr>
          <w:rFonts w:eastAsia="Calibri"/>
          <w:sz w:val="22"/>
          <w:szCs w:val="22"/>
          <w:lang w:eastAsia="en-US"/>
        </w:rPr>
      </w:pPr>
    </w:p>
    <w:tbl>
      <w:tblPr>
        <w:tblStyle w:val="3"/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09"/>
        <w:gridCol w:w="5272"/>
      </w:tblGrid>
      <w:tr w14:paraId="32E68C3A">
        <w:tc>
          <w:tcPr>
            <w:tcW w:w="4509" w:type="dxa"/>
          </w:tcPr>
          <w:p w14:paraId="175438CD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5272" w:type="dxa"/>
          </w:tcPr>
          <w:p w14:paraId="1513C7D9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ИСПОЛНИТЕЛЬ:</w:t>
            </w:r>
          </w:p>
        </w:tc>
      </w:tr>
      <w:tr w14:paraId="3B6CA30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08" w:hRule="atLeast"/>
        </w:trPr>
        <w:tc>
          <w:tcPr>
            <w:tcW w:w="4509" w:type="dxa"/>
          </w:tcPr>
          <w:p w14:paraId="519E4FFB">
            <w:pPr>
              <w:ind w:left="3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 АРСТ</w:t>
            </w:r>
          </w:p>
          <w:p w14:paraId="416F31E4">
            <w:pPr>
              <w:ind w:left="309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Врио директора </w:t>
            </w:r>
          </w:p>
          <w:p w14:paraId="61D9CC45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2" w:type="dxa"/>
          </w:tcPr>
          <w:p w14:paraId="7B7E681A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14:paraId="3B3A5A5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09" w:type="dxa"/>
          </w:tcPr>
          <w:p w14:paraId="51B65D6A">
            <w:pPr>
              <w:spacing w:line="276" w:lineRule="auto"/>
              <w:ind w:firstLine="25"/>
              <w:jc w:val="center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_________________/</w:t>
            </w:r>
            <w:r>
              <w:rPr>
                <w:bCs/>
                <w:sz w:val="22"/>
                <w:szCs w:val="22"/>
                <w:shd w:val="clear" w:color="auto" w:fill="FFFFFF"/>
              </w:rPr>
              <w:t>Н.В. Гончикова</w:t>
            </w: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/</w:t>
            </w:r>
          </w:p>
          <w:p w14:paraId="5C2A959B">
            <w:pPr>
              <w:spacing w:line="276" w:lineRule="auto"/>
              <w:ind w:firstLine="25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shd w:val="clear" w:color="auto" w:fill="FFFFFF"/>
              </w:rPr>
              <w:t>Подписано усиленной квалифицированной электронной подписью</w:t>
            </w:r>
          </w:p>
        </w:tc>
        <w:tc>
          <w:tcPr>
            <w:tcW w:w="5272" w:type="dxa"/>
            <w:vAlign w:val="center"/>
          </w:tcPr>
          <w:p w14:paraId="68BA3CF0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__________________________________</w:t>
            </w:r>
          </w:p>
          <w:p w14:paraId="4BC0B707">
            <w:pPr>
              <w:spacing w:line="276" w:lineRule="auto"/>
              <w:ind w:left="470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shd w:val="clear" w:color="auto" w:fill="FFFFFF"/>
              </w:rPr>
              <w:t>Подписано усиленной квалифицированной    электронной подписью</w:t>
            </w:r>
          </w:p>
        </w:tc>
      </w:tr>
    </w:tbl>
    <w:p w14:paraId="3AFC1C24">
      <w:pPr>
        <w:widowControl/>
        <w:ind w:firstLine="567"/>
        <w:contextualSpacing/>
        <w:jc w:val="right"/>
        <w:rPr>
          <w:rFonts w:eastAsia="Calibri"/>
          <w:sz w:val="22"/>
          <w:szCs w:val="22"/>
          <w:lang w:eastAsia="en-US"/>
        </w:rPr>
      </w:pPr>
    </w:p>
    <w:p w14:paraId="165D2906">
      <w:pPr>
        <w:widowControl/>
        <w:autoSpaceDE/>
        <w:autoSpaceDN/>
        <w:adjustRightInd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br w:type="page"/>
      </w:r>
    </w:p>
    <w:p w14:paraId="1F76FEDD">
      <w:pPr>
        <w:widowControl/>
        <w:ind w:firstLine="567"/>
        <w:contextualSpacing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 № 1</w:t>
      </w:r>
    </w:p>
    <w:p w14:paraId="331C2CAB">
      <w:pPr>
        <w:widowControl/>
        <w:ind w:firstLine="567"/>
        <w:contextualSpacing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к контракту № </w:t>
      </w:r>
    </w:p>
    <w:p w14:paraId="5AEA616E">
      <w:pPr>
        <w:widowControl/>
        <w:ind w:firstLine="567"/>
        <w:contextualSpacing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от «___»___________ 2026 г.</w:t>
      </w:r>
    </w:p>
    <w:p w14:paraId="02FDE1ED">
      <w:pPr>
        <w:widowControl/>
        <w:ind w:firstLine="567"/>
        <w:contextualSpacing/>
        <w:jc w:val="center"/>
        <w:rPr>
          <w:rFonts w:eastAsia="Calibri"/>
          <w:b/>
          <w:sz w:val="22"/>
          <w:szCs w:val="22"/>
          <w:lang w:eastAsia="en-US"/>
        </w:rPr>
      </w:pPr>
    </w:p>
    <w:p w14:paraId="60D0F34C">
      <w:pPr>
        <w:widowControl/>
        <w:ind w:firstLine="567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Техническое задание</w:t>
      </w:r>
    </w:p>
    <w:p w14:paraId="24752A28">
      <w:pPr>
        <w:widowControl/>
        <w:ind w:firstLine="567"/>
        <w:contextualSpacing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на оказание услуг по сопровождению, установке и адаптации программ для ЭВМ, баз данных (программных средств и информационных продуктов вычислительной техники) - 1С:АС</w:t>
      </w:r>
    </w:p>
    <w:p w14:paraId="68644782">
      <w:pPr>
        <w:widowControl/>
        <w:autoSpaceDE/>
        <w:autoSpaceDN/>
        <w:adjustRightInd/>
        <w:ind w:firstLine="567"/>
        <w:rPr>
          <w:rFonts w:eastAsia="Calibri"/>
          <w:sz w:val="22"/>
          <w:szCs w:val="22"/>
          <w:lang w:eastAsia="en-US"/>
        </w:rPr>
      </w:pPr>
    </w:p>
    <w:p w14:paraId="4CBBD92D">
      <w:pPr>
        <w:pStyle w:val="12"/>
        <w:keepNext/>
        <w:widowControl/>
        <w:numPr>
          <w:ilvl w:val="0"/>
          <w:numId w:val="2"/>
        </w:numPr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b/>
          <w:sz w:val="22"/>
          <w:szCs w:val="22"/>
        </w:rPr>
        <w:t>Место оказания услуг</w:t>
      </w:r>
      <w:r>
        <w:rPr>
          <w:sz w:val="22"/>
          <w:szCs w:val="22"/>
        </w:rPr>
        <w:t>: 107078, г. Москва, Садовая-Спасская ул., д. 11/1.</w:t>
      </w:r>
    </w:p>
    <w:p w14:paraId="5D87658B">
      <w:pPr>
        <w:pStyle w:val="12"/>
        <w:keepNext/>
        <w:widowControl/>
        <w:numPr>
          <w:ilvl w:val="0"/>
          <w:numId w:val="2"/>
        </w:numPr>
        <w:suppressAutoHyphens/>
        <w:autoSpaceDE/>
        <w:autoSpaceDN/>
        <w:adjustRightInd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Срок оказания услуг</w:t>
      </w:r>
      <w:r>
        <w:rPr>
          <w:sz w:val="22"/>
          <w:szCs w:val="22"/>
        </w:rPr>
        <w:t>: с даты заключения  Контракта по 31.12.2026 г. (включительно)</w:t>
      </w:r>
    </w:p>
    <w:p w14:paraId="2E4F694D">
      <w:pPr>
        <w:pStyle w:val="12"/>
        <w:keepNext/>
        <w:widowControl/>
        <w:numPr>
          <w:ilvl w:val="0"/>
          <w:numId w:val="2"/>
        </w:numPr>
        <w:suppressAutoHyphens/>
        <w:autoSpaceDE/>
        <w:autoSpaceDN/>
        <w:adjustRightInd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Общее количество часов: </w:t>
      </w:r>
      <w:r>
        <w:rPr>
          <w:sz w:val="22"/>
          <w:szCs w:val="22"/>
        </w:rPr>
        <w:t>не менее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30 часов. </w:t>
      </w:r>
    </w:p>
    <w:p w14:paraId="378786B7">
      <w:pPr>
        <w:tabs>
          <w:tab w:val="left" w:pos="142"/>
        </w:tabs>
        <w:ind w:firstLine="709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  </w:t>
      </w:r>
      <w:r>
        <w:rPr>
          <w:bCs/>
          <w:sz w:val="22"/>
          <w:szCs w:val="22"/>
        </w:rPr>
        <w:t>Обслуживание по удаленному доступу не предусмотрено</w:t>
      </w:r>
      <w:r>
        <w:rPr>
          <w:b/>
          <w:bCs/>
          <w:sz w:val="22"/>
          <w:szCs w:val="22"/>
        </w:rPr>
        <w:t>.</w:t>
      </w:r>
    </w:p>
    <w:p w14:paraId="6547E8DA">
      <w:pPr>
        <w:tabs>
          <w:tab w:val="left" w:pos="0"/>
          <w:tab w:val="left" w:pos="142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Выезд специалиста осуществляется по заявкам Заказчика в течение </w:t>
      </w:r>
      <w:r>
        <w:rPr>
          <w:sz w:val="22"/>
          <w:szCs w:val="22"/>
        </w:rPr>
        <w:t>1 (одного) часа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(в связи со срочностью  оказания услуги) с момента получения заявки Исполнителем по рабочим дням, а также в особых случаях в выходные и праздничные дни, с 09-00 часов до 20-00 часов. </w:t>
      </w:r>
    </w:p>
    <w:p w14:paraId="12BCF340">
      <w:pPr>
        <w:tabs>
          <w:tab w:val="left" w:pos="0"/>
          <w:tab w:val="left" w:pos="142"/>
        </w:tabs>
        <w:ind w:firstLine="709"/>
        <w:jc w:val="both"/>
        <w:rPr>
          <w:sz w:val="22"/>
          <w:szCs w:val="22"/>
        </w:rPr>
      </w:pPr>
      <w:r>
        <w:rPr>
          <w:bCs/>
          <w:sz w:val="22"/>
          <w:szCs w:val="22"/>
        </w:rPr>
        <w:t>Настоящее Техническое задание определяет существенные и минимальные требования к порядку оказания услуг.</w:t>
      </w:r>
    </w:p>
    <w:p w14:paraId="75CCA1FB">
      <w:pPr>
        <w:tabs>
          <w:tab w:val="left" w:pos="0"/>
          <w:tab w:val="left" w:pos="142"/>
        </w:tabs>
        <w:rPr>
          <w:b/>
          <w:bCs/>
          <w:sz w:val="22"/>
          <w:szCs w:val="22"/>
        </w:rPr>
      </w:pPr>
    </w:p>
    <w:p w14:paraId="466F222E">
      <w:pPr>
        <w:ind w:left="357" w:firstLine="352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5. Технические требования, комплектность услуг.</w:t>
      </w:r>
    </w:p>
    <w:p w14:paraId="307F0C43">
      <w:pPr>
        <w:jc w:val="both"/>
        <w:rPr>
          <w:rStyle w:val="17"/>
          <w:sz w:val="22"/>
          <w:szCs w:val="22"/>
        </w:rPr>
      </w:pPr>
      <w:r>
        <w:rPr>
          <w:rStyle w:val="17"/>
          <w:sz w:val="22"/>
          <w:szCs w:val="22"/>
        </w:rPr>
        <w:t>5.1. Услуги по сопровождению, установке и адаптации программ для ЭВМ, баз данных (программных средств и информационных продуктов вычислительной техники) - 1С:АС</w:t>
      </w:r>
    </w:p>
    <w:p w14:paraId="1506401B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5.2. Проверка целостности Автоматизированного Системного Комплекса (в дальнейшем АСК) и составление протокола при обнаружении ошибок.</w:t>
      </w:r>
    </w:p>
    <w:p w14:paraId="2BD61683">
      <w:pPr>
        <w:ind w:hanging="35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5.3. Установка обновлений </w:t>
      </w:r>
      <w:r>
        <w:rPr>
          <w:sz w:val="22"/>
          <w:szCs w:val="22"/>
        </w:rPr>
        <w:t>АСК</w:t>
      </w:r>
      <w:r>
        <w:rPr>
          <w:bCs/>
          <w:sz w:val="22"/>
          <w:szCs w:val="22"/>
        </w:rPr>
        <w:t xml:space="preserve"> программы по мере выпуска </w:t>
      </w:r>
      <w:r>
        <w:rPr>
          <w:bCs/>
          <w:strike w:val="0"/>
          <w:sz w:val="22"/>
          <w:szCs w:val="22"/>
          <w:highlight w:val="none"/>
        </w:rPr>
        <w:t>изменений/обновлений</w:t>
      </w:r>
      <w:r>
        <w:rPr>
          <w:bCs/>
          <w:sz w:val="22"/>
          <w:szCs w:val="22"/>
        </w:rPr>
        <w:t xml:space="preserve"> в законодательстве РФ.</w:t>
      </w:r>
    </w:p>
    <w:p w14:paraId="4F2A7D1A">
      <w:pPr>
        <w:ind w:hanging="357"/>
        <w:jc w:val="both"/>
        <w:rPr>
          <w:rFonts w:eastAsia="Calibri"/>
          <w:sz w:val="22"/>
          <w:szCs w:val="22"/>
        </w:rPr>
      </w:pPr>
      <w:r>
        <w:rPr>
          <w:bCs/>
          <w:sz w:val="22"/>
          <w:szCs w:val="22"/>
        </w:rPr>
        <w:t xml:space="preserve">      5.4. Установка актуальной регламентированной отчетности.</w:t>
      </w:r>
    </w:p>
    <w:p w14:paraId="2C0E1C4C">
      <w:pPr>
        <w:ind w:left="357" w:hanging="357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5.5. Настройка интерфейсов и разграничение прав доступа.</w:t>
      </w:r>
    </w:p>
    <w:p w14:paraId="34605EE2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5.6. Доработка существующих форм и отчетов.</w:t>
      </w:r>
    </w:p>
    <w:p w14:paraId="7024E4AE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5.7. Создание новых функциональных модулей и объектов конфигурации.</w:t>
      </w:r>
    </w:p>
    <w:p w14:paraId="5265EC95">
      <w:pPr>
        <w:jc w:val="both"/>
        <w:rPr>
          <w:rStyle w:val="17"/>
          <w:b/>
          <w:sz w:val="22"/>
          <w:szCs w:val="22"/>
        </w:rPr>
      </w:pPr>
      <w:r>
        <w:rPr>
          <w:rFonts w:eastAsia="Calibri"/>
          <w:sz w:val="22"/>
          <w:szCs w:val="22"/>
        </w:rPr>
        <w:t>5.8. Консультации пользователей по вопросам использования АСК и ведения различных участков учета финансово- хозяйственной деятельности для нужд Заказчика.</w:t>
      </w:r>
    </w:p>
    <w:p w14:paraId="2B31F642">
      <w:pPr>
        <w:jc w:val="both"/>
        <w:rPr>
          <w:sz w:val="22"/>
          <w:szCs w:val="22"/>
        </w:rPr>
      </w:pPr>
      <w:r>
        <w:rPr>
          <w:sz w:val="22"/>
          <w:szCs w:val="22"/>
        </w:rPr>
        <w:t>5.9 Автоматизированная система (АСК), имеющаяся у Заказчика, обеспечивает учет финансово-хозяйственной деятельности в части ведения бюджетного учета, расчета зарплаты и кадрового учета.</w:t>
      </w:r>
    </w:p>
    <w:p w14:paraId="36C10B8F">
      <w:pPr>
        <w:jc w:val="both"/>
        <w:rPr>
          <w:sz w:val="22"/>
          <w:szCs w:val="22"/>
        </w:rPr>
      </w:pPr>
    </w:p>
    <w:p w14:paraId="26E52EAA">
      <w:pPr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Требования к оказываемым услугам:</w:t>
      </w:r>
    </w:p>
    <w:p w14:paraId="413BEEB3">
      <w:pPr>
        <w:jc w:val="both"/>
        <w:rPr>
          <w:sz w:val="22"/>
          <w:szCs w:val="22"/>
        </w:rPr>
      </w:pPr>
      <w:r>
        <w:rPr>
          <w:sz w:val="22"/>
          <w:szCs w:val="22"/>
        </w:rPr>
        <w:t>6.1. Все услуги оказываются исключительно на территории Заказчика. Дистанционного доступа к АСК не предусмотрено.</w:t>
      </w:r>
    </w:p>
    <w:p w14:paraId="334112AF">
      <w:pPr>
        <w:jc w:val="both"/>
        <w:rPr>
          <w:sz w:val="22"/>
          <w:szCs w:val="22"/>
        </w:rPr>
      </w:pPr>
      <w:r>
        <w:rPr>
          <w:sz w:val="22"/>
          <w:szCs w:val="22"/>
        </w:rPr>
        <w:t>6.2. Обеспечение поддержания АСК в актуальном состоянии в соответствии с изменениями в законодательстве РФ в срок не более месяца после официального опубликования документов о внесении изменений.</w:t>
      </w:r>
    </w:p>
    <w:p w14:paraId="62768C41">
      <w:pPr>
        <w:jc w:val="both"/>
        <w:rPr>
          <w:sz w:val="22"/>
          <w:szCs w:val="22"/>
        </w:rPr>
      </w:pPr>
      <w:r>
        <w:rPr>
          <w:sz w:val="22"/>
          <w:szCs w:val="22"/>
        </w:rPr>
        <w:t>6.3. Обеспечение методологического обслуживания системы по вопросам, связанным с эксплуатацией АСК по телефону и на рабочем месте пользователя</w:t>
      </w:r>
    </w:p>
    <w:p w14:paraId="78EF7ACB">
      <w:pPr>
        <w:jc w:val="both"/>
        <w:rPr>
          <w:sz w:val="22"/>
          <w:szCs w:val="22"/>
        </w:rPr>
      </w:pPr>
      <w:r>
        <w:rPr>
          <w:sz w:val="22"/>
          <w:szCs w:val="22"/>
        </w:rPr>
        <w:t>6.5. Настройка конфигурации АСК в соответствии со специальными требованиями Заказчика.</w:t>
      </w:r>
    </w:p>
    <w:p w14:paraId="1646AE24">
      <w:pPr>
        <w:jc w:val="both"/>
        <w:rPr>
          <w:sz w:val="22"/>
          <w:szCs w:val="22"/>
        </w:rPr>
      </w:pPr>
      <w:r>
        <w:rPr>
          <w:sz w:val="22"/>
          <w:szCs w:val="22"/>
        </w:rPr>
        <w:t>6.6. Тестирование и исправление АСК.</w:t>
      </w:r>
    </w:p>
    <w:p w14:paraId="3093603D">
      <w:pPr>
        <w:jc w:val="both"/>
        <w:rPr>
          <w:sz w:val="22"/>
          <w:szCs w:val="22"/>
        </w:rPr>
      </w:pPr>
      <w:r>
        <w:rPr>
          <w:sz w:val="22"/>
          <w:szCs w:val="22"/>
        </w:rPr>
        <w:t>6.7. Выявление ошибок ведения учета и в рекомендации по их исправлению.</w:t>
      </w:r>
    </w:p>
    <w:p w14:paraId="20DFD0BD">
      <w:pPr>
        <w:jc w:val="both"/>
        <w:rPr>
          <w:sz w:val="22"/>
          <w:szCs w:val="22"/>
        </w:rPr>
      </w:pPr>
      <w:r>
        <w:rPr>
          <w:sz w:val="22"/>
          <w:szCs w:val="22"/>
        </w:rPr>
        <w:t>6.8. Сохранение информации об изменениях в структуре программы.</w:t>
      </w:r>
    </w:p>
    <w:p w14:paraId="4557AE90">
      <w:pPr>
        <w:jc w:val="both"/>
        <w:rPr>
          <w:sz w:val="22"/>
          <w:szCs w:val="22"/>
        </w:rPr>
      </w:pPr>
      <w:r>
        <w:rPr>
          <w:sz w:val="22"/>
          <w:szCs w:val="22"/>
        </w:rPr>
        <w:t>6.9. Обеспечение актуальности доработанных отчетов, внешних печатных форм к изменениям законодательства РФ и выпуску релизов обновления. С ведением реестра.</w:t>
      </w:r>
    </w:p>
    <w:p w14:paraId="4FD0A43A">
      <w:pPr>
        <w:jc w:val="both"/>
        <w:rPr>
          <w:sz w:val="22"/>
          <w:szCs w:val="22"/>
        </w:rPr>
      </w:pPr>
      <w:r>
        <w:rPr>
          <w:sz w:val="22"/>
          <w:szCs w:val="22"/>
        </w:rPr>
        <w:t>6.10. Обеспечение актуальности АСК и эффективности ее использования.</w:t>
      </w:r>
    </w:p>
    <w:p w14:paraId="12391DB7">
      <w:pPr>
        <w:jc w:val="both"/>
        <w:rPr>
          <w:sz w:val="22"/>
          <w:szCs w:val="22"/>
        </w:rPr>
      </w:pPr>
      <w:r>
        <w:rPr>
          <w:sz w:val="22"/>
          <w:szCs w:val="22"/>
        </w:rPr>
        <w:t>6.11. Оказание услуг по методике работы и решению учетных задач в АСК.</w:t>
      </w:r>
    </w:p>
    <w:p w14:paraId="3435A4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6.12. В ходе оказания услуг выезд специалистов осуществляется по письменной заявке Заказчика. </w:t>
      </w:r>
    </w:p>
    <w:p w14:paraId="08F03891">
      <w:pPr>
        <w:jc w:val="both"/>
        <w:rPr>
          <w:sz w:val="22"/>
          <w:szCs w:val="22"/>
        </w:rPr>
      </w:pPr>
      <w:r>
        <w:rPr>
          <w:sz w:val="22"/>
          <w:szCs w:val="22"/>
        </w:rPr>
        <w:t>6.13. Исполнитель не имеет права осуществлять копирование данных, изменять настройки и конфигурацию системного и прикладного программного обеспечения без санкции Заказчика.</w:t>
      </w:r>
    </w:p>
    <w:p w14:paraId="02B6DAE9">
      <w:pPr>
        <w:jc w:val="both"/>
        <w:rPr>
          <w:sz w:val="22"/>
          <w:szCs w:val="22"/>
        </w:rPr>
      </w:pPr>
      <w:r>
        <w:rPr>
          <w:sz w:val="22"/>
          <w:szCs w:val="22"/>
        </w:rPr>
        <w:t>6.14. Общесистемное, офисное и антивирусное ПО предоставляется Заказчиком.</w:t>
      </w:r>
    </w:p>
    <w:p w14:paraId="3BF8D404">
      <w:pPr>
        <w:jc w:val="both"/>
        <w:rPr>
          <w:sz w:val="22"/>
          <w:szCs w:val="22"/>
        </w:rPr>
      </w:pPr>
      <w:r>
        <w:rPr>
          <w:sz w:val="22"/>
          <w:szCs w:val="22"/>
        </w:rPr>
        <w:t>6.15. Исполнитель обеспечивает сохранение информации об индивидуальных отличиях программы от типовой.</w:t>
      </w:r>
    </w:p>
    <w:p w14:paraId="53EA8036">
      <w:pPr>
        <w:jc w:val="both"/>
        <w:rPr>
          <w:sz w:val="22"/>
          <w:szCs w:val="22"/>
        </w:rPr>
      </w:pPr>
      <w:r>
        <w:rPr>
          <w:sz w:val="22"/>
          <w:szCs w:val="22"/>
        </w:rPr>
        <w:t>6.16. Исполнитель осуществляет поддержку в формировании и сведении регламентированной отчетности.</w:t>
      </w:r>
    </w:p>
    <w:p w14:paraId="66457187">
      <w:pPr>
        <w:jc w:val="both"/>
        <w:rPr>
          <w:sz w:val="22"/>
          <w:szCs w:val="22"/>
        </w:rPr>
      </w:pPr>
      <w:r>
        <w:rPr>
          <w:sz w:val="22"/>
          <w:szCs w:val="22"/>
        </w:rPr>
        <w:t>6.17. Исполнитель осуществляет поддержку в выполнении наиболее ответственных регламентных операций в (расчет заработной платы, закрытие месяца, анализ финансовых результатов, и т.д.).</w:t>
      </w:r>
    </w:p>
    <w:p w14:paraId="1121470D">
      <w:pPr>
        <w:jc w:val="both"/>
        <w:rPr>
          <w:sz w:val="22"/>
          <w:szCs w:val="22"/>
        </w:rPr>
      </w:pPr>
      <w:r>
        <w:rPr>
          <w:sz w:val="22"/>
          <w:szCs w:val="22"/>
        </w:rPr>
        <w:t>6.18. Исполнитель осуществляет настройку программы для отражения индивидуальных особенностей учета Заказчика  (доработки внешних отчетов, печатных форм до более сложных настроек).</w:t>
      </w:r>
    </w:p>
    <w:p w14:paraId="44AF6CA1">
      <w:pPr>
        <w:jc w:val="both"/>
        <w:rPr>
          <w:sz w:val="22"/>
          <w:szCs w:val="22"/>
        </w:rPr>
      </w:pPr>
      <w:r>
        <w:rPr>
          <w:sz w:val="22"/>
          <w:szCs w:val="22"/>
        </w:rPr>
        <w:t>6.19. Внесение изменений в прикладную систему, не обусловленное изменением законодательства РФ, работы, обеспечивающие соответствие настроек сопровождаемых автоматизированных систем актуальным правилам ведения бюджетного учета, а также внесение изменений, связанных с реорганизацией структуры подразделений Заказчика, производятся по письменной заявке Заказчика. На основании заявки Заказчика, Исполнителем оформляется частное техническое задание, которое согласуется с Заказчиком.</w:t>
      </w:r>
    </w:p>
    <w:p w14:paraId="18E72B17">
      <w:pPr>
        <w:jc w:val="both"/>
        <w:rPr>
          <w:sz w:val="22"/>
          <w:szCs w:val="22"/>
        </w:rPr>
      </w:pPr>
      <w:r>
        <w:rPr>
          <w:sz w:val="22"/>
          <w:szCs w:val="22"/>
        </w:rPr>
        <w:t>6.20. Организация и проведение регулярных обучающих программ, семинаров, тренингов и практикумов для сотрудников Заказчика различного уровня по работе с 1С: АС.</w:t>
      </w:r>
    </w:p>
    <w:p w14:paraId="776CD995">
      <w:pPr>
        <w:jc w:val="both"/>
        <w:rPr>
          <w:sz w:val="22"/>
          <w:szCs w:val="22"/>
        </w:rPr>
      </w:pPr>
    </w:p>
    <w:p w14:paraId="25E42D3B">
      <w:pPr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7. Требования к качеству и безопасности услуг</w:t>
      </w:r>
      <w:r>
        <w:rPr>
          <w:rFonts w:hint="default"/>
          <w:b/>
          <w:bCs/>
          <w:sz w:val="22"/>
          <w:szCs w:val="22"/>
          <w:lang w:val="ru-RU"/>
        </w:rPr>
        <w:t>.</w:t>
      </w:r>
      <w:r>
        <w:rPr>
          <w:b/>
          <w:bCs/>
          <w:sz w:val="22"/>
          <w:szCs w:val="22"/>
        </w:rPr>
        <w:t xml:space="preserve"> </w:t>
      </w:r>
    </w:p>
    <w:p w14:paraId="3DA7ECE7">
      <w:pPr>
        <w:jc w:val="both"/>
        <w:rPr>
          <w:sz w:val="22"/>
          <w:szCs w:val="22"/>
        </w:rPr>
      </w:pPr>
      <w:r>
        <w:rPr>
          <w:sz w:val="22"/>
          <w:szCs w:val="22"/>
        </w:rPr>
        <w:t>7.1. Оказываемые услуги должны позволять обеспечивать бесперебойную работоспособность, обладать надежностью, обеспечивающей работу нескольких пользователей в рамках учреждения Заказчика в режиме реального времени, а также позволять обеспечить оперативное восстановление работоспособности при сбоях.</w:t>
      </w:r>
    </w:p>
    <w:p w14:paraId="6E3823CB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7.2. Использование новых версий (релизов) лицензионных версий не должно привести к потере информации, ранее размещенной в системе, или потере доступных функциональных возможностей.</w:t>
      </w:r>
    </w:p>
    <w:p w14:paraId="7AC226B1">
      <w:pPr>
        <w:jc w:val="both"/>
        <w:rPr>
          <w:sz w:val="22"/>
          <w:szCs w:val="22"/>
        </w:rPr>
      </w:pPr>
      <w:r>
        <w:rPr>
          <w:sz w:val="22"/>
          <w:szCs w:val="22"/>
        </w:rPr>
        <w:t>7.3. Восстановление работоспособности ПП (программного продукта) должно быть обеспечено в течение не более чем 3-х рабочих часов с момента обращения к Исполнителю при условии, что восстановление работоспособности требует применения только стандартных средств ПП.</w:t>
      </w:r>
    </w:p>
    <w:p w14:paraId="05534F90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7.4. Процесс оказания услуг в рамках выполнения условий Контракта не должен препятствовать или создавать неудобства в работе </w:t>
      </w:r>
      <w:r>
        <w:rPr>
          <w:rFonts w:ascii="Times New Roman" w:hAnsi="Times New Roman" w:eastAsia="Times New Roman"/>
          <w:highlight w:val="none"/>
          <w:lang w:eastAsia="ar-SA"/>
        </w:rPr>
        <w:t xml:space="preserve">учреждения </w:t>
      </w:r>
      <w:r>
        <w:rPr>
          <w:rFonts w:ascii="Times New Roman" w:hAnsi="Times New Roman" w:eastAsia="Times New Roman"/>
          <w:lang w:eastAsia="ar-SA"/>
        </w:rPr>
        <w:t>Заказчика.</w:t>
      </w:r>
    </w:p>
    <w:p w14:paraId="681FF325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7.5. В ходе оказания услуг должны соблюдаться требования противопожарной и электробезопасности, санитарии.</w:t>
      </w:r>
    </w:p>
    <w:p w14:paraId="2CBFB63F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7.6. Исполнитель несет установленную законом ответственность за соблюдение требований нормативных документов, правил техники безопасности и охраны труда, противопожарной и электробезопасности. Исполнитель в процессе оказания услуг обеспечивает чистоту и порядок в помещениях на объектах Заказчика.</w:t>
      </w:r>
    </w:p>
    <w:p w14:paraId="51BF66A1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7.7. Исполнитель обязан соблюдать правила внутреннего распорядка, требования и указания, предъявляемые ответственными представителями Заказчика в рамках оказания услуг по Контракту.</w:t>
      </w:r>
    </w:p>
    <w:p w14:paraId="36D0FCDD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7.8. Исполнитель не несет ответственности за повреждения, связанные с неправильными или неправомочными действиями представителей Заказчика или третьих лиц, вызванные авариями электроснабжения и инженерных систем зданий.  </w:t>
      </w:r>
    </w:p>
    <w:p w14:paraId="0A8183FA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7.9. Исполнитель обязан обеспечить безопасность персональных данных при их обработке с использованием средств защиты информации (в том числе, шифровальных (криптографических), средств предотвращения несанкционированного доступа, утечки информации по техническим каналам и т.п.).</w:t>
      </w:r>
    </w:p>
    <w:p w14:paraId="25B0D18F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7.10. Исполнитель гарантирует качество и безопасность оказываемых услуг в соответствии с действующими стандартами и правилами, утвержденными на данный вид услуг, а так же в соответствии с данным Техническим заданием. Гарантийный срок устанавливается на срок действия Контракта.</w:t>
      </w:r>
    </w:p>
    <w:p w14:paraId="0B641639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7.11. В период гарантийного срока Исполнитель обязан устранить выявленные замечания по оказанным услугам без взимания дополнительной платы.</w:t>
      </w:r>
    </w:p>
    <w:p w14:paraId="19B52FD3">
      <w:pPr>
        <w:pStyle w:val="18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7.12. Привлечение к оказанию услуг субподрядчиков не допускается. </w:t>
      </w:r>
    </w:p>
    <w:p w14:paraId="56F85E15">
      <w:pPr>
        <w:pStyle w:val="18"/>
        <w:jc w:val="both"/>
        <w:rPr>
          <w:rFonts w:ascii="Times New Roman" w:hAnsi="Times New Roman" w:eastAsia="Times New Roman"/>
          <w:lang w:eastAsia="ar-SA"/>
        </w:rPr>
      </w:pPr>
    </w:p>
    <w:p w14:paraId="113E40D2">
      <w:pPr>
        <w:pStyle w:val="18"/>
        <w:ind w:firstLine="567"/>
        <w:jc w:val="both"/>
        <w:rPr>
          <w:rFonts w:ascii="Times New Roman" w:hAnsi="Times New Roman" w:eastAsia="Times New Roman"/>
          <w:b/>
          <w:bCs/>
          <w:lang w:eastAsia="ar-SA"/>
        </w:rPr>
      </w:pPr>
      <w:r>
        <w:rPr>
          <w:rFonts w:ascii="Times New Roman" w:hAnsi="Times New Roman" w:eastAsia="Times New Roman"/>
          <w:b/>
          <w:bCs/>
          <w:lang w:eastAsia="ar-SA"/>
        </w:rPr>
        <w:t>8. Требования к качественным характеристикам услуг:</w:t>
      </w:r>
    </w:p>
    <w:p w14:paraId="1C496F10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Услуги оказываются в соответствии с требованиями:</w:t>
      </w:r>
    </w:p>
    <w:p w14:paraId="24B5E9A3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- Приказа Минфина России от 30.08.2024 N 121н 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финансов";</w:t>
      </w:r>
    </w:p>
    <w:p w14:paraId="71D0E9A7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-Приказа Минфина России от 20.09.2024 N 132н "Об утверждении федерального стандарта бухгалтерского учета государственных финансов "План счетов бюджетного учета"; </w:t>
      </w:r>
    </w:p>
    <w:p w14:paraId="76A0AAE5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- Приказа Минфина России от 29.11.2017 № 209н «Об утверждении Порядка применения классификации операций сектора государственного управления»;</w:t>
      </w:r>
    </w:p>
    <w:p w14:paraId="0CC8FD85">
      <w:pPr>
        <w:pStyle w:val="18"/>
        <w:ind w:firstLine="317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-  </w:t>
      </w:r>
      <w:r>
        <w:rPr>
          <w:rFonts w:ascii="Times New Roman" w:hAnsi="Times New Roman"/>
          <w:lang w:eastAsia="ar-SA"/>
        </w:rPr>
        <w:t xml:space="preserve">Приказа Минфина России от 24.05.2022 N 82н </w:t>
      </w:r>
      <w:r>
        <w:rPr>
          <w:rFonts w:ascii="Times New Roman" w:hAnsi="Times New Roman"/>
        </w:rPr>
        <w:t>"О Порядке формирования и применения кодов бюджетной классификации Российской Федерации, их структуре и принципах назначения"</w:t>
      </w:r>
      <w:r>
        <w:rPr>
          <w:rFonts w:ascii="Times New Roman" w:hAnsi="Times New Roman" w:eastAsia="Times New Roman"/>
          <w:lang w:eastAsia="ar-SA"/>
        </w:rPr>
        <w:t>;</w:t>
      </w:r>
    </w:p>
    <w:p w14:paraId="15B28134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- Приказа от 30 марта 2015 г.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7C136FF8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-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14:paraId="10BB7342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-  Приказа </w:t>
      </w:r>
      <w:r>
        <w:rPr>
          <w:rFonts w:ascii="Times New Roman" w:hAnsi="Times New Roman"/>
          <w:lang w:eastAsia="ar-SA"/>
        </w:rPr>
        <w:t>Минтруда России</w:t>
      </w:r>
      <w:r>
        <w:rPr>
          <w:lang w:eastAsia="ar-SA"/>
        </w:rPr>
        <w:t xml:space="preserve"> </w:t>
      </w:r>
      <w:r>
        <w:rPr>
          <w:rFonts w:ascii="Times New Roman" w:hAnsi="Times New Roman" w:eastAsia="Times New Roman"/>
          <w:lang w:eastAsia="ar-SA"/>
        </w:rPr>
        <w:t>от 14 февраля 2024 г. N 63н «О внесении изменений в порядок формирования, хранения и использования сведений, содержащихся в федеральной государственной информационной системе учета результатов проведения специальной оценки условий труда, утвержденный приказом Министерства труда и социальной защиты Российской Федерации от 3 ноября 2025 г. № 843Н»;</w:t>
      </w:r>
    </w:p>
    <w:p w14:paraId="02416FB1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- ГОСТ ISO 9001-2015 «Системы менеджмента качества. Требования»;</w:t>
      </w:r>
    </w:p>
    <w:p w14:paraId="23667C12">
      <w:pPr>
        <w:pStyle w:val="18"/>
        <w:ind w:firstLine="317"/>
        <w:jc w:val="both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ar-SA"/>
        </w:rPr>
        <w:t>- Федерального закона от 27 июля 2006 года № 152-ФЗ «О персональных данных»;</w:t>
      </w:r>
    </w:p>
    <w:p w14:paraId="4670C20F">
      <w:pPr>
        <w:jc w:val="both"/>
        <w:rPr>
          <w:bCs/>
          <w:sz w:val="22"/>
          <w:szCs w:val="22"/>
        </w:rPr>
      </w:pPr>
      <w:r>
        <w:rPr>
          <w:sz w:val="22"/>
          <w:szCs w:val="22"/>
          <w:lang w:eastAsia="ar-SA"/>
        </w:rPr>
        <w:t>-  иных нормативных  правовых актов по защите персональных данных, согласно которым Исполнитель обязуется обеспечить конфиденциальность персональных данных, выражающуюся в недопущении их распространения, а также обеспечить безопасность персональных данных при обработке</w:t>
      </w:r>
      <w:r>
        <w:rPr>
          <w:bCs/>
          <w:sz w:val="22"/>
          <w:szCs w:val="22"/>
        </w:rPr>
        <w:t xml:space="preserve">. </w:t>
      </w:r>
    </w:p>
    <w:p w14:paraId="6ED19C17">
      <w:pPr>
        <w:jc w:val="both"/>
        <w:rPr>
          <w:sz w:val="22"/>
          <w:szCs w:val="22"/>
        </w:rPr>
      </w:pPr>
    </w:p>
    <w:p w14:paraId="7A5E1065">
      <w:pPr>
        <w:ind w:firstLine="567"/>
        <w:jc w:val="both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9. Требования к Исполнителю и специалистам Исполнителя, соответствию нормативным документам (лицензии, допуски, разрешения, согласования):</w:t>
      </w:r>
    </w:p>
    <w:p w14:paraId="05A7DE38">
      <w:pPr>
        <w:jc w:val="both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Требования к квалификации и опыту:</w:t>
      </w:r>
    </w:p>
    <w:p w14:paraId="1404B0A3">
      <w:pPr>
        <w:pStyle w:val="12"/>
        <w:widowControl/>
        <w:numPr>
          <w:ilvl w:val="0"/>
          <w:numId w:val="3"/>
        </w:numPr>
        <w:autoSpaceDE/>
        <w:autoSpaceDN/>
        <w:adjustRightInd/>
        <w:ind w:left="-284" w:firstLine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Руководитель проекта:</w:t>
      </w:r>
    </w:p>
    <w:p w14:paraId="12F909BA">
      <w:pPr>
        <w:pStyle w:val="12"/>
        <w:ind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Опыт управления проектами внедрения и сопровождения 1С: АС не менее 5 лет;</w:t>
      </w:r>
    </w:p>
    <w:p w14:paraId="76F6D3FF">
      <w:pPr>
        <w:pStyle w:val="12"/>
        <w:ind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Наличие сертификата по управлению проектами – 1С: Руководитель проектов;</w:t>
      </w:r>
    </w:p>
    <w:p w14:paraId="762FDD03">
      <w:pPr>
        <w:pStyle w:val="12"/>
        <w:ind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Навыки взаимодействия с ключевыми заказчиками, ведение проектной документации, управление рисками и ресурсами.</w:t>
      </w:r>
    </w:p>
    <w:p w14:paraId="597287C7">
      <w:pPr>
        <w:jc w:val="both"/>
        <w:rPr>
          <w:rFonts w:eastAsia="Calibri"/>
          <w:sz w:val="22"/>
          <w:szCs w:val="22"/>
        </w:rPr>
      </w:pPr>
    </w:p>
    <w:p w14:paraId="7193E8F5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2. Специалист по разработке и модификации прикладных решений на технологической платформе:</w:t>
      </w:r>
    </w:p>
    <w:p w14:paraId="525CF670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Опыт проектирования и внедрения решений программных средств и информационных продуктов;</w:t>
      </w:r>
    </w:p>
    <w:p w14:paraId="53671535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Навыки оптимизации производительности;</w:t>
      </w:r>
    </w:p>
    <w:p w14:paraId="34A56906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Опыт сопровождения серверной инфраструктуры;</w:t>
      </w:r>
    </w:p>
    <w:p w14:paraId="48BACBB1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Опыт организации резервного копирования, обеспечения отказоустойчивости и восстановления после сбоев;</w:t>
      </w:r>
    </w:p>
    <w:p w14:paraId="41252E33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Наличие сертификата Специалист по платформе.</w:t>
      </w:r>
    </w:p>
    <w:p w14:paraId="4A6A3FC1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3. Специалист-консультант: </w:t>
      </w:r>
    </w:p>
    <w:p w14:paraId="691CB829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Практический опыт работы (внедрение, сопровождение, поддержка пользователей);</w:t>
      </w:r>
    </w:p>
    <w:p w14:paraId="0DD1F010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Глубокое знание законодательства РФ по трудовым отношениям, бюджетному учёту персонала, кадровому документообороту и отчётности (ТК РФ, ФЗ-44, ФЗ-223, нормативы Минтруда);</w:t>
      </w:r>
    </w:p>
    <w:p w14:paraId="49F35042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Знание законодательства РФ о бюджетном учете, ведении бухгалтерской и налоговой отчетности, КОСГУ, ФКУ, требований Минфина и нормативных актов;</w:t>
      </w:r>
    </w:p>
    <w:p w14:paraId="165AC188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Наличие сертификата Специалист-консультант.</w:t>
      </w:r>
    </w:p>
    <w:p w14:paraId="32BF31CF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4. Эксперт по технологическим вопросам</w:t>
      </w:r>
    </w:p>
    <w:p w14:paraId="6BE69CE6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Практический опыт сопровождения и администрирования инфраструктуры; </w:t>
      </w:r>
    </w:p>
    <w:p w14:paraId="091E276F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Навыки настройки, обновления и оптимизации производительности, резервного копирования, мониторинга, управления правами доступа;</w:t>
      </w:r>
    </w:p>
    <w:p w14:paraId="64DB74CF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Наличие Сертификата «1С: Эксперт по технологическим вопросам» ; </w:t>
      </w:r>
    </w:p>
    <w:p w14:paraId="521D1ED6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- 1С: Франчайзинг; наличие сертификатов «Центра компетенции по бюджетному учету», «Центра сопровождения программ и информационных продуктов фирмы «1С», «Сертификата соответствия международной системе качества ISO 9001:2015».</w:t>
      </w:r>
    </w:p>
    <w:p w14:paraId="7BE94940">
      <w:pPr>
        <w:jc w:val="both"/>
        <w:rPr>
          <w:rFonts w:eastAsia="Calibri"/>
          <w:sz w:val="22"/>
          <w:szCs w:val="22"/>
        </w:rPr>
      </w:pPr>
    </w:p>
    <w:p w14:paraId="4A2F6196">
      <w:pPr>
        <w:rPr>
          <w:b/>
          <w:sz w:val="22"/>
          <w:szCs w:val="22"/>
        </w:rPr>
      </w:pPr>
      <w:r>
        <w:rPr>
          <w:b/>
          <w:sz w:val="22"/>
          <w:szCs w:val="22"/>
        </w:rPr>
        <w:t>10. Перечень услуг:</w:t>
      </w:r>
    </w:p>
    <w:p w14:paraId="16BF9CDF">
      <w:pPr>
        <w:rPr>
          <w:b/>
          <w:sz w:val="22"/>
          <w:szCs w:val="2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379"/>
        <w:gridCol w:w="1417"/>
        <w:gridCol w:w="1418"/>
      </w:tblGrid>
      <w:tr w14:paraId="05BA2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4FF1E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E501C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6CB9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Ед.изм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14B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 w14:paraId="2A85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5241E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379" w:type="dxa"/>
            <w:shd w:val="clear" w:color="auto" w:fill="auto"/>
          </w:tcPr>
          <w:p w14:paraId="446E5A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по сопровождению, установке и адаптации программ для ЭВМ, баз данных (программных средств и информационных продуктов вычислительной техники) - 1С: АС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941F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92C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14:paraId="4BDC1AC8">
      <w:pPr>
        <w:widowControl/>
        <w:autoSpaceDE/>
        <w:autoSpaceDN/>
        <w:adjustRightInd/>
        <w:ind w:firstLine="567"/>
        <w:rPr>
          <w:rFonts w:eastAsia="Calibri"/>
          <w:sz w:val="22"/>
          <w:szCs w:val="22"/>
          <w:lang w:eastAsia="en-US"/>
        </w:rPr>
      </w:pPr>
    </w:p>
    <w:tbl>
      <w:tblPr>
        <w:tblStyle w:val="3"/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09"/>
        <w:gridCol w:w="5272"/>
      </w:tblGrid>
      <w:tr w14:paraId="741DBB2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09" w:type="dxa"/>
          </w:tcPr>
          <w:p w14:paraId="178A3F1A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5272" w:type="dxa"/>
          </w:tcPr>
          <w:p w14:paraId="2DA37DCC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ИСПОЛНИТЕЛЬ:</w:t>
            </w:r>
          </w:p>
        </w:tc>
      </w:tr>
      <w:tr w14:paraId="72BB064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08" w:hRule="atLeast"/>
        </w:trPr>
        <w:tc>
          <w:tcPr>
            <w:tcW w:w="4509" w:type="dxa"/>
          </w:tcPr>
          <w:p w14:paraId="33A26C70">
            <w:pPr>
              <w:ind w:left="3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 АРСТ</w:t>
            </w:r>
          </w:p>
          <w:p w14:paraId="7926DC6D">
            <w:pPr>
              <w:ind w:left="309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Врио директора </w:t>
            </w:r>
          </w:p>
          <w:p w14:paraId="62E33656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2" w:type="dxa"/>
          </w:tcPr>
          <w:p w14:paraId="41A85B15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14:paraId="707A4D7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09" w:type="dxa"/>
          </w:tcPr>
          <w:p w14:paraId="0BED915E">
            <w:pPr>
              <w:spacing w:line="276" w:lineRule="auto"/>
              <w:ind w:firstLine="25"/>
              <w:jc w:val="center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_________________/</w:t>
            </w:r>
            <w:r>
              <w:rPr>
                <w:bCs/>
                <w:sz w:val="22"/>
                <w:szCs w:val="22"/>
                <w:shd w:val="clear" w:color="auto" w:fill="FFFFFF"/>
              </w:rPr>
              <w:t>Н.В. Гончикова</w:t>
            </w: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/</w:t>
            </w:r>
          </w:p>
          <w:p w14:paraId="33EE6B16">
            <w:pPr>
              <w:spacing w:line="276" w:lineRule="auto"/>
              <w:ind w:firstLine="25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shd w:val="clear" w:color="auto" w:fill="FFFFFF"/>
              </w:rPr>
              <w:t>Подписано усиленной квалифицированной электронной подписью</w:t>
            </w:r>
          </w:p>
        </w:tc>
        <w:tc>
          <w:tcPr>
            <w:tcW w:w="5272" w:type="dxa"/>
            <w:vAlign w:val="center"/>
          </w:tcPr>
          <w:p w14:paraId="5C8EFDB6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__________________________________</w:t>
            </w:r>
          </w:p>
          <w:p w14:paraId="74A81D55">
            <w:pPr>
              <w:spacing w:line="276" w:lineRule="auto"/>
              <w:ind w:firstLine="709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shd w:val="clear" w:color="auto" w:fill="FFFFFF"/>
              </w:rPr>
              <w:t>Подписано усиленной квалифицированной электронной подписью</w:t>
            </w:r>
          </w:p>
        </w:tc>
      </w:tr>
    </w:tbl>
    <w:p w14:paraId="4794EDC3">
      <w:pPr>
        <w:widowControl/>
        <w:autoSpaceDE/>
        <w:autoSpaceDN/>
        <w:adjustRightInd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F78DCDA">
      <w:pPr>
        <w:ind w:firstLine="567"/>
        <w:jc w:val="right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Приложение № 2</w:t>
      </w:r>
    </w:p>
    <w:p w14:paraId="3ABD905B">
      <w:pPr>
        <w:ind w:firstLine="567"/>
        <w:jc w:val="right"/>
        <w:rPr>
          <w:bCs/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 xml:space="preserve"> к контракту </w:t>
      </w:r>
      <w:r>
        <w:rPr>
          <w:bCs/>
          <w:color w:val="00000A"/>
          <w:sz w:val="22"/>
          <w:szCs w:val="22"/>
          <w:lang w:eastAsia="zh-CN"/>
        </w:rPr>
        <w:t xml:space="preserve">№ </w:t>
      </w:r>
    </w:p>
    <w:p w14:paraId="1557C1E3">
      <w:pPr>
        <w:ind w:firstLine="567"/>
        <w:jc w:val="right"/>
        <w:rPr>
          <w:bCs/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от «___»___________ 2026 г.</w:t>
      </w:r>
    </w:p>
    <w:p w14:paraId="62B5D83C">
      <w:pPr>
        <w:ind w:firstLine="567"/>
        <w:jc w:val="right"/>
        <w:rPr>
          <w:b/>
          <w:bCs/>
          <w:sz w:val="22"/>
          <w:szCs w:val="22"/>
          <w:lang w:eastAsia="zh-CN"/>
        </w:rPr>
      </w:pPr>
    </w:p>
    <w:p w14:paraId="75356D88">
      <w:pPr>
        <w:ind w:firstLine="567"/>
        <w:jc w:val="center"/>
        <w:rPr>
          <w:b/>
          <w:bCs/>
          <w:sz w:val="22"/>
          <w:szCs w:val="22"/>
          <w:lang w:eastAsia="zh-CN"/>
        </w:rPr>
      </w:pPr>
    </w:p>
    <w:p w14:paraId="1DB7DE4A">
      <w:pPr>
        <w:ind w:firstLine="567"/>
        <w:jc w:val="center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СПЕЦИФИКАЦИЯ</w:t>
      </w:r>
    </w:p>
    <w:p w14:paraId="31D7754E">
      <w:pPr>
        <w:ind w:firstLine="567"/>
        <w:jc w:val="center"/>
        <w:rPr>
          <w:sz w:val="22"/>
          <w:szCs w:val="22"/>
          <w:lang w:eastAsia="zh-CN"/>
        </w:rPr>
      </w:pPr>
    </w:p>
    <w:p w14:paraId="31BC028F">
      <w:pPr>
        <w:ind w:right="-1" w:firstLine="567"/>
        <w:jc w:val="center"/>
        <w:rPr>
          <w:sz w:val="22"/>
          <w:szCs w:val="22"/>
        </w:rPr>
      </w:pPr>
    </w:p>
    <w:tbl>
      <w:tblPr>
        <w:tblStyle w:val="3"/>
        <w:tblpPr w:leftFromText="180" w:rightFromText="180" w:vertAnchor="text" w:tblpX="-323" w:tblpY="27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7"/>
        <w:gridCol w:w="1417"/>
        <w:gridCol w:w="1276"/>
        <w:gridCol w:w="1985"/>
        <w:gridCol w:w="1922"/>
      </w:tblGrid>
      <w:tr w14:paraId="30535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147" w:type="dxa"/>
            <w:vAlign w:val="center"/>
          </w:tcPr>
          <w:p w14:paraId="14BAFDE5">
            <w:pPr>
              <w:ind w:right="-1" w:firstLine="22"/>
              <w:jc w:val="center"/>
              <w:rPr>
                <w:sz w:val="22"/>
                <w:szCs w:val="22"/>
              </w:rPr>
            </w:pPr>
            <w:r>
              <w:rPr>
                <w:bCs/>
                <w:color w:val="334059"/>
                <w:sz w:val="22"/>
                <w:szCs w:val="22"/>
              </w:rPr>
              <w:t>Наименование товара (работ, услуг), ОКПД 2,</w:t>
            </w:r>
            <w:r>
              <w:rPr>
                <w:bCs/>
                <w:color w:val="334059"/>
                <w:sz w:val="22"/>
                <w:szCs w:val="22"/>
              </w:rPr>
              <w:br w:type="textWrapping"/>
            </w:r>
          </w:p>
        </w:tc>
        <w:tc>
          <w:tcPr>
            <w:tcW w:w="1417" w:type="dxa"/>
            <w:vAlign w:val="center"/>
          </w:tcPr>
          <w:p w14:paraId="64AAFAC7">
            <w:pPr>
              <w:ind w:right="-1" w:firstLine="22"/>
              <w:jc w:val="center"/>
              <w:rPr>
                <w:sz w:val="22"/>
                <w:szCs w:val="22"/>
              </w:rPr>
            </w:pPr>
            <w:r>
              <w:rPr>
                <w:bCs/>
                <w:color w:val="334059"/>
                <w:sz w:val="22"/>
                <w:szCs w:val="22"/>
              </w:rPr>
              <w:t>Количество</w:t>
            </w:r>
          </w:p>
        </w:tc>
        <w:tc>
          <w:tcPr>
            <w:tcW w:w="1276" w:type="dxa"/>
            <w:vAlign w:val="center"/>
          </w:tcPr>
          <w:p w14:paraId="0E63942A">
            <w:pPr>
              <w:ind w:right="-1" w:firstLine="22"/>
              <w:jc w:val="center"/>
              <w:rPr>
                <w:sz w:val="22"/>
                <w:szCs w:val="22"/>
              </w:rPr>
            </w:pPr>
            <w:r>
              <w:rPr>
                <w:bCs/>
                <w:color w:val="334059"/>
                <w:sz w:val="22"/>
                <w:szCs w:val="22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14:paraId="1D37CA01">
            <w:pPr>
              <w:ind w:right="-1" w:firstLine="22"/>
              <w:jc w:val="center"/>
              <w:rPr>
                <w:sz w:val="22"/>
                <w:szCs w:val="22"/>
              </w:rPr>
            </w:pPr>
            <w:r>
              <w:rPr>
                <w:bCs/>
                <w:color w:val="334059"/>
                <w:sz w:val="22"/>
                <w:szCs w:val="22"/>
              </w:rPr>
              <w:t xml:space="preserve">Цена единицы </w:t>
            </w:r>
            <w:r>
              <w:rPr>
                <w:bCs/>
                <w:color w:val="334059"/>
                <w:sz w:val="22"/>
                <w:szCs w:val="22"/>
                <w:lang w:val="ru-RU"/>
              </w:rPr>
              <w:t>в</w:t>
            </w:r>
            <w:r>
              <w:rPr>
                <w:rFonts w:hint="default"/>
                <w:bCs/>
                <w:color w:val="334059"/>
                <w:sz w:val="22"/>
                <w:szCs w:val="22"/>
                <w:lang w:val="ru-RU"/>
              </w:rPr>
              <w:t xml:space="preserve"> т.ч. НДС _____</w:t>
            </w:r>
            <w:r>
              <w:rPr>
                <w:rFonts w:hint="default"/>
                <w:bCs/>
                <w:color w:val="334059"/>
                <w:sz w:val="22"/>
                <w:szCs w:val="22"/>
                <w:highlight w:val="none"/>
                <w:lang w:val="ru-RU"/>
              </w:rPr>
              <w:t>%/</w:t>
            </w:r>
            <w:r>
              <w:rPr>
                <w:bCs/>
                <w:color w:val="334059"/>
                <w:sz w:val="22"/>
                <w:szCs w:val="22"/>
                <w:highlight w:val="none"/>
              </w:rPr>
              <w:t>без НДС</w:t>
            </w:r>
          </w:p>
        </w:tc>
        <w:tc>
          <w:tcPr>
            <w:tcW w:w="1922" w:type="dxa"/>
            <w:vAlign w:val="center"/>
          </w:tcPr>
          <w:p w14:paraId="004D4B6E">
            <w:pPr>
              <w:ind w:right="-1" w:firstLine="22"/>
              <w:jc w:val="center"/>
              <w:rPr>
                <w:sz w:val="22"/>
                <w:szCs w:val="22"/>
              </w:rPr>
            </w:pPr>
            <w:r>
              <w:rPr>
                <w:bCs/>
                <w:color w:val="334059"/>
                <w:sz w:val="22"/>
                <w:szCs w:val="22"/>
              </w:rPr>
              <w:t>Стоимость</w:t>
            </w:r>
            <w:r>
              <w:rPr>
                <w:rFonts w:hint="default"/>
                <w:bCs/>
                <w:color w:val="334059"/>
                <w:sz w:val="22"/>
                <w:szCs w:val="22"/>
                <w:lang w:val="ru-RU"/>
              </w:rPr>
              <w:t>,</w:t>
            </w:r>
            <w:bookmarkStart w:id="4" w:name="_GoBack"/>
            <w:r>
              <w:rPr>
                <w:rFonts w:hint="default"/>
                <w:bCs/>
                <w:color w:val="334059"/>
                <w:sz w:val="22"/>
                <w:szCs w:val="22"/>
                <w:highlight w:val="none"/>
                <w:lang w:val="ru-RU"/>
              </w:rPr>
              <w:t xml:space="preserve"> в т.ч. НДС ___%, без </w:t>
            </w:r>
            <w:r>
              <w:rPr>
                <w:sz w:val="22"/>
                <w:szCs w:val="22"/>
                <w:highlight w:val="none"/>
              </w:rPr>
              <w:t xml:space="preserve"> НДС</w:t>
            </w:r>
            <w:bookmarkEnd w:id="4"/>
          </w:p>
        </w:tc>
      </w:tr>
      <w:tr w14:paraId="059B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147" w:type="dxa"/>
          </w:tcPr>
          <w:p w14:paraId="09454CF2">
            <w:pPr>
              <w:ind w:right="-1"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 по сопровождению, установке и адаптации программ для ЭВМ, баз данных (программных средств и информационных продуктов вычислительной техники) - 1С:АС</w:t>
            </w:r>
          </w:p>
        </w:tc>
        <w:tc>
          <w:tcPr>
            <w:tcW w:w="1417" w:type="dxa"/>
          </w:tcPr>
          <w:p w14:paraId="42A5975C">
            <w:pPr>
              <w:ind w:right="-1"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14:paraId="65AC8E25">
            <w:pPr>
              <w:ind w:right="-1"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</w:t>
            </w:r>
          </w:p>
        </w:tc>
        <w:tc>
          <w:tcPr>
            <w:tcW w:w="1985" w:type="dxa"/>
          </w:tcPr>
          <w:p w14:paraId="27D60699">
            <w:pPr>
              <w:ind w:right="-1"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922" w:type="dxa"/>
          </w:tcPr>
          <w:p w14:paraId="58C7D74C">
            <w:pPr>
              <w:ind w:right="-1" w:firstLine="567"/>
              <w:jc w:val="both"/>
              <w:rPr>
                <w:sz w:val="22"/>
                <w:szCs w:val="22"/>
              </w:rPr>
            </w:pPr>
          </w:p>
        </w:tc>
      </w:tr>
    </w:tbl>
    <w:p w14:paraId="3806B2A0">
      <w:pPr>
        <w:ind w:firstLine="567"/>
        <w:rPr>
          <w:sz w:val="22"/>
          <w:szCs w:val="22"/>
          <w:lang w:eastAsia="zh-CN"/>
        </w:rPr>
      </w:pPr>
    </w:p>
    <w:p w14:paraId="73FF7532">
      <w:pPr>
        <w:ind w:firstLine="567"/>
        <w:outlineLvl w:val="0"/>
        <w:rPr>
          <w:color w:val="00000A"/>
          <w:sz w:val="22"/>
          <w:szCs w:val="22"/>
          <w:lang w:eastAsia="zh-CN"/>
        </w:rPr>
      </w:pPr>
    </w:p>
    <w:p w14:paraId="2A3FED89">
      <w:pPr>
        <w:ind w:firstLine="567"/>
        <w:outlineLvl w:val="0"/>
        <w:rPr>
          <w:color w:val="00000A"/>
          <w:sz w:val="22"/>
          <w:szCs w:val="22"/>
          <w:lang w:eastAsia="zh-CN"/>
        </w:rPr>
      </w:pPr>
    </w:p>
    <w:p w14:paraId="718869AC">
      <w:pPr>
        <w:ind w:firstLine="567"/>
        <w:outlineLvl w:val="0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 xml:space="preserve">Итого: </w:t>
      </w:r>
    </w:p>
    <w:p w14:paraId="194AE193">
      <w:pPr>
        <w:ind w:firstLine="567"/>
        <w:outlineLvl w:val="0"/>
        <w:rPr>
          <w:color w:val="00000A"/>
          <w:sz w:val="22"/>
          <w:szCs w:val="22"/>
          <w:lang w:eastAsia="zh-CN"/>
        </w:rPr>
      </w:pPr>
    </w:p>
    <w:p w14:paraId="68BC8211">
      <w:pPr>
        <w:ind w:firstLine="567"/>
        <w:outlineLvl w:val="0"/>
        <w:rPr>
          <w:color w:val="00000A"/>
          <w:sz w:val="22"/>
          <w:szCs w:val="22"/>
          <w:lang w:eastAsia="zh-CN"/>
        </w:rPr>
      </w:pPr>
    </w:p>
    <w:tbl>
      <w:tblPr>
        <w:tblStyle w:val="3"/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09"/>
        <w:gridCol w:w="5272"/>
      </w:tblGrid>
      <w:tr w14:paraId="6C5C3B3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09" w:type="dxa"/>
          </w:tcPr>
          <w:p w14:paraId="35509903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5272" w:type="dxa"/>
          </w:tcPr>
          <w:p w14:paraId="700AE0BA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ИСПОЛНИТЕЛЬ:</w:t>
            </w:r>
          </w:p>
        </w:tc>
      </w:tr>
      <w:tr w14:paraId="5C5C750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908" w:hRule="atLeast"/>
        </w:trPr>
        <w:tc>
          <w:tcPr>
            <w:tcW w:w="4509" w:type="dxa"/>
          </w:tcPr>
          <w:p w14:paraId="295808A4">
            <w:pPr>
              <w:ind w:left="3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ФГБУ АРСТ</w:t>
            </w:r>
          </w:p>
          <w:p w14:paraId="315051D2">
            <w:pPr>
              <w:ind w:left="309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Врио директора </w:t>
            </w:r>
          </w:p>
          <w:p w14:paraId="715FC1BF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2" w:type="dxa"/>
          </w:tcPr>
          <w:p w14:paraId="0198C223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14:paraId="106CE05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09" w:type="dxa"/>
          </w:tcPr>
          <w:p w14:paraId="62029636">
            <w:pPr>
              <w:spacing w:line="276" w:lineRule="auto"/>
              <w:ind w:firstLine="25"/>
              <w:jc w:val="center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_________________/</w:t>
            </w:r>
            <w:r>
              <w:rPr>
                <w:bCs/>
                <w:sz w:val="22"/>
                <w:szCs w:val="22"/>
                <w:shd w:val="clear" w:color="auto" w:fill="FFFFFF"/>
              </w:rPr>
              <w:t>Н.В. Гончикова</w:t>
            </w: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/</w:t>
            </w:r>
          </w:p>
          <w:p w14:paraId="184986E9">
            <w:pPr>
              <w:spacing w:line="276" w:lineRule="auto"/>
              <w:ind w:firstLine="25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shd w:val="clear" w:color="auto" w:fill="FFFFFF"/>
              </w:rPr>
              <w:t>Подписано усиленной квалифицированной электронной подписью</w:t>
            </w:r>
          </w:p>
        </w:tc>
        <w:tc>
          <w:tcPr>
            <w:tcW w:w="5272" w:type="dxa"/>
            <w:vAlign w:val="center"/>
          </w:tcPr>
          <w:p w14:paraId="57C964B2">
            <w:pPr>
              <w:spacing w:line="276" w:lineRule="auto"/>
              <w:ind w:firstLine="70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__________________________________</w:t>
            </w:r>
          </w:p>
          <w:p w14:paraId="6428E883">
            <w:pPr>
              <w:spacing w:line="276" w:lineRule="auto"/>
              <w:ind w:firstLine="709"/>
              <w:rPr>
                <w:b/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shd w:val="clear" w:color="auto" w:fill="FFFFFF"/>
              </w:rPr>
              <w:t>Подписано усиленной квалифицированной электронной подписью</w:t>
            </w:r>
          </w:p>
        </w:tc>
      </w:tr>
    </w:tbl>
    <w:p w14:paraId="22D6B2D3">
      <w:pPr>
        <w:ind w:firstLine="567"/>
        <w:outlineLvl w:val="0"/>
        <w:rPr>
          <w:color w:val="00000A"/>
          <w:sz w:val="22"/>
          <w:szCs w:val="22"/>
          <w:lang w:eastAsia="zh-CN"/>
        </w:rPr>
      </w:pPr>
    </w:p>
    <w:p w14:paraId="76C144C6">
      <w:pPr>
        <w:ind w:firstLine="567"/>
        <w:rPr>
          <w:sz w:val="22"/>
          <w:szCs w:val="22"/>
        </w:rPr>
      </w:pPr>
    </w:p>
    <w:sectPr>
      <w:pgSz w:w="11906" w:h="16838"/>
      <w:pgMar w:top="964" w:right="737" w:bottom="426" w:left="107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563364"/>
    <w:multiLevelType w:val="multilevel"/>
    <w:tmpl w:val="12563364"/>
    <w:lvl w:ilvl="0" w:tentative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1D784C7D"/>
    <w:multiLevelType w:val="multilevel"/>
    <w:tmpl w:val="1D784C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A3DDC"/>
    <w:multiLevelType w:val="multilevel"/>
    <w:tmpl w:val="613A3DDC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B74"/>
    <w:rsid w:val="000054D0"/>
    <w:rsid w:val="0001115B"/>
    <w:rsid w:val="00050E71"/>
    <w:rsid w:val="000837C4"/>
    <w:rsid w:val="000866EC"/>
    <w:rsid w:val="000930A6"/>
    <w:rsid w:val="000935F5"/>
    <w:rsid w:val="000C7FC2"/>
    <w:rsid w:val="000D338D"/>
    <w:rsid w:val="000E069B"/>
    <w:rsid w:val="0011577C"/>
    <w:rsid w:val="00123683"/>
    <w:rsid w:val="00141321"/>
    <w:rsid w:val="001579A5"/>
    <w:rsid w:val="00176A3F"/>
    <w:rsid w:val="001820EF"/>
    <w:rsid w:val="00184FFC"/>
    <w:rsid w:val="001B6CAF"/>
    <w:rsid w:val="001D3D4B"/>
    <w:rsid w:val="001D7857"/>
    <w:rsid w:val="001E1363"/>
    <w:rsid w:val="001E37C8"/>
    <w:rsid w:val="001F5CC7"/>
    <w:rsid w:val="00221B39"/>
    <w:rsid w:val="00223612"/>
    <w:rsid w:val="002267FD"/>
    <w:rsid w:val="00270E55"/>
    <w:rsid w:val="00271371"/>
    <w:rsid w:val="0027388F"/>
    <w:rsid w:val="002778FC"/>
    <w:rsid w:val="00294000"/>
    <w:rsid w:val="002A07B5"/>
    <w:rsid w:val="002C0531"/>
    <w:rsid w:val="002C4EF4"/>
    <w:rsid w:val="002E723C"/>
    <w:rsid w:val="002E7795"/>
    <w:rsid w:val="002F3D63"/>
    <w:rsid w:val="00300299"/>
    <w:rsid w:val="0031786A"/>
    <w:rsid w:val="00317C9E"/>
    <w:rsid w:val="003478D6"/>
    <w:rsid w:val="00347F8A"/>
    <w:rsid w:val="00354843"/>
    <w:rsid w:val="00364FC2"/>
    <w:rsid w:val="00393715"/>
    <w:rsid w:val="003B5FB5"/>
    <w:rsid w:val="003B683B"/>
    <w:rsid w:val="003D42C1"/>
    <w:rsid w:val="003E3B40"/>
    <w:rsid w:val="00433134"/>
    <w:rsid w:val="0043417D"/>
    <w:rsid w:val="0043499B"/>
    <w:rsid w:val="004A2ED8"/>
    <w:rsid w:val="004B63BC"/>
    <w:rsid w:val="004D309D"/>
    <w:rsid w:val="004D67E3"/>
    <w:rsid w:val="004E5654"/>
    <w:rsid w:val="0050400D"/>
    <w:rsid w:val="005116E2"/>
    <w:rsid w:val="005266A8"/>
    <w:rsid w:val="005274D2"/>
    <w:rsid w:val="00554B1F"/>
    <w:rsid w:val="00575E3F"/>
    <w:rsid w:val="00597AFB"/>
    <w:rsid w:val="005A555E"/>
    <w:rsid w:val="005D0C85"/>
    <w:rsid w:val="005D7728"/>
    <w:rsid w:val="005E2647"/>
    <w:rsid w:val="005F61CD"/>
    <w:rsid w:val="005F6D5B"/>
    <w:rsid w:val="00610DE0"/>
    <w:rsid w:val="0063202B"/>
    <w:rsid w:val="0064788D"/>
    <w:rsid w:val="0065274F"/>
    <w:rsid w:val="00674876"/>
    <w:rsid w:val="006A352E"/>
    <w:rsid w:val="006B635A"/>
    <w:rsid w:val="006C052D"/>
    <w:rsid w:val="006D2808"/>
    <w:rsid w:val="006E4BAA"/>
    <w:rsid w:val="00746B76"/>
    <w:rsid w:val="007679D0"/>
    <w:rsid w:val="007750A9"/>
    <w:rsid w:val="00785E96"/>
    <w:rsid w:val="007A1395"/>
    <w:rsid w:val="007C46EE"/>
    <w:rsid w:val="007C6452"/>
    <w:rsid w:val="007D4786"/>
    <w:rsid w:val="007E4D17"/>
    <w:rsid w:val="007E5014"/>
    <w:rsid w:val="007F08C7"/>
    <w:rsid w:val="00804503"/>
    <w:rsid w:val="008270DA"/>
    <w:rsid w:val="00854F59"/>
    <w:rsid w:val="008841A2"/>
    <w:rsid w:val="00890480"/>
    <w:rsid w:val="008B5D16"/>
    <w:rsid w:val="008C6824"/>
    <w:rsid w:val="00925AA6"/>
    <w:rsid w:val="009267D1"/>
    <w:rsid w:val="00941B12"/>
    <w:rsid w:val="009423F5"/>
    <w:rsid w:val="009474C9"/>
    <w:rsid w:val="00960FDF"/>
    <w:rsid w:val="009618D0"/>
    <w:rsid w:val="00971994"/>
    <w:rsid w:val="00984593"/>
    <w:rsid w:val="009B55B0"/>
    <w:rsid w:val="009B76FE"/>
    <w:rsid w:val="009C6D7D"/>
    <w:rsid w:val="009E0B74"/>
    <w:rsid w:val="009F08E4"/>
    <w:rsid w:val="009F5943"/>
    <w:rsid w:val="00A12F77"/>
    <w:rsid w:val="00A1512E"/>
    <w:rsid w:val="00A2468D"/>
    <w:rsid w:val="00A4208A"/>
    <w:rsid w:val="00A65492"/>
    <w:rsid w:val="00A93348"/>
    <w:rsid w:val="00AA14A0"/>
    <w:rsid w:val="00AB66DF"/>
    <w:rsid w:val="00AD1469"/>
    <w:rsid w:val="00AE1E10"/>
    <w:rsid w:val="00AE26C4"/>
    <w:rsid w:val="00AF175C"/>
    <w:rsid w:val="00AF26CF"/>
    <w:rsid w:val="00AF43C8"/>
    <w:rsid w:val="00B250ED"/>
    <w:rsid w:val="00B33748"/>
    <w:rsid w:val="00B33DB3"/>
    <w:rsid w:val="00B46CCB"/>
    <w:rsid w:val="00B47362"/>
    <w:rsid w:val="00B53F05"/>
    <w:rsid w:val="00B61A37"/>
    <w:rsid w:val="00B81C47"/>
    <w:rsid w:val="00C072BC"/>
    <w:rsid w:val="00C14E1D"/>
    <w:rsid w:val="00C221AE"/>
    <w:rsid w:val="00C35CDB"/>
    <w:rsid w:val="00C46728"/>
    <w:rsid w:val="00C5216F"/>
    <w:rsid w:val="00C63653"/>
    <w:rsid w:val="00C769CD"/>
    <w:rsid w:val="00C80060"/>
    <w:rsid w:val="00C8330A"/>
    <w:rsid w:val="00C83724"/>
    <w:rsid w:val="00CA5072"/>
    <w:rsid w:val="00CB4D8B"/>
    <w:rsid w:val="00CF08F6"/>
    <w:rsid w:val="00D057F9"/>
    <w:rsid w:val="00D2096F"/>
    <w:rsid w:val="00D27CC4"/>
    <w:rsid w:val="00D3043B"/>
    <w:rsid w:val="00D47F7C"/>
    <w:rsid w:val="00D545F4"/>
    <w:rsid w:val="00D83C2B"/>
    <w:rsid w:val="00DA1ED7"/>
    <w:rsid w:val="00DB0AE1"/>
    <w:rsid w:val="00DD51E3"/>
    <w:rsid w:val="00DD5EFD"/>
    <w:rsid w:val="00DD6C6D"/>
    <w:rsid w:val="00DE34F1"/>
    <w:rsid w:val="00DE6709"/>
    <w:rsid w:val="00DF35D0"/>
    <w:rsid w:val="00DF563F"/>
    <w:rsid w:val="00E04D0E"/>
    <w:rsid w:val="00E12E70"/>
    <w:rsid w:val="00E21AEE"/>
    <w:rsid w:val="00E34B92"/>
    <w:rsid w:val="00E75CAD"/>
    <w:rsid w:val="00E80C4A"/>
    <w:rsid w:val="00E97EEF"/>
    <w:rsid w:val="00EB5116"/>
    <w:rsid w:val="00EC0B17"/>
    <w:rsid w:val="00ED5808"/>
    <w:rsid w:val="00EE5C97"/>
    <w:rsid w:val="00F038FE"/>
    <w:rsid w:val="00F10838"/>
    <w:rsid w:val="00F30E1F"/>
    <w:rsid w:val="00F31A34"/>
    <w:rsid w:val="00F33358"/>
    <w:rsid w:val="00F35275"/>
    <w:rsid w:val="00F577E9"/>
    <w:rsid w:val="00F63B3B"/>
    <w:rsid w:val="00F74817"/>
    <w:rsid w:val="00F9637A"/>
    <w:rsid w:val="00F97DBD"/>
    <w:rsid w:val="00FB04F4"/>
    <w:rsid w:val="00FD4791"/>
    <w:rsid w:val="00FD6730"/>
    <w:rsid w:val="00FE76E3"/>
    <w:rsid w:val="09C51A18"/>
    <w:rsid w:val="0F88760A"/>
    <w:rsid w:val="0FE82EA7"/>
    <w:rsid w:val="13F1508F"/>
    <w:rsid w:val="1489513E"/>
    <w:rsid w:val="1CE870E1"/>
    <w:rsid w:val="1EEB314A"/>
    <w:rsid w:val="21507B40"/>
    <w:rsid w:val="313A50D3"/>
    <w:rsid w:val="338A355B"/>
    <w:rsid w:val="396F4CC8"/>
    <w:rsid w:val="43F96667"/>
    <w:rsid w:val="48087ABB"/>
    <w:rsid w:val="4A093720"/>
    <w:rsid w:val="4E690745"/>
    <w:rsid w:val="4F867008"/>
    <w:rsid w:val="51501AF7"/>
    <w:rsid w:val="51DA385B"/>
    <w:rsid w:val="5AE77D12"/>
    <w:rsid w:val="5F3E7F7C"/>
    <w:rsid w:val="6C0438A2"/>
    <w:rsid w:val="778939A2"/>
    <w:rsid w:val="7B03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9"/>
    <w:semiHidden/>
    <w:unhideWhenUsed/>
    <w:uiPriority w:val="99"/>
  </w:style>
  <w:style w:type="paragraph" w:styleId="8">
    <w:name w:val="annotation subject"/>
    <w:basedOn w:val="7"/>
    <w:next w:val="7"/>
    <w:link w:val="20"/>
    <w:semiHidden/>
    <w:unhideWhenUsed/>
    <w:qFormat/>
    <w:uiPriority w:val="99"/>
    <w:rPr>
      <w:b/>
      <w:bCs/>
    </w:rPr>
  </w:style>
  <w:style w:type="paragraph" w:styleId="9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7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Пункт1"/>
    <w:basedOn w:val="1"/>
    <w:qFormat/>
    <w:uiPriority w:val="0"/>
    <w:pPr>
      <w:widowControl/>
      <w:tabs>
        <w:tab w:val="left" w:pos="4536"/>
      </w:tabs>
      <w:suppressAutoHyphens/>
      <w:autoSpaceDE/>
      <w:autoSpaceDN/>
      <w:adjustRightInd/>
      <w:spacing w:line="192" w:lineRule="auto"/>
      <w:ind w:left="567" w:hanging="567"/>
      <w:jc w:val="both"/>
    </w:pPr>
    <w:rPr>
      <w:rFonts w:ascii="Verdana" w:hAnsi="Verdana" w:eastAsia="MS Mincho" w:cs="Courier New"/>
      <w:kern w:val="1"/>
      <w:sz w:val="18"/>
      <w:lang w:eastAsia="ar-SA"/>
    </w:r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  <w:lang w:eastAsia="ru-RU"/>
    </w:rPr>
  </w:style>
  <w:style w:type="paragraph" w:customStyle="1" w:styleId="15">
    <w:name w:val="Базовый"/>
    <w:qFormat/>
    <w:uiPriority w:val="0"/>
    <w:pPr>
      <w:tabs>
        <w:tab w:val="left" w:pos="708"/>
      </w:tabs>
      <w:suppressAutoHyphens/>
      <w:spacing w:line="100" w:lineRule="atLeast"/>
    </w:pPr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16">
    <w:name w:val="Default Text"/>
    <w:basedOn w:val="1"/>
    <w:qFormat/>
    <w:uiPriority w:val="0"/>
    <w:pPr>
      <w:widowControl/>
      <w:overflowPunct w:val="0"/>
      <w:textAlignment w:val="baseline"/>
    </w:pPr>
    <w:rPr>
      <w:sz w:val="24"/>
    </w:rPr>
  </w:style>
  <w:style w:type="character" w:customStyle="1" w:styleId="17">
    <w:name w:val="ng-binding"/>
    <w:qFormat/>
    <w:uiPriority w:val="0"/>
  </w:style>
  <w:style w:type="paragraph" w:styleId="18">
    <w:name w:val="No Spacing"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9">
    <w:name w:val="Текст примечания Знак"/>
    <w:basedOn w:val="2"/>
    <w:link w:val="7"/>
    <w:semiHidden/>
    <w:qFormat/>
    <w:uiPriority w:val="99"/>
    <w:rPr>
      <w:lang w:eastAsia="ru-RU"/>
    </w:rPr>
  </w:style>
  <w:style w:type="character" w:customStyle="1" w:styleId="20">
    <w:name w:val="Тема примечания Знак"/>
    <w:basedOn w:val="19"/>
    <w:link w:val="8"/>
    <w:semiHidden/>
    <w:qFormat/>
    <w:uiPriority w:val="99"/>
    <w:rPr>
      <w:b/>
      <w:bCs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Что делать Консалт</Company>
  <Pages>11</Pages>
  <Words>4417</Words>
  <Characters>31925</Characters>
  <Lines>260</Lines>
  <Paragraphs>73</Paragraphs>
  <TotalTime>3</TotalTime>
  <ScaleCrop>false</ScaleCrop>
  <LinksUpToDate>false</LinksUpToDate>
  <CharactersWithSpaces>36435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2026-09-22T14:04:00Z</dcterms:created>
  <dc:creator>Пользователь Windows</dc:creator>
  <cp:lastModifiedBy>WPS_1785851749</cp:lastModifiedBy>
  <cp:lastPrinted>2021-03-05T09:16:00Z</cp:lastPrinted>
  <dcterms:modified xsi:type="dcterms:W3CDTF">2026-09-22T14:48:24Z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eyJoZGlkIjoiYTdjMmU0MjQ1NTM5Mzk3Y2I1MzMyYWIzZTgzMWJkNTkiLCJ1c2VySWQiOiI4MjQ2MzgyMDAyMTAifQ==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3749BDA037F640D785E966D7AA9B43D3_13</vt:lpwstr>
  </property>
</Properties>
</file>