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Договор  №  22/26-</w:t>
      </w:r>
      <w:r>
        <w:rPr>
          <w:b/>
          <w:bCs/>
        </w:rPr>
        <w:t>223</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w:t>
      </w:r>
      <w:r>
        <w:rPr>
          <w:color w:val="000000"/>
        </w:rPr>
        <w:t xml:space="preserve">Наталья Васильевна </w:t>
      </w:r>
      <w:r>
        <w:rPr>
          <w:color w:val="000000"/>
        </w:rPr>
        <w:t xml:space="preserve">Ковжун,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 xml:space="preserve">______________________________, в лице __________________, действующего на основании __________________, </w:t>
      </w:r>
      <w:r>
        <w:rPr>
          <w:color w:val="000000"/>
        </w:rPr>
        <w:t xml:space="preserve">  с другой стороны, именуемое в дальнейшем </w:t>
      </w:r>
      <w:r>
        <w:rPr>
          <w:b/>
          <w:bCs/>
          <w:color w:val="000000"/>
        </w:rPr>
        <w:t>«Поставщик»</w:t>
      </w:r>
      <w:r>
        <w:rPr>
          <w:color w:val="000000"/>
        </w:rPr>
        <w:t>, 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в соответствии с п. </w:t>
      </w:r>
      <w:r>
        <w:rPr>
          <w:color w:val="000000"/>
          <w:highlight w:val="white"/>
        </w:rPr>
        <w:t>5</w:t>
      </w:r>
      <w:r>
        <w:rPr>
          <w:color w:val="000000"/>
          <w:highlight w:val="white"/>
        </w:rPr>
        <w:t>4 п.1 раздела 2 главы VI  Положения о закупках НИИ КПССЗ, заключили настоящий договор о нижеследующем:</w:t>
      </w:r>
      <w:r>
        <w:rPr>
          <w:color w:val="000000"/>
        </w:rPr>
        <w:t>:</w:t>
      </w:r>
    </w:p>
    <w:p>
      <w:pPr>
        <w:pStyle w:val="Normal"/>
        <w:spacing w:before="0" w:after="60"/>
        <w:jc w:val="center"/>
        <w:rPr>
          <w:color w:val="000000"/>
        </w:rPr>
      </w:pPr>
      <w:r>
        <w:rPr>
          <w:b/>
          <w:color w:val="000000"/>
        </w:rPr>
        <w:t>1. Предмет договор</w:t>
      </w:r>
      <w:r>
        <w:rPr>
          <w:b/>
          <w:bCs/>
          <w:color w:val="000000"/>
        </w:rPr>
        <w:t>а</w:t>
      </w:r>
    </w:p>
    <w:p>
      <w:pPr>
        <w:pStyle w:val="Normal"/>
        <w:numPr>
          <w:ilvl w:val="0"/>
          <w:numId w:val="0"/>
        </w:numPr>
        <w:ind w:hanging="0" w:left="0"/>
        <w:jc w:val="both"/>
        <w:outlineLvl w:val="0"/>
        <w:rPr>
          <w:b/>
          <w:bCs/>
        </w:rPr>
      </w:pPr>
      <w:r>
        <w:rPr>
          <w:color w:val="000000"/>
        </w:rPr>
        <w:t>1.1. Поставщик по настоящему договор</w:t>
      </w:r>
      <w:r>
        <w:rPr>
          <w:bCs/>
          <w:color w:val="000000"/>
        </w:rPr>
        <w:t>у</w:t>
      </w:r>
      <w:r>
        <w:rPr>
          <w:color w:val="000000"/>
        </w:rPr>
        <w:t xml:space="preserve"> обязуется поставить товар: </w:t>
      </w:r>
      <w:r>
        <w:rPr>
          <w:rFonts w:cs="Times New Roman"/>
          <w:i w:val="false"/>
          <w:iCs w:val="false"/>
          <w:color w:val="000000"/>
          <w:sz w:val="20"/>
          <w:szCs w:val="20"/>
          <w:lang w:eastAsia="ru-RU"/>
        </w:rPr>
        <w:t>дезинфицирующее средство Миродез</w:t>
      </w:r>
      <w:r>
        <w:rPr>
          <w:rFonts w:cs="Times New Roman"/>
          <w:b w:val="false"/>
          <w:i w:val="false"/>
          <w:strike w:val="false"/>
          <w:dstrike w:val="false"/>
          <w:outline w:val="false"/>
          <w:shadow w:val="false"/>
          <w:color w:val="000000"/>
          <w:sz w:val="24"/>
          <w:szCs w:val="24"/>
          <w:u w:val="none"/>
          <w:em w:val="none"/>
        </w:rPr>
        <w:t xml:space="preserve"> </w:t>
      </w:r>
      <w:r>
        <w:rPr>
          <w:b/>
          <w:bCs/>
          <w:color w:val="000000"/>
        </w:rPr>
        <w:t xml:space="preserve"> </w:t>
      </w:r>
      <w:r>
        <w:rPr/>
        <w:t xml:space="preserve">и передать его Заказчику, а Заказчик по настоящему </w:t>
      </w:r>
      <w:r>
        <w:rPr>
          <w:color w:val="000000"/>
        </w:rPr>
        <w:t>договор</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color w:val="000000"/>
        </w:rPr>
        <w:t>договор</w:t>
      </w:r>
      <w:r>
        <w:rPr>
          <w:bCs/>
        </w:rPr>
        <w:t xml:space="preserve">ом </w:t>
      </w:r>
      <w:r>
        <w:rPr/>
        <w:t xml:space="preserve">и спецификацией (Приложение №1 к настоящему </w:t>
      </w:r>
      <w:r>
        <w:rPr>
          <w:color w:val="000000"/>
        </w:rPr>
        <w:t>договор</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 xml:space="preserve">2. Цена </w:t>
      </w:r>
      <w:r>
        <w:rPr>
          <w:b/>
          <w:color w:val="000000"/>
          <w:lang w:val="ru-RU"/>
        </w:rPr>
        <w:t>договор</w:t>
      </w:r>
      <w:r>
        <w:rPr>
          <w:b/>
          <w:lang w:val="ru-RU"/>
        </w:rPr>
        <w:t>а и порядок расчетов</w:t>
      </w:r>
    </w:p>
    <w:p>
      <w:pPr>
        <w:pStyle w:val="CommentText"/>
        <w:rPr/>
      </w:pPr>
      <w:r>
        <w:rPr/>
        <w:t xml:space="preserve">2.1. Цена </w:t>
      </w:r>
      <w:r>
        <w:rPr>
          <w:color w:val="000000"/>
        </w:rPr>
        <w:t>договор</w:t>
      </w:r>
      <w:r>
        <w:rPr/>
        <w:t xml:space="preserve">а составляет </w:t>
      </w:r>
      <w:r>
        <w:rPr>
          <w:shd w:fill="FFFF00" w:val="clear"/>
        </w:rPr>
        <w:t xml:space="preserve">____ </w:t>
      </w:r>
      <w:r>
        <w:rPr>
          <w:b/>
          <w:bCs/>
          <w:shd w:fill="FFFF00" w:val="clear"/>
        </w:rPr>
        <w:t xml:space="preserve">рублей (_____ руб. ____ коп.), </w:t>
      </w:r>
      <w:r>
        <w:rPr>
          <w:b/>
          <w:bCs/>
          <w:color w:val="000000"/>
          <w:shd w:fill="FFFF00" w:val="clear"/>
        </w:rPr>
        <w:t xml:space="preserve">в том числе НДС (__%) – ___ руб. </w:t>
      </w:r>
    </w:p>
    <w:p>
      <w:pPr>
        <w:pStyle w:val="CommentText"/>
        <w:jc w:val="both"/>
        <w:rPr/>
      </w:pPr>
      <w:r>
        <w:rPr>
          <w:color w:val="000000"/>
        </w:rPr>
        <w:t>Цена договора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color w:val="000000"/>
        </w:rPr>
        <w:t>договор</w:t>
      </w:r>
      <w:r>
        <w:rPr/>
        <w:t>у в соответствии  с законодательством Российской Федерации.</w:t>
      </w:r>
    </w:p>
    <w:p>
      <w:pPr>
        <w:pStyle w:val="Normal"/>
        <w:widowControl w:val="false"/>
        <w:jc w:val="both"/>
        <w:rPr/>
      </w:pPr>
      <w:r>
        <w:rPr/>
        <w:t xml:space="preserve">2.2. Цена </w:t>
      </w:r>
      <w:r>
        <w:rPr>
          <w:color w:val="000000"/>
        </w:rPr>
        <w:t>договор</w:t>
      </w:r>
      <w:r>
        <w:rPr/>
        <w:t xml:space="preserve">а является твердой и определяется на весь срок исполнения </w:t>
      </w:r>
      <w:r>
        <w:rPr>
          <w:color w:val="000000"/>
        </w:rPr>
        <w:t>договор</w:t>
      </w:r>
      <w:r>
        <w:rPr/>
        <w:t xml:space="preserve">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w:t>
      </w:r>
      <w:r>
        <w:rPr>
          <w:rFonts w:eastAsia="Times New Roman"/>
          <w:color w:val="000000"/>
          <w:lang w:val="ru-RU"/>
        </w:rPr>
        <w:t>договор</w:t>
      </w:r>
      <w:r>
        <w:rPr>
          <w:rFonts w:eastAsia="Times New Roman"/>
          <w:color w:themeColor="text1" w:val="000000"/>
          <w:lang w:val="ru-RU"/>
        </w:rPr>
        <w:t xml:space="preserve">у производится Заказчиком в течение 10 рабочих дней с момента приемки товара по качеству на основании утвержденного Поставщиком Акта приемки </w:t>
      </w:r>
      <w:r>
        <w:rPr>
          <w:rFonts w:eastAsia="Times New Roman"/>
          <w:lang w:val="ru-RU"/>
        </w:rPr>
        <w:t>по форме ОКУД 0510452 (Приказ Минфина от 15.04.2021 г. №61н) (далее -ф. 0510452), счет-фактуры (УПД) или товарн</w:t>
      </w:r>
      <w:r>
        <w:rPr>
          <w:rFonts w:eastAsia="Times New Roman"/>
          <w:color w:themeColor="text1" w:val="000000"/>
          <w:lang w:val="ru-RU"/>
        </w:rPr>
        <w:t>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Оплата по </w:t>
      </w:r>
      <w:r>
        <w:rPr>
          <w:color w:val="000000"/>
          <w:lang w:val="ru-RU"/>
        </w:rPr>
        <w:t>договор</w:t>
      </w:r>
      <w:r>
        <w:rPr>
          <w:lang w:val="ru-RU"/>
        </w:rPr>
        <w:t>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 xml:space="preserve">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Pr>
          <w:color w:val="000000"/>
          <w:lang w:val="ru-RU"/>
        </w:rPr>
        <w:t>договор</w:t>
      </w:r>
      <w:r>
        <w:rPr>
          <w:lang w:val="ru-RU"/>
        </w:rPr>
        <w:t>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Грант</w:t>
      </w:r>
      <w:r>
        <w:rPr>
          <w:rFonts w:eastAsia="Calibri" w:cs="Times New Roman"/>
          <w:color w:val="auto"/>
          <w:kern w:val="0"/>
          <w:sz w:val="20"/>
          <w:szCs w:val="20"/>
          <w:lang w:val="ru-RU" w:eastAsia="ru-RU" w:bidi="ar-SA"/>
        </w:rPr>
        <w:t xml:space="preserve"> РНФ № 25-25-20054</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 xml:space="preserve">Заказчик по </w:t>
      </w:r>
      <w:r>
        <w:rPr>
          <w:b/>
          <w:color w:val="000000"/>
          <w:lang w:val="ru-RU"/>
        </w:rPr>
        <w:t>договор</w:t>
      </w:r>
      <w:r>
        <w:rPr>
          <w:b/>
          <w:lang w:val="ru-RU"/>
        </w:rPr>
        <w:t>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 xml:space="preserve">Контролировать ход поставки Товара, соблюдение срока поставки, проверять соответствие Товара условиям </w:t>
      </w:r>
      <w:r>
        <w:rPr>
          <w:color w:val="000000"/>
          <w:lang w:val="ru-RU"/>
        </w:rPr>
        <w:t>договор</w:t>
      </w:r>
      <w:r>
        <w:rPr>
          <w:lang w:val="ru-RU"/>
        </w:rPr>
        <w:t xml:space="preserve">а, Спецификации (Приложение № 1 к </w:t>
      </w:r>
      <w:r>
        <w:rPr>
          <w:color w:val="000000"/>
          <w:lang w:val="ru-RU"/>
        </w:rPr>
        <w:t>договор</w:t>
      </w:r>
      <w:r>
        <w:rPr>
          <w:lang w:val="ru-RU"/>
        </w:rPr>
        <w:t>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w:t>
      </w:r>
      <w:r>
        <w:rPr>
          <w:color w:val="000000"/>
          <w:lang w:val="ru-RU"/>
        </w:rPr>
        <w:t>договор</w:t>
      </w:r>
      <w:r>
        <w:rPr>
          <w:lang w:val="ru-RU"/>
        </w:rPr>
        <w:t xml:space="preserve">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 xml:space="preserve">3.1.8. Предложить увеличить или уменьшить в процессе исполнения </w:t>
      </w:r>
      <w:r>
        <w:rPr>
          <w:color w:val="000000"/>
          <w:lang w:val="ru-RU"/>
        </w:rPr>
        <w:t>договор</w:t>
      </w:r>
      <w:r>
        <w:rPr>
          <w:lang w:val="ru-RU"/>
        </w:rPr>
        <w:t xml:space="preserve">а количество поставляемого Товара, предусмотренного </w:t>
      </w:r>
      <w:r>
        <w:rPr>
          <w:color w:val="000000"/>
          <w:lang w:val="ru-RU"/>
        </w:rPr>
        <w:t>договор</w:t>
      </w:r>
      <w:r>
        <w:rPr>
          <w:lang w:val="ru-RU"/>
        </w:rPr>
        <w:t>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 xml:space="preserve">Заказчик по </w:t>
      </w:r>
      <w:r>
        <w:rPr>
          <w:b/>
          <w:color w:val="000000"/>
          <w:lang w:val="ru-RU"/>
        </w:rPr>
        <w:t>договор</w:t>
      </w:r>
      <w:r>
        <w:rPr>
          <w:b/>
          <w:lang w:val="ru-RU"/>
        </w:rPr>
        <w:t>у обязан:</w:t>
      </w:r>
    </w:p>
    <w:p>
      <w:pPr>
        <w:pStyle w:val="BodyTextIndent"/>
        <w:tabs>
          <w:tab w:val="clear" w:pos="708"/>
          <w:tab w:val="left" w:pos="0" w:leader="none"/>
        </w:tabs>
        <w:ind w:hanging="0"/>
        <w:rPr>
          <w:lang w:val="ru-RU"/>
        </w:rPr>
      </w:pPr>
      <w:r>
        <w:rPr>
          <w:lang w:val="ru-RU"/>
        </w:rPr>
        <w:t>3.2.1.</w:t>
      </w:r>
      <w:r>
        <w:rPr/>
        <w:t> </w:t>
      </w:r>
      <w:r>
        <w:rPr>
          <w:lang w:val="ru-RU"/>
        </w:rPr>
        <w:t xml:space="preserve">Произвести оплату в соответствии с условиями </w:t>
      </w:r>
      <w:r>
        <w:rPr>
          <w:color w:val="000000"/>
          <w:lang w:val="ru-RU"/>
        </w:rPr>
        <w:t>договор</w:t>
      </w:r>
      <w:r>
        <w:rPr>
          <w:lang w:val="ru-RU"/>
        </w:rPr>
        <w:t>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 xml:space="preserve">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w:t>
      </w:r>
      <w:r>
        <w:rPr>
          <w:color w:val="000000"/>
          <w:lang w:val="ru-RU"/>
        </w:rPr>
        <w:t>договор</w:t>
      </w:r>
      <w:r>
        <w:rPr>
          <w:lang w:val="ru-RU"/>
        </w:rPr>
        <w:t>ом.</w:t>
      </w:r>
    </w:p>
    <w:p>
      <w:pPr>
        <w:pStyle w:val="BodyTextIndent"/>
        <w:tabs>
          <w:tab w:val="clear" w:pos="708"/>
          <w:tab w:val="left" w:pos="0" w:leader="none"/>
        </w:tabs>
        <w:ind w:hanging="0"/>
        <w:rPr>
          <w:lang w:val="ru-RU"/>
        </w:rPr>
      </w:pPr>
      <w:r>
        <w:rPr>
          <w:lang w:val="ru-RU"/>
        </w:rPr>
        <w:t xml:space="preserve">3.2.4 Требовать уплаты неустойки (штрафа, пени) в соответствии с разделом 8 </w:t>
      </w:r>
      <w:r>
        <w:rPr>
          <w:color w:val="000000"/>
          <w:lang w:val="ru-RU"/>
        </w:rPr>
        <w:t>договор</w:t>
      </w:r>
      <w:r>
        <w:rPr>
          <w:lang w:val="ru-RU"/>
        </w:rPr>
        <w:t>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 xml:space="preserve">Поставщик по </w:t>
      </w:r>
      <w:r>
        <w:rPr>
          <w:b/>
          <w:color w:val="000000"/>
          <w:lang w:val="ru-RU"/>
        </w:rPr>
        <w:t>договор</w:t>
      </w:r>
      <w:r>
        <w:rPr>
          <w:b/>
          <w:lang w:val="ru-RU"/>
        </w:rPr>
        <w:t>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 xml:space="preserve">Поставщик по </w:t>
      </w:r>
      <w:r>
        <w:rPr>
          <w:b/>
          <w:color w:val="000000"/>
          <w:lang w:val="ru-RU"/>
        </w:rPr>
        <w:t>договор</w:t>
      </w:r>
      <w:r>
        <w:rPr>
          <w:b/>
          <w:lang w:val="ru-RU"/>
        </w:rPr>
        <w:t>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 xml:space="preserve">3.4.2. Представить Заказчику, в день передачи Товара, надлежаще оформленные документы, предусмотренные </w:t>
      </w:r>
      <w:r>
        <w:rPr>
          <w:color w:val="000000"/>
          <w:lang w:val="ru-RU"/>
        </w:rPr>
        <w:t>договор</w:t>
      </w:r>
      <w:r>
        <w:rPr>
          <w:lang w:val="ru-RU"/>
        </w:rPr>
        <w:t>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 xml:space="preserve">3.4.3. Устранить за свой счет все выявленные недостатки, в том числе скрытые, поставленного Товара в сроки, предусмотренные </w:t>
      </w:r>
      <w:r>
        <w:rPr>
          <w:color w:val="000000"/>
          <w:lang w:val="ru-RU"/>
        </w:rPr>
        <w:t>договор</w:t>
      </w:r>
      <w:r>
        <w:rPr>
          <w:lang w:val="ru-RU"/>
        </w:rPr>
        <w:t>ом (п.5.5).</w:t>
      </w:r>
    </w:p>
    <w:p>
      <w:pPr>
        <w:pStyle w:val="BodyTextIndent"/>
        <w:tabs>
          <w:tab w:val="clear" w:pos="708"/>
          <w:tab w:val="left" w:pos="0" w:leader="none"/>
        </w:tabs>
        <w:ind w:hanging="0"/>
        <w:rPr>
          <w:lang w:val="ru-RU"/>
        </w:rPr>
      </w:pPr>
      <w:r>
        <w:rPr>
          <w:lang w:val="ru-RU"/>
        </w:rPr>
        <w:t xml:space="preserve">3.4.4 После оплаты Заказчиком всего поставленного Товара по </w:t>
      </w:r>
      <w:r>
        <w:rPr>
          <w:color w:val="000000"/>
          <w:lang w:val="ru-RU"/>
        </w:rPr>
        <w:t>договор</w:t>
      </w:r>
      <w:r>
        <w:rPr>
          <w:lang w:val="ru-RU"/>
        </w:rPr>
        <w:t>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w:t>
      </w:r>
      <w:r>
        <w:rPr>
          <w:b/>
          <w:bCs/>
        </w:rPr>
        <w:t xml:space="preserve">с момента заключения </w:t>
      </w:r>
      <w:r>
        <w:rPr>
          <w:b/>
          <w:bCs/>
          <w:color w:val="000000"/>
        </w:rPr>
        <w:t>договор</w:t>
      </w:r>
      <w:r>
        <w:rPr>
          <w:b/>
          <w:bCs/>
        </w:rPr>
        <w:t xml:space="preserve">а по </w:t>
      </w:r>
      <w:r>
        <w:rPr>
          <w:b/>
          <w:bCs/>
          <w:shd w:fill="FFFF00" w:val="clear"/>
        </w:rPr>
        <w:t>30.09.2026г.</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w:t>
      </w:r>
      <w:r>
        <w:rPr>
          <w:lang w:val="ru-RU"/>
        </w:rPr>
        <w:t>3</w:t>
      </w:r>
      <w:r>
        <w:rPr>
          <w:lang w:val="ru-RU"/>
        </w:rPr>
        <w:t xml:space="preserve">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w:t>
      </w:r>
      <w:r>
        <w:rPr>
          <w:color w:val="000000"/>
          <w:lang w:val="ru-RU"/>
        </w:rPr>
        <w:t>договор</w:t>
      </w:r>
      <w:r>
        <w:rPr>
          <w:lang w:val="ru-RU"/>
        </w:rPr>
        <w:t xml:space="preserve">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 xml:space="preserve">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w:t>
      </w:r>
      <w:r>
        <w:rPr>
          <w:color w:val="000000"/>
          <w:lang w:val="ru-RU"/>
        </w:rPr>
        <w:t>договор</w:t>
      </w:r>
      <w:r>
        <w:rPr>
          <w:lang w:val="ru-RU"/>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 xml:space="preserve">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w:t>
      </w:r>
      <w:r>
        <w:rPr>
          <w:color w:val="000000"/>
        </w:rPr>
        <w:t>договор</w:t>
      </w:r>
      <w:r>
        <w:rPr/>
        <w:t>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xml:space="preserve">- реквизиты </w:t>
      </w:r>
      <w:r>
        <w:rPr>
          <w:color w:val="000000"/>
        </w:rPr>
        <w:t>договор</w:t>
      </w:r>
      <w:r>
        <w:rPr/>
        <w:t>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договора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Под ненадлежащим исполнение условий настоящего договора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договором,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____</w:t>
      </w:r>
      <w:r>
        <w:rPr>
          <w:b/>
          <w:bCs/>
        </w:rPr>
        <w:t xml:space="preserve"> руб.00 коп. (пятьсот руб. 00 коп.).</w:t>
      </w:r>
    </w:p>
    <w:p>
      <w:pPr>
        <w:pStyle w:val="Normal"/>
        <w:jc w:val="both"/>
        <w:rPr/>
      </w:pPr>
      <w:r>
        <w:rPr/>
        <w:t>8.5.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___</w:t>
      </w:r>
      <w:r>
        <w:rPr>
          <w:b/>
          <w:bCs/>
          <w:shd w:fill="FFFF00" w:val="clear"/>
        </w:rPr>
        <w:t xml:space="preserve"> руб.00 коп. (____т руб. 00 коп.).</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договору.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договора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договор вступает в силу </w:t>
      </w:r>
      <w:r>
        <w:rPr>
          <w:rFonts w:eastAsia="Times New Roman" w:ascii="Times New Roman" w:hAnsi="Times New Roman"/>
          <w:b/>
          <w:bCs/>
          <w:sz w:val="20"/>
          <w:szCs w:val="20"/>
        </w:rPr>
        <w:t>с момента заключения и действует до 30.10</w:t>
      </w:r>
      <w:r>
        <w:rPr>
          <w:rFonts w:eastAsia="Times New Roman" w:ascii="Times New Roman" w:hAnsi="Times New Roman"/>
          <w:b/>
          <w:bCs/>
          <w:sz w:val="20"/>
          <w:szCs w:val="20"/>
          <w:shd w:fill="FFFF00" w:val="clear"/>
        </w:rPr>
        <w:t>.2026 г</w:t>
      </w:r>
      <w:r>
        <w:rPr>
          <w:rFonts w:eastAsia="Times New Roman" w:ascii="Times New Roman" w:hAnsi="Times New Roman"/>
          <w:sz w:val="20"/>
          <w:szCs w:val="20"/>
          <w:shd w:fill="FFFF00" w:val="clear"/>
        </w:rPr>
        <w:t>.</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договора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договора от исполнения договора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договора в соответствии с действующим законодательством. В случае задержки поставки товара на 15 дней и более Заказчик имеет право расторгнуть договор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договору,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договору,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Normal"/>
        <w:tabs>
          <w:tab w:val="clear" w:pos="708"/>
          <w:tab w:val="left" w:pos="540" w:leader="none"/>
        </w:tabs>
        <w:ind w:right="-142"/>
        <w:rPr/>
      </w:pPr>
      <w:r>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Normal"/>
              <w:widowControl/>
              <w:overflowPunct w:val="true"/>
              <w:spacing w:before="0" w:after="0"/>
              <w:jc w:val="left"/>
              <w:textAlignment w:val="auto"/>
              <w:rPr>
                <w:b/>
                <w:szCs w:val="24"/>
              </w:rPr>
            </w:pPr>
            <w:r>
              <w:rPr>
                <w:b/>
                <w:szCs w:val="24"/>
              </w:rPr>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widowControl/>
              <w:overflowPunct w:val="true"/>
              <w:spacing w:before="0" w:after="0"/>
              <w:jc w:val="left"/>
              <w:textAlignment w:val="auto"/>
              <w:rPr>
                <w:szCs w:val="24"/>
              </w:rPr>
            </w:pPr>
            <w:r>
              <w:rPr>
                <w:rFonts w:cs="Times New Roman"/>
                <w:sz w:val="20"/>
                <w:szCs w:val="20"/>
              </w:rPr>
              <w:t>ОКВЭД 72.19</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jc w:val="both"/>
              <w:rPr/>
            </w:pPr>
            <w:r>
              <w:rPr>
                <w:rFonts w:cs="Times New Roman"/>
                <w:color w:val="000000"/>
                <w:sz w:val="20"/>
                <w:szCs w:val="20"/>
                <w:lang w:eastAsia="ru-RU"/>
              </w:rPr>
              <w:t>Начальник отдела обеспечения лекарственными препаратами и медицинскими изделиями</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t xml:space="preserve">___________________ </w:t>
            </w:r>
            <w:r>
              <w:rPr>
                <w:rFonts w:cs="Times New Roman" w:ascii="Times New Roman" w:hAnsi="Times New Roman"/>
                <w:color w:val="000000"/>
                <w:sz w:val="20"/>
                <w:szCs w:val="20"/>
                <w:lang w:eastAsia="ru-RU"/>
              </w:rPr>
              <w:t>Н.В.Ковжун</w:t>
            </w:r>
          </w:p>
          <w:p>
            <w:pPr>
              <w:pStyle w:val="Normal"/>
              <w:rPr/>
            </w:pPr>
            <w:r>
              <w:rPr/>
            </w:r>
          </w:p>
          <w:p>
            <w:pPr>
              <w:pStyle w:val="Normal"/>
              <w:rPr/>
            </w:pPr>
            <w:r>
              <w:rPr/>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договору </w:t>
      </w:r>
      <w:r>
        <w:rPr>
          <w:b/>
          <w:bCs/>
        </w:rPr>
        <w:t>№ 22/26-</w:t>
      </w:r>
      <w:r>
        <w:rPr>
          <w:b/>
          <w:bCs/>
        </w:rPr>
        <w:t>223</w:t>
      </w:r>
    </w:p>
    <w:p>
      <w:pPr>
        <w:pStyle w:val="Normal"/>
        <w:spacing w:before="0" w:after="60"/>
        <w:jc w:val="right"/>
        <w:rPr>
          <w:b/>
          <w:bCs/>
        </w:rPr>
      </w:pPr>
      <w:r>
        <w:rPr/>
        <w:t xml:space="preserve">                                                                                                                               </w:t>
      </w:r>
      <w:r>
        <w:rPr/>
        <w:t xml:space="preserve">от </w:t>
      </w:r>
      <w:r>
        <w:rPr>
          <w:rFonts w:eastAsia="Calibri"/>
          <w:lang w:eastAsia="en-US"/>
        </w:rPr>
        <w:t>«   » _____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rPr>
          <w:b/>
          <w:bCs/>
          <w:sz w:val="24"/>
          <w:szCs w:val="24"/>
        </w:rPr>
      </w:pPr>
      <w:r>
        <w:rPr>
          <w:b/>
          <w:bCs/>
          <w:sz w:val="24"/>
          <w:szCs w:val="24"/>
        </w:rPr>
      </w:r>
    </w:p>
    <w:p>
      <w:pPr>
        <w:pStyle w:val="Normal"/>
        <w:jc w:val="center"/>
        <w:rPr>
          <w:sz w:val="22"/>
          <w:szCs w:val="22"/>
          <w:lang w:val="en-US" w:eastAsia="zh-CN"/>
        </w:rPr>
      </w:pPr>
      <w:r>
        <w:rPr>
          <w:sz w:val="22"/>
          <w:szCs w:val="22"/>
          <w:lang w:val="en-US" w:eastAsia="zh-CN"/>
        </w:rPr>
      </w:r>
    </w:p>
    <w:tbl>
      <w:tblPr>
        <w:tblW w:w="15026" w:type="dxa"/>
        <w:jc w:val="left"/>
        <w:tblInd w:w="-18" w:type="dxa"/>
        <w:tblLayout w:type="fixed"/>
        <w:tblCellMar>
          <w:top w:w="0" w:type="dxa"/>
          <w:left w:w="108" w:type="dxa"/>
          <w:bottom w:w="0" w:type="dxa"/>
          <w:right w:w="108" w:type="dxa"/>
        </w:tblCellMar>
        <w:tblLook w:val="0000" w:noHBand="0" w:noVBand="0" w:firstColumn="0" w:lastRow="0" w:lastColumn="0" w:firstRow="0"/>
      </w:tblPr>
      <w:tblGrid>
        <w:gridCol w:w="454"/>
        <w:gridCol w:w="6104"/>
        <w:gridCol w:w="1139"/>
        <w:gridCol w:w="1220"/>
        <w:gridCol w:w="1993"/>
        <w:gridCol w:w="1132"/>
        <w:gridCol w:w="1157"/>
        <w:gridCol w:w="1827"/>
      </w:tblGrid>
      <w:tr>
        <w:trPr>
          <w:trHeight w:val="244" w:hRule="atLeast"/>
        </w:trPr>
        <w:tc>
          <w:tcPr>
            <w:tcW w:w="454"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6104"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1139"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0"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3"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32"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7"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1827"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454" w:type="dxa"/>
            <w:tcBorders>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lang w:val="en-US" w:eastAsia="zh-CN"/>
              </w:rPr>
              <w:t>1</w:t>
            </w:r>
          </w:p>
        </w:tc>
        <w:tc>
          <w:tcPr>
            <w:tcW w:w="6104" w:type="dxa"/>
            <w:tcBorders>
              <w:left w:val="single" w:sz="4" w:space="0" w:color="000000"/>
              <w:bottom w:val="single" w:sz="4" w:space="0" w:color="000000"/>
            </w:tcBorders>
            <w:vAlign w:val="center"/>
          </w:tcPr>
          <w:p>
            <w:pPr>
              <w:pStyle w:val="Normal"/>
              <w:spacing w:before="60" w:after="0"/>
              <w:jc w:val="both"/>
              <w:rPr>
                <w:sz w:val="20"/>
                <w:szCs w:val="20"/>
              </w:rPr>
            </w:pPr>
            <w:r>
              <w:rPr>
                <w:sz w:val="20"/>
                <w:szCs w:val="20"/>
              </w:rPr>
              <w:t>Набор калибраторов для количественного определения фруктозамина в сыворотке и плазме крови на модулях биохимических cobas c (Precimat Fructosamine Roche systems), в составе:</w:t>
            </w:r>
          </w:p>
          <w:p>
            <w:pPr>
              <w:pStyle w:val="Normal"/>
              <w:spacing w:before="60" w:after="0"/>
              <w:jc w:val="both"/>
              <w:rPr/>
            </w:pPr>
            <w:r>
              <w:rPr/>
              <w:t>1.Материал контрольный Precinorm Fructosamine, флакон, объем 1,0 мл - 3 шт;</w:t>
            </w:r>
          </w:p>
          <w:p>
            <w:pPr>
              <w:pStyle w:val="Normal"/>
              <w:spacing w:before="60" w:after="0"/>
              <w:jc w:val="both"/>
              <w:rPr/>
            </w:pPr>
            <w:r>
              <w:rPr/>
              <w:t>2. Этикетка со штрих-кодом - 2 шт;</w:t>
            </w:r>
          </w:p>
          <w:p>
            <w:pPr>
              <w:pStyle w:val="Normal"/>
              <w:jc w:val="both"/>
              <w:rPr>
                <w:sz w:val="20"/>
                <w:szCs w:val="20"/>
              </w:rPr>
            </w:pPr>
            <w:r>
              <w:rPr>
                <w:sz w:val="20"/>
                <w:szCs w:val="20"/>
              </w:rPr>
              <w:t>3. Паспорт присвоенных значений;</w:t>
            </w:r>
          </w:p>
          <w:p>
            <w:pPr>
              <w:pStyle w:val="Normal"/>
              <w:jc w:val="both"/>
              <w:rPr>
                <w:sz w:val="20"/>
                <w:szCs w:val="20"/>
              </w:rPr>
            </w:pPr>
            <w:r>
              <w:rPr>
                <w:rFonts w:ascii="FreeSerif" w:hAnsi="FreeSerif"/>
                <w:b w:val="false"/>
                <w:i w:val="false"/>
                <w:strike w:val="false"/>
                <w:dstrike w:val="false"/>
                <w:outline w:val="false"/>
                <w:shadow w:val="false"/>
                <w:color w:val="000000"/>
                <w:sz w:val="20"/>
                <w:szCs w:val="20"/>
                <w:u w:val="none"/>
                <w:em w:val="none"/>
              </w:rPr>
              <w:t>4. Инструкция по применению</w:t>
            </w:r>
          </w:p>
          <w:p>
            <w:pPr>
              <w:pStyle w:val="Normal"/>
              <w:spacing w:before="60" w:after="0"/>
              <w:jc w:val="both"/>
              <w:rPr>
                <w:b w:val="false"/>
                <w:bCs w:val="false"/>
              </w:rPr>
            </w:pPr>
            <w:r>
              <w:rPr>
                <w:bCs w:val="false"/>
              </w:rPr>
              <w:t>Жидкий готовый к использованию калибратор, приготовленный на основе человеческой сыворотки. Используется для калибровки количественных методов определения Фруктозамина на биохимических анализаторах Roche.  Хранение невскрытой упаковки при 2-8°C.  Растворенный контроль стабилен 7 дней при 15</w:t>
              <w:noBreakHyphen/>
              <w:t>25 °C; 4 недели при 2</w:t>
              <w:noBreakHyphen/>
              <w:t>8 °C. Фасовка - 3 х 1</w:t>
            </w:r>
            <w:r>
              <w:rPr>
                <w:bCs w:val="false"/>
              </w:rPr>
              <w:t>(</w:t>
            </w:r>
            <w:r>
              <w:rPr>
                <w:b w:val="false"/>
                <w:bCs w:val="false"/>
              </w:rPr>
              <w:t>набор)</w:t>
            </w:r>
          </w:p>
          <w:p>
            <w:pPr>
              <w:pStyle w:val="Normal"/>
              <w:spacing w:before="60" w:after="0"/>
              <w:jc w:val="both"/>
              <w:rPr>
                <w:b w:val="false"/>
                <w:bCs w:val="false"/>
              </w:rPr>
            </w:pPr>
            <w:r>
              <w:rPr>
                <w:bCs w:val="false"/>
              </w:rPr>
              <w:t>Страна происхождения товара:</w:t>
            </w:r>
          </w:p>
          <w:p>
            <w:pPr>
              <w:pStyle w:val="Normal"/>
              <w:spacing w:before="60" w:after="0"/>
              <w:jc w:val="both"/>
              <w:rPr>
                <w:b w:val="false"/>
                <w:bCs w:val="false"/>
              </w:rPr>
            </w:pPr>
            <w:r>
              <w:rPr>
                <w:bCs w:val="false"/>
              </w:rPr>
              <w:t>РУ:</w:t>
            </w:r>
          </w:p>
          <w:p>
            <w:pPr>
              <w:pStyle w:val="Normal"/>
              <w:bidi w:val="0"/>
              <w:jc w:val="both"/>
              <w:rPr>
                <w:rFonts w:ascii="FreeSerif" w:hAnsi="FreeSerif"/>
                <w:b w:val="false"/>
                <w:i w:val="false"/>
                <w:i w:val="false"/>
                <w:strike w:val="false"/>
                <w:dstrike w:val="false"/>
                <w:outline w:val="false"/>
                <w:shadow w:val="false"/>
                <w:color w:val="000000"/>
                <w:sz w:val="19"/>
                <w:u w:val="none"/>
                <w:em w:val="none"/>
              </w:rPr>
            </w:pPr>
            <w:r>
              <w:rPr>
                <w:rFonts w:ascii="FreeSerif" w:hAnsi="FreeSerif"/>
                <w:b w:val="false"/>
                <w:i w:val="false"/>
                <w:strike w:val="false"/>
                <w:dstrike w:val="false"/>
                <w:outline w:val="false"/>
                <w:shadow w:val="false"/>
                <w:color w:val="000000"/>
                <w:sz w:val="19"/>
                <w:u w:val="none"/>
                <w:em w:val="none"/>
              </w:rPr>
            </w:r>
          </w:p>
          <w:p>
            <w:pPr>
              <w:pStyle w:val="Normal"/>
              <w:bidi w:val="0"/>
              <w:jc w:val="both"/>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39"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lang w:eastAsia="zh-CN"/>
              </w:rPr>
              <w:t>ш</w:t>
            </w:r>
            <w:r>
              <w:rPr>
                <w:b w:val="false"/>
                <w:i w:val="false"/>
                <w:strike w:val="false"/>
                <w:dstrike w:val="false"/>
                <w:outline w:val="false"/>
                <w:shadow w:val="false"/>
                <w:color w:val="000000"/>
                <w:sz w:val="24"/>
                <w:u w:val="none"/>
                <w:em w:val="none"/>
                <w:lang w:eastAsia="zh-CN"/>
              </w:rPr>
              <w:t>т</w:t>
            </w:r>
          </w:p>
        </w:tc>
        <w:tc>
          <w:tcPr>
            <w:tcW w:w="1220" w:type="dxa"/>
            <w:tcBorders>
              <w:left w:val="single" w:sz="4" w:space="0" w:color="000000"/>
              <w:bottom w:val="single" w:sz="4" w:space="0" w:color="000000"/>
            </w:tcBorders>
          </w:tcPr>
          <w:p>
            <w:pPr>
              <w:pStyle w:val="Style24"/>
              <w:jc w:val="center"/>
              <w:rPr>
                <w:color w:val="000000"/>
                <w:sz w:val="24"/>
              </w:rPr>
            </w:pPr>
            <w:r>
              <w:rPr>
                <w:color w:val="000000"/>
                <w:sz w:val="24"/>
              </w:rPr>
              <w:t>3</w:t>
            </w:r>
          </w:p>
        </w:tc>
        <w:tc>
          <w:tcPr>
            <w:tcW w:w="1993" w:type="dxa"/>
            <w:tcBorders>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20.59.59.900</w:t>
            </w:r>
          </w:p>
        </w:tc>
        <w:tc>
          <w:tcPr>
            <w:tcW w:w="1132" w:type="dxa"/>
            <w:tcBorders>
              <w:left w:val="single" w:sz="4" w:space="0" w:color="000000"/>
              <w:bottom w:val="single" w:sz="4" w:space="0" w:color="000000"/>
            </w:tcBorders>
          </w:tcPr>
          <w:p>
            <w:pPr>
              <w:pStyle w:val="Normal"/>
              <w:snapToGrid w:val="false"/>
              <w:rPr/>
            </w:pPr>
            <w:r>
              <w:rPr/>
            </w:r>
          </w:p>
        </w:tc>
        <w:tc>
          <w:tcPr>
            <w:tcW w:w="1157" w:type="dxa"/>
            <w:tcBorders>
              <w:left w:val="single" w:sz="4" w:space="0" w:color="000000"/>
              <w:bottom w:val="single" w:sz="4" w:space="0" w:color="000000"/>
            </w:tcBorders>
          </w:tcPr>
          <w:p>
            <w:pPr>
              <w:pStyle w:val="Normal"/>
              <w:snapToGrid w:val="false"/>
              <w:rPr/>
            </w:pPr>
            <w:r>
              <w:rPr/>
            </w:r>
          </w:p>
        </w:tc>
        <w:tc>
          <w:tcPr>
            <w:tcW w:w="1827" w:type="dxa"/>
            <w:tcBorders>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13199" w:type="dxa"/>
            <w:gridSpan w:val="7"/>
            <w:tcBorders>
              <w:left w:val="single" w:sz="4" w:space="0" w:color="000000"/>
              <w:bottom w:val="single" w:sz="4" w:space="0" w:color="000000"/>
            </w:tcBorders>
          </w:tcPr>
          <w:p>
            <w:pPr>
              <w:pStyle w:val="Normal"/>
              <w:snapToGrid w:val="false"/>
              <w:spacing w:lineRule="auto" w:line="276" w:before="0" w:after="200"/>
              <w:rPr>
                <w:lang w:val="en-US" w:eastAsia="zh-CN"/>
              </w:rPr>
            </w:pPr>
            <w:r>
              <w:rPr>
                <w:lang w:val="en-US" w:eastAsia="zh-CN"/>
              </w:rPr>
              <w:t>ИТОГО</w:t>
            </w:r>
          </w:p>
        </w:tc>
        <w:tc>
          <w:tcPr>
            <w:tcW w:w="1827" w:type="dxa"/>
            <w:tcBorders>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p>
      <w:pPr>
        <w:pStyle w:val="Normal"/>
        <w:jc w:val="both"/>
        <w:rPr/>
      </w:pPr>
      <w:r>
        <w:rPr>
          <w:rFonts w:cs="Times New Roman"/>
          <w:color w:val="000000"/>
          <w:sz w:val="20"/>
          <w:szCs w:val="20"/>
          <w:lang w:eastAsia="ru-RU"/>
        </w:rPr>
        <w:t>Начальник отдела обеспечения лекарственными препаратами и медицинскими изделиями</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12"/>
        <w:rPr>
          <w:rFonts w:ascii="Times New Roman" w:hAnsi="Times New Roman" w:cs="Times New Roman"/>
          <w:sz w:val="20"/>
          <w:szCs w:val="20"/>
          <w:lang w:eastAsia="ru-RU"/>
        </w:rPr>
      </w:pPr>
      <w:r>
        <w:rPr>
          <w:rFonts w:cs="Times New Roman" w:ascii="Times New Roman" w:hAnsi="Times New Roman"/>
          <w:color w:val="000000"/>
          <w:sz w:val="20"/>
          <w:szCs w:val="20"/>
          <w:lang w:eastAsia="ru-RU"/>
        </w:rPr>
        <w:t>___________________ Н.В.Ковжун</w:t>
      </w:r>
      <w:r>
        <w:rPr>
          <w:rFonts w:cs="Times New Roman" w:ascii="Times New Roman" w:hAnsi="Times New Roman"/>
          <w:sz w:val="20"/>
          <w:szCs w:val="20"/>
          <w:lang w:eastAsia="ru-RU"/>
        </w:rPr>
        <w:t xml:space="preserve">                                                                                                                                Должность  представителя поставщика</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t xml:space="preserve">                                                                                                                                                                                </w:t>
      </w:r>
      <w:r>
        <w:rPr>
          <w:rFonts w:cs="Times New Roman" w:ascii="Times New Roman" w:hAnsi="Times New Roman"/>
          <w:sz w:val="20"/>
          <w:szCs w:val="20"/>
          <w:lang w:eastAsia="ru-RU"/>
        </w:rPr>
        <w:t>_______________ФИО</w:t>
      </w:r>
    </w:p>
    <w:p>
      <w:pPr>
        <w:pStyle w:val="12"/>
        <w:rPr>
          <w:rFonts w:ascii="Times New Roman" w:hAnsi="Times New Roman" w:cs="Times New Roman"/>
          <w:sz w:val="20"/>
          <w:szCs w:val="20"/>
          <w:lang w:eastAsia="ru-RU"/>
        </w:rPr>
      </w:pPr>
      <w:r>
        <w:rPr>
          <w:rFonts w:cs="Times New Roman" w:ascii="Times New Roman" w:hAnsi="Times New Roman"/>
          <w:sz w:val="20"/>
          <w:szCs w:val="20"/>
          <w:lang w:eastAsia="ru-RU"/>
        </w:rPr>
      </w:r>
    </w:p>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Free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user4" w:customStyle="1">
    <w:name w:val="Колонтитулы (user)"/>
    <w:basedOn w:val="Normal"/>
    <w:qFormat/>
    <w:pPr/>
    <w:rPr/>
  </w:style>
  <w:style w:type="paragraph" w:styleId="Style22">
    <w:name w:val="Колонтитулы"/>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1361</TotalTime>
  <Application>LibreOffice/25.2.6.2$Linux_X86_64 LibreOffice_project/520$Build-2</Application>
  <AppVersion>15.0000</AppVersion>
  <Pages>8</Pages>
  <Words>3311</Words>
  <Characters>23822</Characters>
  <CharactersWithSpaces>28317</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2026-08-19T08:29:35Z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