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left="5387" w:right="0" w:hanging="0"/>
        <w:contextualSpacing/>
        <w:jc w:val="right"/>
        <w:rPr>
          <w:rFonts w:ascii="Liberation Serif;Times New Roman" w:hAnsi="Liberation Serif;Times New Roman" w:cs="Liberation Serif;Times New Roman"/>
          <w:bCs/>
          <w:sz w:val="22"/>
          <w:szCs w:val="22"/>
          <w:lang w:eastAsia="zh-CN"/>
        </w:rPr>
      </w:pPr>
      <w:r>
        <w:rPr>
          <w:rFonts w:cs="Liberation Serif;Times New Roman" w:ascii="Liberation Serif;Times New Roman" w:hAnsi="Liberation Serif;Times New Roman"/>
          <w:bCs/>
          <w:sz w:val="22"/>
          <w:szCs w:val="22"/>
          <w:lang w:eastAsia="zh-CN"/>
        </w:rPr>
        <w:t>Приложение</w:t>
      </w:r>
    </w:p>
    <w:p>
      <w:pPr>
        <w:pStyle w:val="Normal"/>
        <w:spacing w:lineRule="auto" w:line="240" w:before="0" w:after="0"/>
        <w:ind w:left="5387" w:right="0" w:hanging="0"/>
        <w:jc w:val="right"/>
        <w:rPr>
          <w:rFonts w:ascii="Liberation Serif;Times New Roman" w:hAnsi="Liberation Serif;Times New Roman" w:cs="Liberation Serif;Times New Roman"/>
          <w:bCs/>
          <w:sz w:val="22"/>
          <w:szCs w:val="22"/>
          <w:lang w:eastAsia="zh-CN"/>
        </w:rPr>
      </w:pPr>
      <w:r>
        <w:rPr>
          <w:rFonts w:cs="Liberation Serif;Times New Roman" w:ascii="Liberation Serif;Times New Roman" w:hAnsi="Liberation Serif;Times New Roman"/>
          <w:bCs/>
          <w:sz w:val="22"/>
          <w:szCs w:val="22"/>
          <w:lang w:eastAsia="zh-CN"/>
        </w:rPr>
        <w:t>к Контракту</w:t>
      </w:r>
    </w:p>
    <w:p>
      <w:pPr>
        <w:pStyle w:val="Normal"/>
        <w:spacing w:lineRule="auto" w:line="240" w:before="0" w:after="0"/>
        <w:ind w:left="5387" w:right="0" w:hanging="0"/>
        <w:jc w:val="right"/>
        <w:rPr>
          <w:rFonts w:ascii="Liberation Serif;Times New Roman" w:hAnsi="Liberation Serif;Times New Roman" w:eastAsia="Noto Serif CJK SC" w:cs="Liberation Serif;Times New Roman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zh-CN" w:bidi="hi-IN"/>
        </w:rPr>
      </w:pPr>
      <w:r>
        <w:rPr>
          <w:rFonts w:eastAsia="Noto Serif CJK SC" w:cs="Liberation Serif;Times New Roman" w:ascii="Liberation Serif;Times New Roman" w:hAnsi="Liberation Serif;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zh-CN" w:bidi="hi-IN"/>
        </w:rPr>
        <w:t xml:space="preserve">от «__» _______ 2026 г. </w:t>
      </w:r>
    </w:p>
    <w:p>
      <w:pPr>
        <w:pStyle w:val="Normal"/>
        <w:spacing w:lineRule="auto" w:line="240" w:before="0" w:after="0"/>
        <w:ind w:left="5387" w:right="0" w:hanging="0"/>
        <w:jc w:val="right"/>
        <w:rPr/>
      </w:pPr>
      <w:r>
        <w:rPr>
          <w:rFonts w:eastAsia="Noto Serif CJK SC" w:cs="Liberation Serif;Times New Roman" w:ascii="Liberation Serif;Times New Roman" w:hAnsi="Liberation Serif;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zh-CN" w:bidi="hi-IN"/>
        </w:rPr>
        <w:t>№</w:t>
      </w:r>
      <w:r>
        <w:rPr>
          <w:rFonts w:eastAsia="Liberation Serif;Times New Roman" w:cs="Liberation Serif;Times New Roman" w:ascii="Liberation Serif;Times New Roman" w:hAnsi="Liberation Serif;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zh-CN" w:bidi="hi-IN"/>
        </w:rPr>
        <w:t xml:space="preserve"> </w:t>
      </w:r>
      <w:r>
        <w:rPr>
          <w:rFonts w:eastAsia="Noto Serif CJK SC" w:cs="Liberation Serif;Times New Roman" w:ascii="Liberation Serif;Times New Roman" w:hAnsi="Liberation Serif;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zh-CN" w:bidi="hi-IN"/>
        </w:rPr>
        <w:t>_________________</w:t>
      </w:r>
    </w:p>
    <w:p>
      <w:pPr>
        <w:pStyle w:val="Normal"/>
        <w:spacing w:lineRule="auto" w:line="240" w:before="0" w:after="0"/>
        <w:ind w:left="5529" w:right="0" w:hanging="0"/>
        <w:rPr>
          <w:spacing w:val="-5"/>
          <w:sz w:val="26"/>
          <w:szCs w:val="26"/>
          <w:highlight w:val="none"/>
        </w:rPr>
      </w:pPr>
      <w:r>
        <w:rPr>
          <w:spacing w:val="-5"/>
          <w:sz w:val="26"/>
          <w:szCs w:val="26"/>
        </w:rPr>
      </w:r>
    </w:p>
    <w:p>
      <w:pPr>
        <w:pStyle w:val="Normal"/>
        <w:spacing w:lineRule="auto" w:line="240" w:before="0" w:after="0"/>
        <w:ind w:left="5529" w:right="0" w:hanging="0"/>
        <w:rPr>
          <w:spacing w:val="-5"/>
          <w:sz w:val="26"/>
          <w:szCs w:val="26"/>
          <w:highlight w:val="none"/>
        </w:rPr>
      </w:pPr>
      <w:r>
        <w:rPr>
          <w:spacing w:val="-5"/>
          <w:sz w:val="26"/>
          <w:szCs w:val="26"/>
        </w:rPr>
      </w:r>
    </w:p>
    <w:p>
      <w:pPr>
        <w:pStyle w:val="Normal"/>
        <w:shd w:val="clear" w:color="auto" w:fill="FFFFFF"/>
        <w:spacing w:lineRule="atLeast" w:line="283"/>
        <w:jc w:val="center"/>
        <w:rPr>
          <w:spacing w:val="-5"/>
          <w:sz w:val="26"/>
          <w:szCs w:val="26"/>
          <w:highlight w:val="none"/>
        </w:rPr>
      </w:pPr>
      <w:r>
        <w:rPr>
          <w:bCs/>
          <w:spacing w:val="-5"/>
          <w:sz w:val="26"/>
          <w:szCs w:val="26"/>
        </w:rPr>
        <w:t>ТЕХНИЧЕСКОЕ ЗАДАНИЕ</w:t>
      </w:r>
    </w:p>
    <w:p>
      <w:pPr>
        <w:pStyle w:val="Normal"/>
        <w:shd w:val="clear" w:color="auto" w:fill="FFFFFF"/>
        <w:spacing w:lineRule="atLeast" w:line="283"/>
        <w:jc w:val="center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  <w:t xml:space="preserve">на выполнение </w:t>
      </w:r>
      <w:r>
        <w:rPr>
          <w:rFonts w:eastAsia="Times New Roman" w:cs="Times New Roman"/>
          <w:color w:val="auto"/>
          <w:spacing w:val="-5"/>
          <w:kern w:val="0"/>
          <w:sz w:val="26"/>
          <w:szCs w:val="26"/>
          <w:lang w:val="ru-RU" w:eastAsia="ru-RU" w:bidi="ar-SA"/>
          <w14:ligatures w14:val="none"/>
        </w:rPr>
        <w:t xml:space="preserve"> работ по корректировке сметной документации по</w:t>
      </w:r>
      <w:r>
        <w:rPr>
          <w:rFonts w:eastAsia="Times New Roman" w:cs="Times New Roman"/>
          <w:color w:val="000000"/>
          <w:spacing w:val="-5"/>
          <w:kern w:val="0"/>
          <w:sz w:val="26"/>
          <w:szCs w:val="26"/>
          <w:shd w:fill="FFFFFF" w:val="clear"/>
          <w:lang w:val="ru-RU" w:eastAsia="ru-RU" w:bidi="ar-SA"/>
          <w14:ligatures w14:val="none"/>
        </w:rPr>
        <w:t xml:space="preserve"> реставрации и приспособлению к современному использованию помещений в здании по адресу г. Москва Новинский бульвар, 11, помещение 12/1 </w:t>
      </w:r>
    </w:p>
    <w:p>
      <w:pPr>
        <w:pStyle w:val="Normal"/>
        <w:spacing w:lineRule="atLeast" w:line="283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1. Общая информация об объекте закупки</w:t>
      </w:r>
    </w:p>
    <w:p>
      <w:pPr>
        <w:pStyle w:val="Normal"/>
        <w:spacing w:lineRule="atLeast" w:line="283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Выполнение работ по корректировке сметной документации по</w:t>
      </w:r>
      <w:r>
        <w:rPr>
          <w:sz w:val="26"/>
          <w:szCs w:val="26"/>
          <w:shd w:fill="FFFFFF" w:val="clear"/>
          <w14:ligatures w14:val="none"/>
        </w:rPr>
        <w:t xml:space="preserve"> реставрации и приспособлению к современному использованию помещений в здании по адресу г. Москва Новинский бульвар, 11, помещение 12/1 (далее – Работы) в части применения текущих индексов изменения сметной стоимости строительства и текущих сметных цен строительных ресурсов.</w:t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  <w:shd w:fill="FFFFFF" w:val="clear"/>
          <w14:ligatures w14:val="none"/>
        </w:rPr>
        <w:t>Код ОКПД2 71.11.21.000 - Услуги в области архитектуры, связанные с проектами жилищного строительства</w:t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Место нахождения объекта: г. Москва, Новинский бульвар, 11, помещение 12/1</w:t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Технико-экономические показатели многоквартирного дома (далее - объект):</w:t>
      </w:r>
    </w:p>
    <w:p>
      <w:pPr>
        <w:pStyle w:val="Normal"/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  <w:t>год постройки – 1912 г.;</w:t>
      </w:r>
    </w:p>
    <w:p>
      <w:pPr>
        <w:pStyle w:val="Normal"/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этажей - 4 этажа</w:t>
      </w:r>
    </w:p>
    <w:p>
      <w:pPr>
        <w:pStyle w:val="Normal"/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  <w:t>функциональное назначение здания – многоквартирный дом;</w:t>
      </w:r>
    </w:p>
    <w:p>
      <w:pPr>
        <w:pStyle w:val="Normal"/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  <w:t>функциональное назначение нежилых помещений - размещение сотрудников федерального казенного учреждения «Государственные технологии» ;</w:t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 Срок выполнения Работ — 15 (пятнадцать) рабочих дней с даты заключения государственного контракта.</w:t>
      </w:r>
    </w:p>
    <w:p>
      <w:pPr>
        <w:pStyle w:val="Normal"/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tLeast" w:line="283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2. Требования к выполнению работ</w:t>
      </w:r>
    </w:p>
    <w:p>
      <w:pPr>
        <w:pStyle w:val="Normal"/>
        <w:spacing w:lineRule="atLeast" w:line="283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2.1. Настоящее Техническое задание определяет требования к проведению Работ по корректировке сметной документации.</w:t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 Для взаимодействия с Заказчиком Подрядчик обязан в течение 1 (одного) рабочего дня с даты заключения Контракта назначить ответственное контактное лицо, определить номер телефона, выделить адрес электронной почты для приема данных (запросов, писем) в электронной форме. Об изменении контактной информации ответственного лица Подрядчик должен уведомить Заказчика в течение 1 (одного) рабочего дня со дня возникновения таких изменений.</w:t>
      </w:r>
    </w:p>
    <w:p>
      <w:pPr>
        <w:pStyle w:val="Normal"/>
        <w:spacing w:lineRule="atLeast" w:line="28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 Отклонения в документации на капитальный ремонт объекта от утвержденной планировочной документации не допускаются.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ab/>
        <w:t>2.4. П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ru-RU"/>
          <w14:ligatures w14:val="none"/>
        </w:rPr>
        <w:t>о</w:t>
      </w:r>
      <w:r>
        <w:rPr>
          <w:sz w:val="26"/>
          <w:szCs w:val="26"/>
          <w:lang w:bidi="ru-RU"/>
        </w:rPr>
        <w:t xml:space="preserve">дрядчик должен разработать Сметную документацию  (скорректировать) 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Министерства строительства и жилищно-коммунального хозяйства Российской Федерации от 4 августа 2020 г. N 421/пр (далее - Методика) 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ab/>
        <w:t>2.5. Сметная документация должна включать: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 Локальные сметы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2. Сводный сметный расчёт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3. Ведомости объёмов работ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ab/>
        <w:tab/>
        <w:t>2.6. При определении сметной стоимости материальных ресурсов необходимо соблюдать принципы отнесения к «оборудованию» и «материалам» в соответствии с: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классификатором строительных ресурсов, утвержденным приказом Минстроя России от 17.11.2022 № 969/пр;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техническими частями и вводными указаниями к сборникам сметных нормативов;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 xml:space="preserve"> Методическими рекомендациями по разработке сметных норм на монтаж оборудования и пусконаладочные работы, утвержденным приказом Минстроя России от 08.08.2022 № 648/пр;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Стоимость материальных ресурсов и оборудования определять: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По соответствующим сборникам сметных цен, действующим на момент составления сметной документации и внесенным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бюджета;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На основании согласованного и подписанного заказчиком конъюнктурного анализа, содержащего коммерческие предложения (прайс-листы) не менее трех поставщиков (в случае отсутствия данных в сборниках сметных цен, характеристик, отличных от учтенных в сметных нормативах).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Коммерческие предложения (прайс-листы) должны содержать информацию о стоимости материальных ресурсов, оборудования, работ и услуг с указанием единицы измерения, валюты расчета, курса пересчета (в случае использования ценовой информации в валюте иностранного государства), информацию об учете (или не учете) в ценах отдельных затрат (перевозка, шефмонтаж, шефналадка и тому подобное), налог на добавленную стоимость (НДС), дату составления документа, дату и (или) сроки действия ценовых предложений.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Коммерческие предложения (прайс-листы) должны быть заверены  подписями и печатями (при наличии) уполномоченных лиц производителей с указанием их фамилий и инициалов либо их реквизитов, необходимых для идентификации этих лиц. При отсутствии в прайс-листах расшифровки цены, считается, что в стоимости учтен НДС и транспортные расходы по доставке.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Коммерческие предложения (прайс-листы) должны быть сформированы на дату не ранее чем за 2 месяца до даты составления сводного сметного расчета. Подбор коммерческих предложений (прайс-листов) необходимо оформить отдельным томом.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Пересчет стоимости оборудования из текущего уровня цен коммерческих предложений (прайс-листов) в базисный уровень цен 2000 года осуществлять обратным счетом с применением индекса изменения сметной стоимости на оборудование, пересчет материалов - с применением индекса на строительно-монтажные работы (СМР).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При включении стоимости оборудования или материалов по коммерческим предложениям (прайс-листам) в локальный сметный расчет (ЛСР) (локальную смету (ЛС)) в графе "Шифр и номер позиции норматива" в дополнение к требованиям п. 23 Методики указать фирму производителя, номер страницы тома и позиции, а также в графе "Наименование работ и затрат" Подрядчику необходимо отразить ценообразование. При составлении ЛСР (ЛС) в единичных расценках на монтаж оборудования указать наименование (название, марку, тип и т.п.) устанавливаемого по данной расценке оборудования без учета его стоимости. Стоимость монтируемого оборудования выделить в отдельный раздел, стоимость не монтируемого оборудования учитывать в отдельном ЛСР (ЛС).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сметная документация предоставляется Заказчику как в формате MS Excel с сохранением всех функциональных взаимосвязей, так и в формате программы, в которой она выполнена, с указанием наименования и версии программы;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  <w:tab/>
        <w:t>Для пересчета из базового уровня цен в текущий уровень цен применять индексы, публикуемые ежеквартальными письмами Минстроя России на дату составления сметной документации, но не ранее чем за 2 месяца до даты предоставления на государственную экспертизу. Повышающие коэффициенты, учитывающие условия производства работ и усложняющие факторы (особенности строительства) допускается применять только при их обосновании и документальном подтверждении в материалах проекта.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rPr>
          <w:sz w:val="26"/>
          <w:szCs w:val="26"/>
        </w:rPr>
      </w:pPr>
      <w:r>
        <w:rPr>
          <w:sz w:val="26"/>
          <w:szCs w:val="26"/>
          <w:lang w:bidi="ru-RU"/>
        </w:rPr>
        <w:tab/>
        <w:t>2.7. Подрядчик при выполнении Работ должен предусмотреть: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rPr>
          <w:sz w:val="26"/>
          <w:szCs w:val="26"/>
        </w:rPr>
      </w:pPr>
      <w:r>
        <w:rPr>
          <w:sz w:val="26"/>
          <w:szCs w:val="26"/>
          <w:lang w:bidi="ru-RU"/>
        </w:rPr>
        <w:t>- применение экологически чистых строительных материалов;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 охрану окружающей природной среды, а также сейсмостойкость, взрывобезопасность и пожаробезопасность объекта;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rPr>
          <w:sz w:val="26"/>
          <w:szCs w:val="26"/>
        </w:rPr>
      </w:pPr>
      <w:r>
        <w:rPr>
          <w:sz w:val="26"/>
          <w:szCs w:val="26"/>
          <w:lang w:bidi="ru-RU"/>
        </w:rPr>
        <w:t>- снижение трудоемкости работ;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rPr>
          <w:sz w:val="26"/>
          <w:szCs w:val="26"/>
        </w:rPr>
      </w:pPr>
      <w:r>
        <w:rPr>
          <w:sz w:val="26"/>
          <w:szCs w:val="26"/>
          <w:lang w:bidi="ru-RU"/>
        </w:rPr>
        <w:t>- снижение эксплуатационных затрат.</w:t>
      </w:r>
    </w:p>
    <w:p>
      <w:pPr>
        <w:pStyle w:val="Normal"/>
        <w:tabs>
          <w:tab w:val="clear" w:pos="708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ab/>
        <w:t>2.8. Подрядчик обязуется: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 w:before="0" w:after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не передавать третьим лицам разработанную в рамках настоящего Технического задания документацию без письменного согласия Заказчика;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 w:before="0" w:after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по всем вопросам, возникающим в процессе выполнения работ, взаимодействовать с Заказчиком.</w:t>
      </w:r>
    </w:p>
    <w:p>
      <w:pPr>
        <w:pStyle w:val="Normal"/>
        <w:tabs>
          <w:tab w:val="clear" w:pos="708"/>
          <w:tab w:val="left" w:pos="283" w:leader="none"/>
          <w:tab w:val="left" w:pos="675" w:leader="none"/>
          <w:tab w:val="left" w:pos="5070" w:leader="none"/>
        </w:tabs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tLeast" w:line="283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3. Состав и порядок выполнения работ</w:t>
      </w:r>
    </w:p>
    <w:p>
      <w:pPr>
        <w:pStyle w:val="Normal"/>
        <w:spacing w:lineRule="atLeast" w:line="283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tLeast" w:line="283" w:before="0" w:after="0"/>
        <w:ind w:right="-1" w:firstLine="708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3.1. Заказчик в течение 3 (трех) календарных дней с момента заключения Контракта передает Подрядчику следующие исходные данные:</w:t>
      </w:r>
    </w:p>
    <w:p>
      <w:pPr>
        <w:pStyle w:val="Normal"/>
        <w:spacing w:lineRule="atLeast" w:line="283" w:before="0" w:after="0"/>
        <w:ind w:right="-1" w:hanging="0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- сметную документацию, прошедшую экспертизу в части определения достоверности сметной стоимости.</w:t>
      </w:r>
    </w:p>
    <w:p>
      <w:pPr>
        <w:pStyle w:val="Normal"/>
        <w:spacing w:lineRule="atLeast" w:line="283"/>
        <w:ind w:left="708" w:right="0" w:firstLine="1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3.2. Требования к </w:t>
      </w:r>
      <w:r>
        <w:rPr>
          <w:sz w:val="26"/>
          <w:szCs w:val="26"/>
        </w:rPr>
        <w:t>Корректировке проектно-сметной документации:</w:t>
      </w:r>
    </w:p>
    <w:p>
      <w:pPr>
        <w:pStyle w:val="Normal"/>
        <w:spacing w:lineRule="atLeast" w: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предусмотреть выполнение работ по  </w:t>
      </w:r>
      <w:r>
        <w:rPr>
          <w:sz w:val="26"/>
          <w:szCs w:val="26"/>
          <w:shd w:fill="FFFFFF" w:val="clear"/>
          <w14:ligatures w14:val="none"/>
        </w:rPr>
        <w:t xml:space="preserve">реставрации и приспособлению объекта к современному использованию помещений в здании </w:t>
      </w:r>
      <w:r>
        <w:rPr>
          <w:sz w:val="26"/>
          <w:szCs w:val="26"/>
        </w:rPr>
        <w:t>поэтапно в 2026, 2027  годах;</w:t>
      </w:r>
    </w:p>
    <w:p>
      <w:pPr>
        <w:pStyle w:val="Normal"/>
        <w:tabs>
          <w:tab w:val="clear" w:pos="708"/>
          <w:tab w:val="left" w:pos="567" w:leader="none"/>
        </w:tabs>
        <w:spacing w:lineRule="atLeast" w:line="283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ab/>
      </w:r>
      <w:bookmarkStart w:id="0" w:name="_Hlk151976620"/>
      <w:r>
        <w:rPr>
          <w:rFonts w:eastAsia="Calibri"/>
          <w:sz w:val="26"/>
          <w:szCs w:val="26"/>
          <w:lang w:eastAsia="en-US"/>
        </w:rPr>
        <w:tab/>
        <w:t xml:space="preserve">3.3. </w:t>
      </w:r>
      <w:bookmarkEnd w:id="0"/>
      <w:r>
        <w:rPr>
          <w:rFonts w:eastAsia="Calibri"/>
          <w:sz w:val="26"/>
          <w:szCs w:val="26"/>
          <w:lang w:eastAsia="en-US"/>
        </w:rPr>
        <w:t>В документации должны быть предусмотрены мероприятия по утилизации строительного мусора в ходе проведения строительно-монтажных работ и по их окончании, а так же учтены возвратные суммы - стоимость материалов от разборки конструкций и демонтажа инженерного и технологического оборудования, определяемая исходя из нормативного выхода пригодных для повторного использования материалов и изделий на объектах ремонта в соответствии с Инструкцией по повторному использованию изделий, оборудования и материалов в жилищно-коммунальном хозяйстве.</w:t>
      </w:r>
    </w:p>
    <w:p>
      <w:pPr>
        <w:pStyle w:val="Normal"/>
        <w:widowControl w:val="false"/>
        <w:spacing w:lineRule="atLeast" w:line="283"/>
        <w:ind w:left="0" w:righ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  <w:lang w:eastAsia="en-US" w:bidi="ru-RU"/>
        </w:rPr>
        <w:t>3.4. Порядок выполнения Работ</w:t>
      </w:r>
      <w:r>
        <w:rPr>
          <w:rFonts w:eastAsia="Calibri"/>
          <w:sz w:val="26"/>
          <w:szCs w:val="26"/>
          <w:lang w:eastAsia="en-US" w:bidi="ru-RU"/>
        </w:rPr>
        <w:t>: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992" w:leader="none"/>
        </w:tabs>
        <w:spacing w:lineRule="atLeast" w:line="283" w:before="0" w:after="0"/>
        <w:ind w:left="0" w:firstLine="709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  <w:lang w:bidi="ru-RU"/>
        </w:rPr>
        <w:t>Подготовка актуального конъюнктурного анализа.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992" w:leader="none"/>
        </w:tabs>
        <w:spacing w:lineRule="atLeast" w:line="283" w:before="0" w:after="0"/>
        <w:ind w:left="0" w:firstLine="709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  <w:lang w:bidi="ru-RU"/>
        </w:rPr>
        <w:t>Корректировка сметной документации.</w:t>
      </w:r>
    </w:p>
    <w:p>
      <w:pPr>
        <w:pStyle w:val="Normal"/>
        <w:widowControl w:val="false"/>
        <w:spacing w:lineRule="atLeast" w:line="283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  <w:lang w:eastAsia="en-US" w:bidi="ru-RU"/>
        </w:rPr>
        <w:t xml:space="preserve">По завершению работ по Контракту, </w:t>
      </w:r>
      <w:r>
        <w:rPr>
          <w:sz w:val="26"/>
          <w:szCs w:val="26"/>
        </w:rPr>
        <w:t>Подрядчик</w:t>
      </w:r>
      <w:r>
        <w:rPr>
          <w:rFonts w:eastAsia="Calibri"/>
          <w:color w:val="000000"/>
          <w:sz w:val="26"/>
          <w:szCs w:val="26"/>
          <w:lang w:eastAsia="en-US" w:bidi="ru-RU"/>
        </w:rPr>
        <w:t xml:space="preserve"> обязан предоставить Заказчику комплект сметной документации, предусмотренный настоящим Техническим заданием. Подрядчик предоставляет документацию в двух экземплярах на бумажном носителе и в одном экземпляре в электронном виде. Сметы в электронном виде предоставляются в формате </w:t>
      </w:r>
      <w:r>
        <w:rPr>
          <w:rFonts w:eastAsia="Calibri"/>
          <w:color w:val="000000"/>
          <w:sz w:val="26"/>
          <w:szCs w:val="26"/>
          <w:lang w:val="en-US" w:eastAsia="en-US" w:bidi="ru-RU"/>
        </w:rPr>
        <w:t>excel</w:t>
      </w:r>
      <w:r>
        <w:rPr>
          <w:rFonts w:eastAsia="Calibri"/>
          <w:color w:val="000000"/>
          <w:sz w:val="26"/>
          <w:szCs w:val="26"/>
          <w:lang w:eastAsia="en-US" w:bidi="ru-RU"/>
        </w:rPr>
        <w:t xml:space="preserve">, </w:t>
      </w:r>
      <w:r>
        <w:rPr>
          <w:rFonts w:eastAsia="Calibri"/>
          <w:color w:val="000000"/>
          <w:sz w:val="26"/>
          <w:szCs w:val="26"/>
          <w:lang w:val="en-US" w:eastAsia="en-US" w:bidi="ru-RU"/>
        </w:rPr>
        <w:t>arps</w:t>
      </w:r>
      <w:r>
        <w:rPr>
          <w:rFonts w:eastAsia="Calibri"/>
          <w:color w:val="000000"/>
          <w:sz w:val="26"/>
          <w:szCs w:val="26"/>
          <w:lang w:eastAsia="en-US" w:bidi="ru-RU"/>
        </w:rPr>
        <w:t xml:space="preserve"> и </w:t>
      </w:r>
      <w:r>
        <w:rPr>
          <w:rFonts w:eastAsia="Calibri"/>
          <w:color w:val="000000"/>
          <w:sz w:val="26"/>
          <w:szCs w:val="26"/>
          <w:lang w:val="en-US" w:eastAsia="en-US" w:bidi="ru-RU"/>
        </w:rPr>
        <w:t>sobx</w:t>
      </w:r>
      <w:r>
        <w:rPr>
          <w:rFonts w:eastAsia="Calibri"/>
          <w:color w:val="000000"/>
          <w:sz w:val="26"/>
          <w:szCs w:val="26"/>
          <w:lang w:eastAsia="en-US" w:bidi="ru-RU"/>
        </w:rPr>
        <w:t>.</w:t>
      </w:r>
    </w:p>
    <w:p>
      <w:pPr>
        <w:pStyle w:val="Normal"/>
        <w:widowControl w:val="false"/>
        <w:spacing w:lineRule="atLeast" w:line="283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  <w:lang w:eastAsia="en-US" w:bidi="ru-RU"/>
        </w:rPr>
        <w:t xml:space="preserve">     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cs="Times New Roman"/>
          <w:sz w:val="26"/>
          <w:szCs w:val="26"/>
        </w:rPr>
        <w:t>4. Права и обязанности Сторон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4.1. Подрядчик вправе: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4.1.1. Требовать своевременного подписания Заказчиком акта сдачи-приемки Работ (приложение № 1 к настоящему Техническому заданию) на основании представленных Подрядчиком документов, предусмотренных пунктом 6.2 настоящего Технического задания.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4.1.2. Требовать своевременной оплаты выполненных Работ в соответствии с условиями Контракта.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4.1.3. Требовать уплаты неустоек (штрафов, пеней) в случае неисполнения или ненадлежащего исполнения (в том числе просрочки исполнения) Заказчиком обязательств, предусмотренных Контрактом.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4.1.4. Досрочно исполнить обязательства, установленные Контрактом с согласия Заказчика.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4.2. Подрядчик обязан: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4.2.1. Выполнить Работы в полном объеме в порядке, установленном Контрактом и настоящим Техническим заданием.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4.2.2. За свой счет, не нарушая сроков выполнения Работ, устранять допущенные по своей вине несоответствия Работ условиям Контракта и настоящего Технического задания.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4.2.3. Приостановить исполнение Контракта, письменно поставив об этом в известность Заказчика за 5 (пять) дней до приостановления выполнения Работ в случае, если в процессе выполнения Работ выясняется неизбежность получения отрицательного результата, несоответствующего условиям Контракта.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4.2.4. Гарантировать Заказчику выполнение качественных Работ с соблюдением всех требований законодательства Российской Федерации.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4.2.5. В случае изменения банковских или иных реквизитов в 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 Контракте расчетный счет, несет Подрядчик.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 Заказчик вправе: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4.3.1. Требовать от Подрядчика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4.3.2. Требовать от Подрядчика представления надлежащим образом оформленных документов, предусмотренных пунктом 6.1 настоящего Технического задания и подтверждающих исполнение обязательств по Контракту.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4.3.3. Запрашивать у Подрядчика информацию о ходе исполнения обязательств по Контракту.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4.3.4. Отказаться от приемки Работ в случаях, предусмотренных законодательством Российской Федерации и Контрактом, в том числе в случае обнаружения неустранимых недостатков.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4.3.5. По соглашению с Подрядчиком изменить существенные условия Контракта в случаях, установленных законодательством Российской Федерации и Контрактом.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4.3.6. Осуществить выплату Подрядчику суммы, уменьшенной на сумму неустойки (штрафа, пени), рассчитанной в порядке, предусмотренном частью 5 настоящего Технического задания.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4.3.7.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4.4. Заказчик обязан: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4.4.1. Принять и оплатить выполненные Работы в соответствии с условиями Контракта.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4.4.2. Осуществлять контроль за порядком выполнения Работ.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4.4.3. Требовать уплаты неустоек (штрафов, пеней) в случае неисполнения или ненадлежащего исполнения (в том числе просрочки исполнения) Подрядчиком обязательств, предусмотренных Контрактом и настоящим Техническим заданием.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4.5. Стороны обязуются не уступать (не передавать) и не обременять каким-либо образом свои права и (или) обязанности по Контракту без предварительного письменного согласия другой Стороны.</w:t>
      </w:r>
    </w:p>
    <w:p>
      <w:pPr>
        <w:pStyle w:val="Normal"/>
        <w:spacing w:lineRule="auto" w:line="240" w:before="120" w:after="120"/>
        <w:jc w:val="center"/>
        <w:rPr/>
      </w:pPr>
      <w:r>
        <w:rPr>
          <w:rFonts w:cs="Times New Roman"/>
          <w:sz w:val="26"/>
          <w:szCs w:val="26"/>
        </w:rPr>
        <w:t>5. Порядок расчетов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5.1. 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5.2. Цена Контракта является твердой и определяется на весь срок его исполнения. Изменение цены Контракта в процессе его исполнения не допускается, за исключением следующих случаев, предусмотренных частью 1 статьи 95 Федерального закона от 05.04.2013 № 44-ФЗ.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 xml:space="preserve">5.3. Оплата по Контракту производится Заказчиком по факту выполненных Работ путем перечисления денежных средств на расчетный счет Подрядчика.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5.4. Оплата выполненных Работ производится Заказчиком не позднее 7 (семи) рабочих дней с даты подписания Заказчиком акта сдачи-приемки Работ (приложение № 1 к настоящему Техническому заданию). Датой оплаты Работ считается дата списания денежных средств с лицевого счета Заказчика.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5.5. Оплата по Контракту осуществляется за счет средств федерального бюджета </w:t>
      </w:r>
    </w:p>
    <w:p>
      <w:pPr>
        <w:pStyle w:val="Normal"/>
        <w:tabs>
          <w:tab w:val="clear" w:pos="708"/>
          <w:tab w:val="left" w:pos="992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5.6. Цена Контракта формируется с учетом всех расходов Подрядчика, связанных с выполнением Работ, а также налогов, сборов и других обязательных платежей в соответствии с законодательством Российской Федерации и Контрактом.</w:t>
      </w:r>
    </w:p>
    <w:p>
      <w:pPr>
        <w:pStyle w:val="Normal"/>
        <w:spacing w:lineRule="auto" w:line="240" w:before="120" w:after="120"/>
        <w:jc w:val="center"/>
        <w:rPr/>
      </w:pPr>
      <w:r>
        <w:rPr>
          <w:rFonts w:cs="Times New Roman"/>
          <w:sz w:val="26"/>
          <w:szCs w:val="26"/>
        </w:rPr>
        <w:t xml:space="preserve">6. Порядок сдачи-приемки работ.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6.1. Подрядчик не позднее 5 (пяти) рабочих дней с даты окончания выполнения Работ передает Заказчику подписанные со своей стороны и заверенные печатью (при наличии)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- акт сдачи-приемки Работ (приложение № 1 к настоящему Техническому заданию) в 2 (двух) экземплярах;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- счет в 1 (одном) экземпляре;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- счет-фактуру или универсальный передаточный документ в 1 (одном) экземпляре (в случае, если Подрядчик является плательщиком НДС);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- иные документы, подтверждающие качество оказанных Работ.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Передаваемые документы должны соответствовать Контракту и настоящему Техническому заданию.</w:t>
      </w:r>
    </w:p>
    <w:p>
      <w:pPr>
        <w:pStyle w:val="Normal"/>
        <w:spacing w:lineRule="auto" w:line="240" w:before="0" w:after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6.2. Работы считаются выполненными с даты подписания Заказчиком документа о приемке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6.3. В случае если Подрядчик некорректно оформил счет, счет-фактуру (при наличии) или акт сдачи-приемки Работ (приложение № 1 к настоящему Техническому заданию) в предоставляемом комплекте документов, Заказчик вправе приостановить приемку Работ до устранения Подрядчиком замечаний к оформлению указанных документов.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6.4. В целях приемки выполненных Работ по решению Заказчика может создаваться приемочная комиссия.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6.5. При приемке выполненных Работ для проверки предоставленных Подрядчиком результатов, предусмотренных Контрактом, в части их соответствия условиям Контракта и настоящего Технического задания, Заказчик проводит экспертизу.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Экспертиза результатов, предусмотренных Контрактом, может проводиться Заказчиком своими силами и (или) к ее проведению могут привлекаться эксперты, экспертные организации.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По результатам проведенной экспертизы эксперт (экспертная организация) готовит экспертное заключение и направляет его на рассмотрение Заказчику.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6.6. Заказчик проверяет выполненные Работы на соответствие требованиям Контракта, в том числе настоящего Технического задания.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6.7. В случае принятия Заказчиком решения о приемке Работ акт сдачи-приемки Работ (приложение № 1 к настоящему Техническому заданию) подписывается Заказчиком не позднее 20 (двадцати) рабочих дней с даты получения документов, указанных в пункте 6.2 настоящего Технического задания.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6.8. При выявлении несоответствия выполненных Работ требованиям Контракта, в том числе настоящего Технического задания, препятствующего приемке Работ, Заказчиком  составляется акт, содержащий мотивированный отказ от приемки Работ.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6.9. В течение 2 (двух) рабочих дней со дня составления акта в соответствии с пунктом 6.7 настоящего Технического задания Заказчиком по адресу Подрядчика, указанному Контракте, направляется мотивированный отказ от приемки Работ с указанием выявленных несоответствий выполненных Работ требованиям Контракта и сроков их устранения с момента получения мотивированного отказа.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6.10. После устранения Подрядчиком выявленных несоответствий повторная приемка Работ осуществляется в порядке, предусмотренном пунктами 6.3 – 6.7 настоящего Технического задания. В случае выявления при повторной приемке несоответствия Работ требованиям Контракта, Работы считаются неоказанными, а обязательства Подрядчика по их выполнению – невыполненными.</w:t>
      </w:r>
    </w:p>
    <w:p>
      <w:pPr>
        <w:pStyle w:val="Normal"/>
        <w:spacing w:lineRule="auto" w:line="240" w:before="0" w:after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lineRule="auto" w:line="240" w:before="120" w:after="120"/>
        <w:jc w:val="center"/>
        <w:rPr/>
      </w:pPr>
      <w:r>
        <w:rPr>
          <w:rFonts w:cs="Times New Roman"/>
          <w:sz w:val="26"/>
          <w:szCs w:val="26"/>
        </w:rPr>
        <w:t>7.Требования к результату работ.</w:t>
      </w:r>
    </w:p>
    <w:p>
      <w:pPr>
        <w:pStyle w:val="Normal"/>
        <w:tabs>
          <w:tab w:val="clear" w:pos="708"/>
          <w:tab w:val="left" w:pos="567" w:leader="none"/>
        </w:tabs>
        <w:spacing w:lineRule="atLeast" w:line="2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    </w:t>
      </w:r>
      <w:r>
        <w:rPr>
          <w:rFonts w:eastAsia="Calibri"/>
          <w:sz w:val="26"/>
          <w:szCs w:val="26"/>
          <w:lang w:eastAsia="en-US"/>
        </w:rPr>
        <w:t>7.1. Передаваемая Заказчику Подрядчиком документация должна соответствовать требованиям:</w:t>
      </w:r>
    </w:p>
    <w:p>
      <w:pPr>
        <w:pStyle w:val="Normal"/>
        <w:tabs>
          <w:tab w:val="clear" w:pos="708"/>
          <w:tab w:val="left" w:pos="283" w:leader="none"/>
          <w:tab w:val="left" w:pos="567" w:leader="none"/>
        </w:tabs>
        <w:spacing w:lineRule="atLeast" w:line="2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•</w:t>
      </w:r>
      <w:r>
        <w:rPr>
          <w:rFonts w:eastAsia="Calibri"/>
          <w:sz w:val="26"/>
          <w:szCs w:val="26"/>
          <w:lang w:eastAsia="en-US"/>
        </w:rPr>
        <w:tab/>
        <w:t xml:space="preserve">скорректированная сметная документация должна быть укомплектована в тома, по отдельным разделам; </w:t>
      </w:r>
    </w:p>
    <w:p>
      <w:pPr>
        <w:pStyle w:val="Normal"/>
        <w:tabs>
          <w:tab w:val="clear" w:pos="708"/>
          <w:tab w:val="left" w:pos="283" w:leader="none"/>
          <w:tab w:val="left" w:pos="567" w:leader="none"/>
        </w:tabs>
        <w:spacing w:lineRule="atLeast" w:line="283"/>
        <w:jc w:val="both"/>
        <w:rPr>
          <w:rFonts w:eastAsia="Calibri"/>
          <w:sz w:val="26"/>
          <w:szCs w:val="26"/>
        </w:rPr>
      </w:pPr>
      <w:r>
        <w:rPr>
          <w:rFonts w:eastAsia="Calibri" w:cs="Times New Roman"/>
          <w:sz w:val="26"/>
          <w:szCs w:val="26"/>
          <w:lang w:eastAsia="en-US"/>
        </w:rPr>
        <w:t>•</w:t>
      </w:r>
      <w:r>
        <w:rPr>
          <w:rFonts w:eastAsia="Calibri" w:cs="Times New Roman"/>
          <w:sz w:val="26"/>
          <w:szCs w:val="26"/>
          <w:lang w:eastAsia="en-US"/>
        </w:rPr>
        <w:tab/>
        <w:t>при большом объеме раздела необходимо разделить его на части, а части, в случае необходимости, на книги. Каждую часть и книгу укомплектовать отдельно. Всем частям и книгам должны быть присвоены наименования, отражающие содержание частей или книг, и присваивают порядковые номера в пределах, соответственно, раздела или части. Отдельные разделы вместо частей могут быть разделены на подразделы;</w:t>
      </w:r>
    </w:p>
    <w:p>
      <w:pPr>
        <w:pStyle w:val="Normal"/>
        <w:widowControl w:val="false"/>
        <w:spacing w:lineRule="atLeast" w:line="283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kern w:val="0"/>
          <w:sz w:val="26"/>
          <w:szCs w:val="26"/>
          <w:lang w:val="ru-RU" w:eastAsia="en-US"/>
        </w:rPr>
        <w:t xml:space="preserve">       </w:t>
      </w:r>
      <w:r>
        <w:rPr>
          <w:rFonts w:eastAsia="Calibri"/>
          <w:kern w:val="0"/>
          <w:sz w:val="26"/>
          <w:szCs w:val="26"/>
          <w:lang w:val="ru-RU" w:eastAsia="en-US"/>
        </w:rPr>
        <w:t>7.2. Скорректированная сметная документация должна быть пригодна для направления на государственную экспертизу (повторную) в ФАУ «Главгосэкспертиза России» в целях проверки достоверности определения сметной стоимости.</w:t>
      </w:r>
    </w:p>
    <w:p>
      <w:pPr>
        <w:pStyle w:val="Normal"/>
        <w:widowControl w:val="false"/>
        <w:spacing w:lineRule="atLeast" w:line="283"/>
        <w:jc w:val="both"/>
        <w:rPr>
          <w:rFonts w:ascii="Times New Roman" w:hAnsi="Times New Roman" w:eastAsia="Calibri"/>
          <w:kern w:val="0"/>
          <w:sz w:val="26"/>
          <w:szCs w:val="26"/>
          <w:lang w:val="ru-RU" w:eastAsia="en-US"/>
        </w:rPr>
      </w:pPr>
      <w:r>
        <w:rPr>
          <w:rFonts w:eastAsia="Calibri" w:cs="Times New Roman"/>
          <w:kern w:val="0"/>
          <w:sz w:val="26"/>
          <w:szCs w:val="26"/>
          <w:lang w:val="ru-RU" w:eastAsia="en-US"/>
        </w:rPr>
        <w:t xml:space="preserve">     </w:t>
      </w:r>
      <w:r>
        <w:rPr>
          <w:rFonts w:eastAsia="Calibri" w:cs="Times New Roman"/>
          <w:kern w:val="0"/>
          <w:sz w:val="26"/>
          <w:szCs w:val="26"/>
          <w:lang w:val="ru-RU" w:eastAsia="en-US"/>
        </w:rPr>
        <w:t>7.3. Скорректированная сметная документация должна соответствовать требованиям, предъявляемым к документации, проходящей государственную экспертизу, в том числе по составу, содержанию и оформлению.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/>
          <w:sz w:val="26"/>
          <w:szCs w:val="26"/>
        </w:rPr>
        <w:t>- приложение № 1 - Форма акта сдачи-приемки Работ.</w:t>
      </w:r>
    </w:p>
    <w:p>
      <w:pPr>
        <w:pStyle w:val="Normal"/>
        <w:spacing w:lineRule="atLeast" w:line="283"/>
        <w:rPr/>
      </w:pPr>
      <w:r>
        <w:rPr/>
      </w:r>
    </w:p>
    <w:p>
      <w:pPr>
        <w:pStyle w:val="Normal"/>
        <w:spacing w:lineRule="atLeast" w:line="283"/>
        <w:rPr/>
      </w:pPr>
      <w:r>
        <w:rPr/>
      </w:r>
    </w:p>
    <w:p>
      <w:pPr>
        <w:pStyle w:val="Normal"/>
        <w:spacing w:lineRule="atLeast" w:line="283"/>
        <w:rPr/>
      </w:pPr>
      <w:r>
        <w:rPr/>
      </w:r>
    </w:p>
    <w:p>
      <w:pPr>
        <w:pStyle w:val="Normal"/>
        <w:spacing w:lineRule="atLeast" w:line="283"/>
        <w:rPr/>
      </w:pPr>
      <w:r>
        <w:rPr/>
      </w:r>
    </w:p>
    <w:p>
      <w:pPr>
        <w:pStyle w:val="Normal"/>
        <w:spacing w:lineRule="atLeast" w:line="283"/>
        <w:rPr/>
      </w:pPr>
      <w:r>
        <w:rPr/>
      </w:r>
    </w:p>
    <w:p>
      <w:pPr>
        <w:pStyle w:val="Normal"/>
        <w:spacing w:lineRule="atLeast" w:line="283"/>
        <w:rPr/>
      </w:pPr>
      <w:r>
        <w:rPr/>
      </w:r>
    </w:p>
    <w:p>
      <w:pPr>
        <w:pStyle w:val="Normal"/>
        <w:spacing w:lineRule="atLeast" w:line="283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left="5387" w:hanging="0"/>
        <w:contextualSpacing/>
        <w:jc w:val="right"/>
        <w:rPr/>
      </w:pPr>
      <w:r>
        <w:rPr>
          <w:sz w:val="26"/>
          <w:szCs w:val="26"/>
        </w:rPr>
        <w:t xml:space="preserve">Приложение №1 </w:t>
        <w:br/>
        <w:t>к Техническому заданию</w:t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  <w:highlight w:val="none"/>
        </w:rPr>
      </w:pPr>
      <w:r>
        <w:rPr>
          <w:sz w:val="26"/>
          <w:szCs w:val="26"/>
        </w:rPr>
        <w:t>Форма</w:t>
      </w:r>
    </w:p>
    <w:p>
      <w:pPr>
        <w:pStyle w:val="Normal"/>
        <w:widowControl w:val="false"/>
        <w:jc w:val="center"/>
        <w:rPr/>
      </w:pPr>
      <w:r>
        <w:rPr>
          <w:sz w:val="26"/>
          <w:szCs w:val="26"/>
        </w:rPr>
        <w:t>АКТ № 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сдачи-приемки Работ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к контракту от «____» _______202__г. № 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Федеральное казенное учреждение «Государственные технологии», именуемое в дальнейшем «Заказчик», в лице _______________, действующего на основании ______________, с одной стороны, и ___________, именуемое в дальнейшем «Подрядчик», в лице _______, действующего на основании __________, с другой стороны, совместно именуемые в дальнейшем «Стороны», составили акт о нижеследующем: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1. В соответствии с контрактом от «____» _______202__ г. № ______________________ (далее – Контракт) Подрядчик выполнил свои обязательства по выполнению работ _________________________________________________________________________________________________________(далее – Работы).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2. Общая стоимость выполненных Работ составляет _________ рублей (_____________ рублей __ копеек).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3. Работы согласно Контракту должны быть выполнены с «__» ____ по «__» ____ 202_ г.,  фактически Работы выполнены «___» _______202_ г.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4. Выполненные Работы (соответствуют / не соответствуют) по объему, составу, содержанию, срокам, качеству условиям Контракта.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 xml:space="preserve">5. Выявленные несоответствия выполненных Работ условиям Контракта: 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_____________________________________________________________________.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6. В соответствии с пунктом ____ Контракта сумма неустойки (штрафа, пени) составляет _______________________________________________________________.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>7. Итоговая сумма, подлежащая оплате Подрядчику, составляет ________ рублей (____ рублей __ копеек).</w:t>
      </w:r>
    </w:p>
    <w:p>
      <w:pPr>
        <w:pStyle w:val="Normal"/>
        <w:widowControl w:val="false"/>
        <w:rPr/>
      </w:pPr>
      <w:r>
        <w:rPr>
          <w:sz w:val="26"/>
          <w:szCs w:val="26"/>
        </w:rPr>
        <w:t>8. К акту прилагаются следующие документы:</w:t>
      </w:r>
    </w:p>
    <w:p>
      <w:pPr>
        <w:pStyle w:val="Normal"/>
        <w:widowControl w:val="false"/>
        <w:rPr/>
      </w:pPr>
      <w:r>
        <w:rPr>
          <w:sz w:val="26"/>
          <w:szCs w:val="26"/>
        </w:rPr>
        <w:t>а) счет от «____» ___________ 202_ г. № ______;</w:t>
      </w:r>
    </w:p>
    <w:p>
      <w:pPr>
        <w:pStyle w:val="Normal"/>
        <w:widowControl w:val="false"/>
        <w:rPr/>
      </w:pPr>
      <w:r>
        <w:rPr>
          <w:sz w:val="26"/>
          <w:szCs w:val="26"/>
        </w:rPr>
        <w:t xml:space="preserve">б) счет-фактура от «____» _______ 202_ г. № _________ </w:t>
      </w:r>
      <w:r>
        <w:rPr>
          <w:i/>
          <w:sz w:val="26"/>
          <w:szCs w:val="26"/>
        </w:rPr>
        <w:t>(в случае, если Подрядчик является плательщиком НДС)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rPr>
          <w:spacing w:val="-6"/>
          <w:sz w:val="26"/>
          <w:szCs w:val="26"/>
          <w:highlight w:val="none"/>
        </w:rPr>
      </w:pPr>
      <w:r>
        <w:rPr>
          <w:sz w:val="26"/>
          <w:szCs w:val="26"/>
        </w:rPr>
        <w:t xml:space="preserve">в) </w:t>
      </w:r>
      <w:r>
        <w:rPr>
          <w:spacing w:val="-6"/>
          <w:sz w:val="26"/>
          <w:szCs w:val="26"/>
        </w:rPr>
        <w:t>документы, подтверждающие качество выполненных Работ.</w:t>
      </w:r>
    </w:p>
    <w:p>
      <w:pPr>
        <w:pStyle w:val="Normal"/>
        <w:widowControl w:val="false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</w:r>
    </w:p>
    <w:p>
      <w:pPr>
        <w:pStyle w:val="Normal"/>
        <w:widowControl w:val="false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</w:r>
    </w:p>
    <w:p>
      <w:pPr>
        <w:pStyle w:val="Normal"/>
        <w:widowControl w:val="false"/>
        <w:jc w:val="center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Подписи Сторон</w:t>
      </w:r>
    </w:p>
    <w:p>
      <w:pPr>
        <w:pStyle w:val="Normal"/>
        <w:widowControl w:val="false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</w:r>
    </w:p>
    <w:tbl>
      <w:tblPr>
        <w:tblStyle w:val="698"/>
        <w:tblW w:w="102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102"/>
        <w:gridCol w:w="5101"/>
      </w:tblGrid>
      <w:tr>
        <w:trPr/>
        <w:tc>
          <w:tcPr>
            <w:tcW w:w="51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6"/>
                <w:sz w:val="26"/>
                <w:szCs w:val="26"/>
                <w:highlight w:val="none"/>
              </w:rPr>
            </w:pPr>
            <w:r>
              <w:rPr>
                <w:spacing w:val="-6"/>
                <w:kern w:val="0"/>
                <w:sz w:val="26"/>
                <w:szCs w:val="26"/>
                <w:lang w:val="ru-RU" w:bidi="ar-SA"/>
              </w:rPr>
              <w:t>ЗАКАЗЧИК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/>
                <w:bCs/>
                <w:kern w:val="0"/>
                <w:sz w:val="26"/>
                <w:szCs w:val="26"/>
                <w:lang w:val="ru-RU" w:bidi="ar-SA"/>
              </w:rPr>
              <w:t>Федеральное казенное учреждение «Государственные технологии»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/>
                <w:kern w:val="0"/>
                <w:sz w:val="26"/>
                <w:szCs w:val="26"/>
                <w:lang w:val="ru-RU" w:bidi="ar-SA"/>
              </w:rPr>
              <w:t>(должность)                                          (ФИО)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spacing w:val="-6"/>
                <w:sz w:val="26"/>
                <w:szCs w:val="26"/>
                <w:highlight w:val="none"/>
              </w:rPr>
            </w:pPr>
            <w:r>
              <w:rPr>
                <w:spacing w:val="-6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6"/>
                <w:sz w:val="26"/>
                <w:szCs w:val="26"/>
                <w:highlight w:val="none"/>
              </w:rPr>
            </w:pPr>
            <w:r>
              <w:rPr>
                <w:rFonts w:eastAsia="Times New Roman"/>
                <w:kern w:val="0"/>
                <w:sz w:val="26"/>
                <w:szCs w:val="26"/>
                <w:lang w:val="ru-RU" w:bidi="ar-SA"/>
              </w:rPr>
              <w:t>«____» _____________ 202__ 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6"/>
                <w:sz w:val="26"/>
                <w:szCs w:val="26"/>
                <w:highlight w:val="none"/>
              </w:rPr>
            </w:pPr>
            <w:r>
              <w:rPr>
                <w:spacing w:val="-6"/>
                <w:sz w:val="26"/>
                <w:szCs w:val="26"/>
              </w:rPr>
            </w:r>
          </w:p>
        </w:tc>
        <w:tc>
          <w:tcPr>
            <w:tcW w:w="51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6"/>
                <w:sz w:val="26"/>
                <w:szCs w:val="26"/>
                <w:highlight w:val="none"/>
              </w:rPr>
            </w:pPr>
            <w:r>
              <w:rPr>
                <w:spacing w:val="-6"/>
                <w:kern w:val="0"/>
                <w:sz w:val="26"/>
                <w:szCs w:val="26"/>
                <w:lang w:val="ru-RU" w:bidi="ar-SA"/>
              </w:rPr>
              <w:t>ПОДРЯДЧИК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eastAsia="Times New Roman"/>
                <w:kern w:val="0"/>
                <w:sz w:val="26"/>
                <w:szCs w:val="26"/>
                <w:lang w:val="ru-RU" w:bidi="ar-SA"/>
              </w:rPr>
              <w:t>(должность)                                          (ФИО)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kern w:val="0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highlight w:val="none"/>
              </w:rPr>
            </w:pPr>
            <w:r>
              <w:rPr>
                <w:rFonts w:eastAsia="Times New Roman"/>
                <w:kern w:val="0"/>
                <w:sz w:val="26"/>
                <w:szCs w:val="26"/>
                <w:lang w:val="ru-RU" w:bidi="ar-SA"/>
              </w:rPr>
              <w:t>«____» _____________ 202__ г.</w:t>
            </w:r>
          </w:p>
        </w:tc>
      </w:tr>
    </w:tbl>
    <w:p>
      <w:pPr>
        <w:pStyle w:val="Normal"/>
        <w:widowControl w:val="false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</w:r>
    </w:p>
    <w:p>
      <w:pPr>
        <w:pStyle w:val="Normal"/>
        <w:ind w:firstLine="851"/>
        <w:jc w:val="both"/>
        <w:rPr>
          <w:rFonts w:eastAsia="MS Mincho"/>
          <w:b/>
          <w:bCs/>
          <w:spacing w:val="-6"/>
        </w:rPr>
      </w:pPr>
      <w:r>
        <w:rPr>
          <w:rFonts w:eastAsia="MS Mincho"/>
          <w:b/>
          <w:bCs/>
          <w:spacing w:val="-6"/>
        </w:rPr>
      </w:r>
    </w:p>
    <w:p>
      <w:pPr>
        <w:pStyle w:val="Normal"/>
        <w:spacing w:lineRule="atLeast" w:line="283"/>
        <w:rPr/>
      </w:pPr>
      <w:r>
        <w:rPr/>
      </w:r>
      <w:bookmarkStart w:id="1" w:name="_Hlk81402595_Копия_1"/>
      <w:bookmarkStart w:id="2" w:name="_Hlk81402595_Копия_1"/>
      <w:bookmarkEnd w:id="2"/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567" w:gutter="0" w:header="567" w:top="851" w:footer="708" w:bottom="82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color w:val="000000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)"/>
      <w:lvlJc w:val="righ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-">
    <w:name w:val="Hyperlink"/>
    <w:uiPriority w:val="99"/>
    <w:unhideWhenUsed/>
    <w:rPr>
      <w:color w:val="0563C1" w:themeColor="hyperlink"/>
      <w:u w:val="single"/>
    </w:rPr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uiPriority w:val="99"/>
    <w:unhideWhenUsed/>
    <w:qFormat/>
    <w:rPr>
      <w:vertAlign w:val="superscript"/>
    </w:rPr>
  </w:style>
  <w:style w:type="character" w:styleId="Style10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3">
    <w:name w:val="Endnote Reference"/>
    <w:rPr>
      <w:vertAlign w:val="superscript"/>
    </w:rPr>
  </w:style>
  <w:style w:type="character" w:styleId="Style14" w:customStyle="1">
    <w:name w:val="Абзац списка Знак"/>
    <w:link w:val="ListParagraph"/>
    <w:uiPriority w:val="34"/>
    <w:qFormat/>
    <w:rPr>
      <w:rFonts w:ascii="Calibri" w:hAnsi="Calibri" w:cs="Calibri"/>
    </w:rPr>
  </w:style>
  <w:style w:type="character" w:styleId="FontStyle79" w:customStyle="1">
    <w:name w:val="Font Style79"/>
    <w:uiPriority w:val="99"/>
    <w:qFormat/>
    <w:rPr>
      <w:rFonts w:ascii="Times New Roman" w:hAnsi="Times New Roman" w:cs="Times New Roman"/>
      <w:sz w:val="22"/>
      <w:szCs w:val="22"/>
    </w:rPr>
  </w:style>
  <w:style w:type="character" w:styleId="Style15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Style16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Strong">
    <w:name w:val="Strong"/>
    <w:qFormat/>
    <w:rPr>
      <w:b/>
      <w:bCs/>
    </w:rPr>
  </w:style>
  <w:style w:type="character" w:styleId="Style17">
    <w:name w:val="Line Number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472C4" w:themeColor="accent1"/>
      <w:sz w:val="18"/>
      <w:szCs w:val="18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Style23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4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5">
    <w:name w:val="Footnote Text"/>
    <w:basedOn w:val="Normal"/>
    <w:link w:val="Style8"/>
    <w:uiPriority w:val="99"/>
    <w:semiHidden/>
    <w:unhideWhenUsed/>
    <w:pPr>
      <w:spacing w:before="0" w:after="40"/>
    </w:pPr>
    <w:rPr>
      <w:sz w:val="18"/>
    </w:rPr>
  </w:style>
  <w:style w:type="paragraph" w:styleId="Style26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7">
    <w:name w:val="Index Heading"/>
    <w:basedOn w:val="Style18"/>
    <w:pPr/>
    <w:rPr/>
  </w:style>
  <w:style w:type="paragraph" w:styleId="Style28">
    <w:name w:val="TOC Heading"/>
    <w:uiPriority w:val="39"/>
    <w:unhideWhenUsed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ListParagraph">
    <w:name w:val="List Paragraph"/>
    <w:basedOn w:val="Normal"/>
    <w:link w:val="Style14"/>
    <w:uiPriority w:val="34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 w:eastAsiaTheme="minorHAnsi"/>
      <w:sz w:val="22"/>
      <w:szCs w:val="22"/>
      <w:lang w:eastAsia="en-US"/>
      <w14:ligatures w14:val="standardContextual"/>
    </w:rPr>
  </w:style>
  <w:style w:type="paragraph" w:styleId="24" w:customStyle="1">
    <w:name w:val="Основной текст2"/>
    <w:basedOn w:val="Normal"/>
    <w:qFormat/>
    <w:pPr>
      <w:shd w:val="clear" w:color="auto" w:fill="FFFFFF"/>
      <w:spacing w:lineRule="exact" w:line="269" w:before="0" w:after="300"/>
      <w:ind w:hanging="840"/>
      <w:jc w:val="both"/>
    </w:pPr>
    <w:rPr>
      <w:color w:val="000000"/>
      <w:sz w:val="21"/>
      <w:szCs w:val="21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link w:val="Style1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13">
    <w:name w:val="Верх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76" w:before="0" w:after="200"/>
    </w:pPr>
    <w:rPr>
      <w:rFonts w:ascii="Calibri" w:hAnsi="Calibri" w:eastAsia="Calibri" w:cs="Times New Roman"/>
      <w:lang w:eastAsia="zh-CN"/>
    </w:rPr>
  </w:style>
  <w:style w:type="paragraph" w:styleId="33">
    <w:name w:val="Обычный3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698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"/>
    <w:basedOn w:val="69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23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4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25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26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27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28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9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30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1ACDC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3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32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33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34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EC4E6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35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6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7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8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9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0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2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3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4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5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6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7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8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49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0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75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37DC8" w:themeColor="accent1" w:sz="4" w:space="0"/>
        </w:tcBorders>
      </w:tcPr>
    </w:tblStylePr>
  </w:style>
  <w:style w:type="table" w:customStyle="1" w:styleId="752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753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</w:style>
  <w:style w:type="table" w:customStyle="1" w:styleId="754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755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</w:style>
  <w:style w:type="table" w:customStyle="1" w:styleId="756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</w:style>
  <w:style w:type="table" w:styleId="757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758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9BEE4" w:fill="A9BEE4" w:themeFill="accent1" w:themeFillTint="75"/>
      </w:tcPr>
    </w:tblStylePr>
    <w:tblStylePr w:type="band1Vert">
      <w:tblPr/>
      <w:tcPr>
        <w:shd w:val="clear" w:color="A9BEE4" w:fill="A9BEE4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759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6C3A0" w:fill="F6C3A0" w:themeFill="accent2" w:themeFillTint="75"/>
      </w:tcPr>
    </w:tblStylePr>
    <w:tblStylePr w:type="band1Vert">
      <w:tblPr/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</w:style>
  <w:style w:type="table" w:customStyle="1" w:styleId="760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5D5D5" w:fill="D5D5D5" w:themeFill="accent3" w:themeFillTint="75"/>
      </w:tcPr>
    </w:tblStylePr>
    <w:tblStylePr w:type="band1Vert">
      <w:tblPr/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</w:style>
  <w:style w:type="table" w:customStyle="1" w:styleId="76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FE28A" w:fill="FFE28A" w:themeFill="accent4" w:themeFillTint="75"/>
      </w:tcPr>
    </w:tblStylePr>
    <w:tblStylePr w:type="band1Vert">
      <w:tblPr/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</w:style>
  <w:style w:type="table" w:customStyle="1" w:styleId="762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3D0EB" w:fill="B3D0EB" w:themeFill="accent5" w:themeFillTint="7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</w:style>
  <w:style w:type="table" w:customStyle="1" w:styleId="763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CDBA8" w:fill="BCDBA8" w:themeFill="accent6" w:themeFillTint="75"/>
      </w:tcPr>
    </w:tblStylePr>
    <w:tblStylePr w:type="band1Vert">
      <w:tblPr/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</w:style>
  <w:style w:type="table" w:styleId="764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</w:style>
  <w:style w:type="table" w:customStyle="1" w:styleId="765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  <w:tblPr/>
    </w:tblStylePr>
    <w:tblStylePr w:type="lastRow">
      <w:rPr>
        <w:b/>
        <w:color w:val="A0B7E1" w:themeColor="accent1" w:themeTint="80" w:themeShade="95"/>
      </w:rPr>
      <w:tblPr/>
    </w:tblStylePr>
  </w:style>
  <w:style w:type="table" w:customStyle="1" w:styleId="766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</w:tblStylePr>
  </w:style>
  <w:style w:type="table" w:customStyle="1" w:styleId="767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  <w:tblPr/>
    </w:tblStylePr>
    <w:tblStylePr w:type="lastRow">
      <w:rPr>
        <w:b/>
        <w:color w:val="A5A5A5" w:themeColor="accent3" w:themeTint="fe" w:themeShade="95"/>
      </w:rPr>
      <w:tblPr/>
    </w:tblStylePr>
  </w:style>
  <w:style w:type="table" w:customStyle="1" w:styleId="768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</w:tblStylePr>
  </w:style>
  <w:style w:type="table" w:customStyle="1" w:styleId="769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  <w:tblStylePr w:type="firstCol">
      <w:rPr>
        <w:b/>
        <w:color w:val="245A8D" w:themeColor="accent5" w:themeShade="95"/>
      </w:rPr>
      <w:tblPr/>
    </w:tblStyle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tblPr/>
    </w:tblStylePr>
    <w:tblStylePr w:type="lastRow">
      <w:rPr>
        <w:b/>
        <w:color w:val="245A8D" w:themeColor="accent5" w:themeShade="95"/>
      </w:rPr>
      <w:tblPr/>
    </w:tblStylePr>
  </w:style>
  <w:style w:type="table" w:customStyle="1" w:styleId="770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  <w:tblStylePr w:type="firstCol">
      <w:rPr>
        <w:b/>
        <w:color w:val="245A8D" w:themeColor="accent5" w:themeShade="95"/>
      </w:rPr>
      <w:tblPr/>
    </w:tblStyle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tblPr/>
    </w:tblStylePr>
    <w:tblStylePr w:type="lastRow">
      <w:rPr>
        <w:b/>
        <w:color w:val="245A8D" w:themeColor="accent5" w:themeShade="95"/>
      </w:rPr>
      <w:tblPr/>
    </w:tblStylePr>
  </w:style>
  <w:style w:type="table" w:styleId="771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72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sz="4" w:space="0"/>
        </w:tcBorders>
        <w:shd w:val="clear" w:color="FFFFFF" w:fill="auto"/>
      </w:tcPr>
    </w:tblStyle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0B7E1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A0B7E1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73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74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75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76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sz="4" w:space="0"/>
        </w:tcBorders>
        <w:shd w:val="clear" w:color="FFFFFF" w:fill="auto"/>
      </w:tcPr>
    </w:tblStyle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A2C6E7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77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8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79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CFDBF0" w:fill="CFDBF0" w:themeFill="accent1" w:themeFillTint="40"/>
      </w:tcPr>
    </w:tblStylePr>
    <w:tblStylePr w:type="band1Vert">
      <w:tblPr/>
      <w:tcPr>
        <w:shd w:val="clear" w:color="CFDBF0" w:fill="CFDBF0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80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8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82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83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5E5F4" w:fill="D5E5F4" w:themeFill="accent5" w:themeFillTint="40"/>
      </w:tcPr>
    </w:tblStylePr>
    <w:tblStylePr w:type="band1Vert">
      <w:tblPr/>
      <w:tcPr>
        <w:shd w:val="clear" w:color="D5E5F4" w:fill="D5E5F4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84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786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</w:style>
  <w:style w:type="table" w:customStyle="1" w:styleId="787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customStyle="1" w:styleId="788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customStyle="1" w:styleId="789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customStyle="1" w:styleId="790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</w:style>
  <w:style w:type="table" w:customStyle="1" w:styleId="79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792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3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4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5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6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7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8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9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0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2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3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4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5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6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07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08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09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10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1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12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styleId="813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14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  <w:tblStylePr w:type="firstCol">
      <w:rPr>
        <w:b/>
        <w:color w:val="254175" w:themeColor="accent1" w:themeShade="95"/>
      </w:rPr>
      <w:tblPr/>
    </w:tblStyle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tblPr/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</w:style>
  <w:style w:type="table" w:customStyle="1" w:styleId="815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16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rPr>
        <w:b/>
        <w:color w:val="C9C9C9" w:themeColor="accent3" w:themeTint="98" w:themeShade="95"/>
      </w:rPr>
      <w:tblPr/>
    </w:tblStyle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  <w:tblPr/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</w:style>
  <w:style w:type="table" w:customStyle="1" w:styleId="817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18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  <w:tblStylePr w:type="firstCol">
      <w:rPr>
        <w:b/>
        <w:color w:val="9BC2E5" w:themeColor="accent5" w:themeTint="9a" w:themeShade="95"/>
      </w:rPr>
      <w:tblPr/>
    </w:tblStyle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  <w:tblPr/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</w:style>
  <w:style w:type="table" w:customStyle="1" w:styleId="819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rPr>
        <w:b/>
        <w:color w:val="A9D08E" w:themeColor="accent6" w:themeTint="98" w:themeShade="95"/>
      </w:rPr>
      <w:tblPr/>
    </w:tblStyle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  <w:tblPr/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</w:style>
  <w:style w:type="table" w:styleId="820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2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3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4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5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sz="4" w:space="0"/>
        </w:tcBorders>
        <w:shd w:val="clear" w:color="FFFFFF" w:fill="auto"/>
      </w:tcPr>
    </w:tblStyle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C2E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9BC2E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6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27">
    <w:name w:val="Lined - Accent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28">
    <w:name w:val="Lined - Accent 1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</w:style>
  <w:style w:type="table" w:customStyle="1" w:styleId="829">
    <w:name w:val="Lined - Accent 2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30">
    <w:name w:val="Lined - Accent 3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31">
    <w:name w:val="Lined - Accent 4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32">
    <w:name w:val="Lined - Accent 5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</w:style>
  <w:style w:type="table" w:customStyle="1" w:styleId="833">
    <w:name w:val="Lined - Accent 6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</w:style>
  <w:style w:type="table" w:customStyle="1" w:styleId="834">
    <w:name w:val="Bordered &amp; Lined - Accent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35">
    <w:name w:val="Bordered &amp; Lined - Accent 1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</w:style>
  <w:style w:type="table" w:customStyle="1" w:styleId="836">
    <w:name w:val="Bordered &amp; Lined - Accent 2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37">
    <w:name w:val="Bordered &amp; Lined - Accent 3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38">
    <w:name w:val="Bordered &amp; Lined - Accent 4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39">
    <w:name w:val="Bordered &amp; Lined - Accent 5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</w:style>
  <w:style w:type="table" w:customStyle="1" w:styleId="840">
    <w:name w:val="Bordered &amp; Lined - Accent 6"/>
    <w:basedOn w:val="698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</w:style>
  <w:style w:type="table" w:customStyle="1" w:styleId="84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842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</w:style>
  <w:style w:type="table" w:customStyle="1" w:styleId="843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</w:style>
  <w:style w:type="table" w:customStyle="1" w:styleId="844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</w:style>
  <w:style w:type="table" w:customStyle="1" w:styleId="845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</w:style>
  <w:style w:type="table" w:customStyle="1" w:styleId="846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C2E5" w:themeColor="accent5" w:sz="12" w:space="0"/>
        </w:tcBorders>
      </w:tcPr>
    </w:tblStylePr>
  </w:style>
  <w:style w:type="table" w:customStyle="1" w:styleId="847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LibreOffice/7.5.2.1$Linux_X86_64 LibreOffice_project/50$Build-1</Application>
  <AppVersion>15.0000</AppVersion>
  <Pages>7</Pages>
  <Words>2371</Words>
  <Characters>17056</Characters>
  <CharactersWithSpaces>19419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Базин Дмитрий</dc:creator>
  <dc:description/>
  <dc:language>ru-RU</dc:language>
  <cp:lastModifiedBy/>
  <cp:lastPrinted>2026-07-13T10:30:41Z</cp:lastPrinted>
  <dcterms:modified xsi:type="dcterms:W3CDTF">2026-07-22T10:58:26Z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