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ДОГОВОР №    </w:t>
      </w:r>
      <w:r/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поставку </w:t>
      </w:r>
      <w:r>
        <w:rPr>
          <w:sz w:val="22"/>
          <w:szCs w:val="22"/>
        </w:rPr>
        <w:t xml:space="preserve">оборудования и материалов для системы уличного оповещения</w:t>
      </w:r>
      <w:r/>
    </w:p>
    <w:p>
      <w:pPr>
        <w:pStyle w:val="834"/>
        <w:contextualSpacing w:val="true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ИКЗ 26 1 2130037189213001001 0001 000 0000 244</w:t>
      </w:r>
      <w:r/>
    </w:p>
    <w:p>
      <w:pPr>
        <w:jc w:val="center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г. Чебоксары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«___»</w:t>
      </w:r>
      <w:r>
        <w:rPr>
          <w:sz w:val="22"/>
          <w:szCs w:val="22"/>
          <w:u w:val="single"/>
        </w:rPr>
        <w:t xml:space="preserve">                           </w:t>
      </w:r>
      <w:r>
        <w:rPr>
          <w:sz w:val="22"/>
          <w:szCs w:val="22"/>
        </w:rPr>
        <w:t xml:space="preserve">2026г.  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(г.Чебоксары), именуемое в дальнейшем </w:t>
      </w:r>
      <w:r>
        <w:rPr>
          <w:b/>
          <w:sz w:val="22"/>
          <w:szCs w:val="22"/>
        </w:rPr>
        <w:t xml:space="preserve">Заказчик</w:t>
      </w:r>
      <w:r>
        <w:rPr>
          <w:sz w:val="22"/>
          <w:szCs w:val="22"/>
        </w:rPr>
        <w:t xml:space="preserve">, в лице заместителя главного врача по финансово – экономическим вопросам и закупкам Деверинского Андрея Николаевича, действующего на основании приказа № 72 от 27.02.2026, с одной стороны, и ___________________________________, именуемый в дальнейшем </w:t>
      </w:r>
      <w:r>
        <w:rPr>
          <w:b/>
          <w:sz w:val="22"/>
          <w:szCs w:val="22"/>
        </w:rPr>
        <w:t xml:space="preserve">Поставщик, </w:t>
      </w:r>
      <w:r>
        <w:rPr>
          <w:sz w:val="22"/>
          <w:szCs w:val="22"/>
        </w:rPr>
        <w:t xml:space="preserve">в лице ________________________________, действующего на основании _______________, с другой стороны, далее именуемые Стороны, заключили настоящий Договор о нижеследующем:</w:t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I. Предмет Договора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1.1. Поставщик обязуется поставить </w:t>
      </w:r>
      <w:r>
        <w:rPr>
          <w:sz w:val="22"/>
          <w:szCs w:val="22"/>
        </w:rPr>
        <w:t xml:space="preserve">оборудовани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и материал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для системы уличного оповещения</w:t>
      </w:r>
      <w:r>
        <w:rPr>
          <w:sz w:val="22"/>
          <w:szCs w:val="22"/>
        </w:rPr>
        <w:t xml:space="preserve"> (далее - Товар), а Заказчик обязуется принять и оплатить Товар в порядке и на условиях, предусмотренных Договором.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1.2. Наименование, количество и иные характеристики поставляемого Товара указаны в спецификации (приложение к Договору), являющейся неотъемлемой частью Договора.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Цена Договора и порядок расчетов</w:t>
      </w:r>
      <w:r/>
    </w:p>
    <w:p>
      <w:pPr>
        <w:contextualSpacing w:val="true"/>
        <w:ind w:firstLine="708"/>
        <w:spacing w:lineRule="auto" w:line="240" w:after="120"/>
        <w:rPr>
          <w:sz w:val="22"/>
          <w:szCs w:val="22"/>
        </w:rPr>
        <w:outlineLvl w:val="0"/>
      </w:pPr>
      <w:r/>
      <w:bookmarkStart w:id="0" w:name="Par22"/>
      <w:r/>
      <w:bookmarkEnd w:id="0"/>
      <w:r>
        <w:rPr>
          <w:sz w:val="22"/>
          <w:szCs w:val="22"/>
        </w:rPr>
        <w:t xml:space="preserve">2.1. Цена Договора составляет </w:t>
      </w:r>
      <w:r>
        <w:rPr>
          <w:b/>
          <w:sz w:val="22"/>
          <w:szCs w:val="22"/>
        </w:rPr>
        <w:t xml:space="preserve">______________ (_____________________________) руб. ___ коп</w:t>
      </w:r>
      <w:r>
        <w:rPr>
          <w:sz w:val="22"/>
          <w:szCs w:val="22"/>
        </w:rPr>
        <w:t xml:space="preserve">, в том числе НДС ___ % (______________)/НДС не облагается.</w:t>
      </w:r>
      <w:r/>
    </w:p>
    <w:p>
      <w:pPr>
        <w:contextualSpacing w:val="true"/>
        <w:ind w:firstLine="708"/>
        <w:spacing w:lineRule="auto" w:line="240" w:after="120"/>
        <w:rPr>
          <w:sz w:val="22"/>
          <w:szCs w:val="22"/>
        </w:rPr>
        <w:outlineLvl w:val="0"/>
      </w:pPr>
      <w:r>
        <w:rPr>
          <w:sz w:val="22"/>
          <w:szCs w:val="22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</w:t>
      </w:r>
      <w:r>
        <w:rPr>
          <w:sz w:val="22"/>
          <w:szCs w:val="22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1" w:name="Par40"/>
      <w:r/>
      <w:bookmarkEnd w:id="1"/>
      <w:r/>
      <w:r/>
    </w:p>
    <w:p>
      <w:pPr>
        <w:contextualSpacing w:val="true"/>
        <w:ind w:firstLine="708"/>
        <w:spacing w:lineRule="auto" w:line="240" w:after="120"/>
        <w:rPr>
          <w:sz w:val="22"/>
          <w:szCs w:val="22"/>
        </w:rPr>
        <w:outlineLvl w:val="0"/>
      </w:pPr>
      <w:r>
        <w:rPr>
          <w:sz w:val="22"/>
          <w:szCs w:val="22"/>
        </w:rPr>
        <w:t xml:space="preserve">2.3. Цена Договора включает в себя стоимость Товара, расходы, связ</w:t>
      </w:r>
      <w:r>
        <w:rPr>
          <w:sz w:val="22"/>
          <w:szCs w:val="22"/>
        </w:rPr>
        <w:t xml:space="preserve">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" w:name="Par41"/>
      <w:r/>
      <w:bookmarkEnd w:id="2"/>
      <w:r>
        <w:rPr>
          <w:sz w:val="22"/>
          <w:szCs w:val="22"/>
        </w:rPr>
        <w:t xml:space="preserve">2.4. Цена Договора является твердой и опр</w:t>
      </w:r>
      <w:r>
        <w:rPr>
          <w:sz w:val="22"/>
          <w:szCs w:val="22"/>
        </w:rPr>
        <w:t xml:space="preserve">еделяется на весь срок исполнения Договора, за исключением случаев, установленных Федеральным законом от 5 апреля 2013 г. N 44-ФЗ "О Договорной системе в сфере закупок товаров, работ, услуг для обеспечения государственных и муниципальных нужд" и Договором.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" w:name="Par42"/>
      <w:r/>
      <w:bookmarkEnd w:id="3"/>
      <w:r>
        <w:rPr>
          <w:sz w:val="22"/>
          <w:szCs w:val="22"/>
        </w:rPr>
        <w:t xml:space="preserve">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2.5. </w:t>
      </w:r>
      <w:bookmarkStart w:id="4" w:name="Par57"/>
      <w:r/>
      <w:bookmarkEnd w:id="4"/>
      <w:r>
        <w:rPr>
          <w:sz w:val="22"/>
          <w:szCs w:val="22"/>
        </w:rPr>
        <w:t xml:space="preserve">Расчеты между Заказчиком и Поставщиком производятся не позднее 7 (семь) рабочих дней с даты подписания Заказчиком документов о приемке Товара.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2.6. Оплата </w:t>
      </w:r>
      <w:r>
        <w:rPr>
          <w:sz w:val="22"/>
          <w:szCs w:val="22"/>
        </w:rPr>
        <w:t xml:space="preserve">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в трехдневный срок с момента и</w:t>
      </w:r>
      <w:r>
        <w:rPr>
          <w:sz w:val="22"/>
          <w:szCs w:val="22"/>
        </w:rPr>
        <w:t xml:space="preserve">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/>
      <w:bookmarkStart w:id="5" w:name="Par59"/>
      <w:r/>
      <w:bookmarkEnd w:id="5"/>
      <w:r>
        <w:rPr>
          <w:b/>
          <w:sz w:val="22"/>
          <w:szCs w:val="22"/>
        </w:rPr>
        <w:t xml:space="preserve">III. Порядок, сроки и условия поставки и приемки Товара</w:t>
      </w:r>
      <w:r>
        <w:rPr>
          <w:sz w:val="22"/>
          <w:szCs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/>
      <w:bookmarkStart w:id="6" w:name="Par62"/>
      <w:r/>
      <w:bookmarkEnd w:id="6"/>
      <w:r>
        <w:rPr>
          <w:sz w:val="22"/>
          <w:szCs w:val="22"/>
        </w:rPr>
        <w:t xml:space="preserve">3.1. Поставщик самостоятельно доставляет Товар Заказчику по адресу: 428020, г. Чебоксары, улица Фёдора Гладкова, д. 33 (далее - место доставки), в течение 30 рабочих дней со дня заключения Договора. </w:t>
      </w:r>
      <w:r/>
    </w:p>
    <w:p>
      <w:pPr>
        <w:spacing w:lineRule="auto" w:line="240"/>
        <w:rPr>
          <w:sz w:val="22"/>
          <w:szCs w:val="22"/>
        </w:rPr>
      </w:pPr>
      <w:r/>
      <w:bookmarkStart w:id="7" w:name="Par64"/>
      <w:r/>
      <w:bookmarkStart w:id="8" w:name="Par67"/>
      <w:r/>
      <w:bookmarkEnd w:id="7"/>
      <w:r/>
      <w:bookmarkEnd w:id="8"/>
      <w:r>
        <w:rPr>
          <w:sz w:val="22"/>
          <w:szCs w:val="22"/>
        </w:rPr>
        <w:t xml:space="preserve">        3.2. Приемка Товара осуществляется путем пе</w:t>
      </w:r>
      <w:r>
        <w:rPr>
          <w:sz w:val="22"/>
          <w:szCs w:val="22"/>
        </w:rPr>
        <w:t xml:space="preserve">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3.5. Для проверки предостав</w:t>
      </w:r>
      <w:r>
        <w:rPr>
          <w:sz w:val="22"/>
          <w:szCs w:val="22"/>
        </w:rPr>
        <w:t xml:space="preserve">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</w:t>
      </w:r>
      <w:r>
        <w:rPr>
          <w:sz w:val="22"/>
          <w:szCs w:val="22"/>
        </w:rPr>
        <w:t xml:space="preserve">екаться эксперты, экспертные организации на основании Договоров, заключенных в соответствии с Федеральным законом от 5 апреля 2013 г. N 44-ФЗ "О Договорной системе в сфере закупок товаров, работ, услуг для обеспечения государственных и муниципальных нужд".</w:t>
      </w:r>
      <w:r/>
    </w:p>
    <w:p>
      <w:pPr>
        <w:ind w:firstLine="567"/>
        <w:spacing w:lineRule="exact" w:line="240"/>
        <w:rPr>
          <w:sz w:val="22"/>
          <w:szCs w:val="22"/>
        </w:rPr>
      </w:pPr>
      <w:r/>
      <w:bookmarkStart w:id="9" w:name="Par71"/>
      <w:r/>
      <w:bookmarkEnd w:id="9"/>
      <w:r>
        <w:rPr>
          <w:sz w:val="22"/>
          <w:szCs w:val="22"/>
        </w:rPr>
        <w:t xml:space="preserve">3.6. При </w:t>
      </w:r>
      <w:r>
        <w:rPr>
          <w:color w:val="0D0D0D" w:themeColor="text1" w:themeTint="F2"/>
          <w:sz w:val="22"/>
          <w:szCs w:val="22"/>
        </w:rPr>
        <w:t xml:space="preserve">отсутствии у Заказчика претензий по количеству и качеству поставленного Товара Заказчик в течение 20 (двадцать)</w:t>
      </w:r>
      <w:r>
        <w:rPr>
          <w:sz w:val="22"/>
          <w:szCs w:val="22"/>
        </w:rPr>
        <w:t xml:space="preserve"> дней с момента доставки Товара Поставщиком подписывает документ о приемке товара.  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3.7. При в</w:t>
      </w:r>
      <w:r>
        <w:rPr>
          <w:sz w:val="22"/>
          <w:szCs w:val="22"/>
        </w:rPr>
        <w:t xml:space="preserve">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</w:t>
      </w:r>
      <w:r>
        <w:rPr>
          <w:sz w:val="22"/>
          <w:szCs w:val="22"/>
        </w:rPr>
        <w:t xml:space="preserve">ержимого и т.д.), препятствующих его приемке, Заказчик в срок, установленный в пункте 3.6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3.8. Во всех случаях, влекущих возврат Товара Поставщику, Заказчик обязан обеспечить сохранность этого Товара до моме</w:t>
      </w:r>
      <w:r>
        <w:rPr>
          <w:sz w:val="22"/>
          <w:szCs w:val="22"/>
        </w:rPr>
        <w:t xml:space="preserve">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3.6 Договора.</w:t>
      </w:r>
      <w:r/>
    </w:p>
    <w:p>
      <w:pPr>
        <w:contextualSpacing w:val="true"/>
        <w:ind w:firstLine="539"/>
        <w:jc w:val="center"/>
        <w:spacing w:lineRule="auto" w:line="240" w:before="22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contextualSpacing w:val="true"/>
        <w:ind w:firstLine="539"/>
        <w:jc w:val="center"/>
        <w:spacing w:lineRule="auto" w:line="240" w:before="220"/>
        <w:rPr>
          <w:sz w:val="22"/>
          <w:szCs w:val="22"/>
        </w:rPr>
      </w:pPr>
      <w:r>
        <w:rPr>
          <w:b/>
          <w:sz w:val="22"/>
          <w:szCs w:val="22"/>
        </w:rPr>
        <w:t xml:space="preserve">IV. Взаимодействие Сторон</w:t>
      </w:r>
      <w:r/>
    </w:p>
    <w:p>
      <w:pPr>
        <w:contextualSpacing w:val="true"/>
        <w:ind w:firstLine="540"/>
        <w:spacing w:lineRule="auto" w:line="240"/>
        <w:rPr>
          <w:sz w:val="22"/>
          <w:szCs w:val="22"/>
        </w:rPr>
      </w:pPr>
      <w:r/>
      <w:bookmarkStart w:id="10" w:name="Par79"/>
      <w:r/>
      <w:bookmarkEnd w:id="10"/>
      <w:r>
        <w:rPr>
          <w:sz w:val="22"/>
          <w:szCs w:val="22"/>
        </w:rPr>
        <w:t xml:space="preserve">4.1. Поставщик обязан: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4.1.1. поставить Товар в порядке, количестве, в срок и на условиях, предусмотренных Договором и спецификацией;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11" w:name="Par81"/>
      <w:r/>
      <w:bookmarkEnd w:id="11"/>
      <w:r>
        <w:rPr>
          <w:sz w:val="22"/>
          <w:szCs w:val="22"/>
        </w:rPr>
        <w:t xml:space="preserve">4.1.2. обеспечить соответствие поставляемо</w:t>
      </w:r>
      <w:r>
        <w:rPr>
          <w:sz w:val="22"/>
          <w:szCs w:val="22"/>
        </w:rPr>
        <w:t xml:space="preserve">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12" w:name="Par84"/>
      <w:r/>
      <w:bookmarkStart w:id="13" w:name="Par86"/>
      <w:r/>
      <w:bookmarkStart w:id="14" w:name="Par87"/>
      <w:r/>
      <w:bookmarkEnd w:id="12"/>
      <w:r/>
      <w:bookmarkEnd w:id="13"/>
      <w:r/>
      <w:bookmarkEnd w:id="14"/>
      <w:r>
        <w:rPr>
          <w:sz w:val="22"/>
          <w:szCs w:val="22"/>
        </w:rPr>
        <w:t xml:space="preserve">4.1.4</w:t>
      </w:r>
      <w:r>
        <w:rPr>
          <w:sz w:val="22"/>
          <w:szCs w:val="22"/>
        </w:rPr>
        <w:t xml:space="preserve">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15" w:name="Par89"/>
      <w:r/>
      <w:bookmarkStart w:id="16" w:name="Par90"/>
      <w:r/>
      <w:bookmarkStart w:id="17" w:name="Par93"/>
      <w:r/>
      <w:bookmarkStart w:id="18" w:name="Par94"/>
      <w:r/>
      <w:bookmarkStart w:id="19" w:name="Par97"/>
      <w:r/>
      <w:bookmarkEnd w:id="15"/>
      <w:r/>
      <w:bookmarkEnd w:id="16"/>
      <w:r/>
      <w:bookmarkEnd w:id="17"/>
      <w:r/>
      <w:bookmarkEnd w:id="18"/>
      <w:r/>
      <w:bookmarkEnd w:id="19"/>
      <w:r>
        <w:rPr>
          <w:sz w:val="22"/>
          <w:szCs w:val="22"/>
        </w:rPr>
        <w:t xml:space="preserve">4.2. Поставщик вправе: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4.2.1. требовать от Заказчика произвести приемку Товара в порядке и в сроки, предусмотренные Договором;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0" w:name="Par100"/>
      <w:r/>
      <w:bookmarkEnd w:id="20"/>
      <w:r>
        <w:rPr>
          <w:sz w:val="22"/>
          <w:szCs w:val="22"/>
        </w:rP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1" w:name="Par101"/>
      <w:r/>
      <w:bookmarkEnd w:id="21"/>
      <w:r>
        <w:rPr>
          <w:sz w:val="22"/>
          <w:szCs w:val="22"/>
        </w:rPr>
        <w:t xml:space="preserve">4.2.3. требовать возмещения убытков, уплаты неустоек (штрафов, пеней) в соответствии с разделом VI Договора;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2" w:name="Par103"/>
      <w:r/>
      <w:bookmarkEnd w:id="22"/>
      <w:r>
        <w:rPr>
          <w:sz w:val="22"/>
          <w:szCs w:val="22"/>
        </w:rPr>
        <w:t xml:space="preserve">4.3. Заказчик обязуется: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Договором; </w:t>
      </w:r>
      <w:bookmarkStart w:id="23" w:name="Par107"/>
      <w:r/>
      <w:bookmarkEnd w:id="23"/>
      <w:r/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4.3.2. требовать уплаты неустоек (штрафов, пеней) в соответствии с разделом VI Договора;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4.3.3. провести экс</w:t>
      </w:r>
      <w:r>
        <w:rPr>
          <w:sz w:val="22"/>
          <w:szCs w:val="22"/>
        </w:rPr>
        <w:t xml:space="preserve">пертизу поставленного Товара для проверки его соответствия условиям Договора в соответствии с Федеральным законом от 5 апреля 2013 г. N 44-ФЗ "О Договорной системе в сфере закупок товаров, работ, услуг для обеспечения государственных и муниципальных нужд".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4" w:name="Par111"/>
      <w:r/>
      <w:bookmarkEnd w:id="24"/>
      <w:r>
        <w:rPr>
          <w:sz w:val="22"/>
          <w:szCs w:val="22"/>
        </w:rPr>
        <w:t xml:space="preserve">4.4. Заказчик вправе: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4.4.1. требовать от Поставщика надлежащего исполнения обязательств по Договору;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4.4.2. требовать от Поставщика своевременного устранения недостатков, выявленных как в ходе приемки;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4.4.4. требовать возмещения убытков в соответствии с разделом VI Договора, причиненных по вине Поставщика;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5" w:name="Par116"/>
      <w:r/>
      <w:bookmarkEnd w:id="25"/>
      <w:r>
        <w:rPr>
          <w:sz w:val="22"/>
          <w:szCs w:val="22"/>
        </w:rPr>
        <w:t xml:space="preserve">4.4.5. предложить увеличить или уменьшить в процессе исполнения Договора количество Товара, предусмотренного Договором, не </w:t>
      </w:r>
      <w:r>
        <w:rPr>
          <w:sz w:val="22"/>
          <w:szCs w:val="22"/>
        </w:rPr>
        <w:t xml:space="preserve">более чем на десять процентов в порядке и на условиях, установленных Федеральным законом от 5 апреля 2013 г. N 44-ФЗ "О Договорной системе в сфере закупок товаров, работ, услуг для обеспечения государственных и муниципальных нужд";                        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4.4.6. отказаться от приемки и оплаты Товара, не соответствующего условиям Договора;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6" w:name="Par118"/>
      <w:r/>
      <w:bookmarkEnd w:id="26"/>
      <w:r>
        <w:rPr>
          <w:sz w:val="22"/>
          <w:szCs w:val="22"/>
        </w:rPr>
        <w:t xml:space="preserve">4.4.7. принять решение об одностороннем отказе от исполнения Договора в соответствии с гражданским законодательством;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7" w:name="Par119"/>
      <w:r/>
      <w:bookmarkEnd w:id="27"/>
      <w:r>
        <w:rPr>
          <w:sz w:val="22"/>
          <w:szCs w:val="22"/>
        </w:rPr>
        <w:t xml:space="preserve">4.4.8. до принятия решения об одностороннем отказе от исполнения Договора провести экспертизу поставленного Товара с привлечением экспертов, экспертных организаций. </w:t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V. Качество Товара</w:t>
      </w:r>
      <w:r/>
    </w:p>
    <w:p>
      <w:pPr>
        <w:contextualSpacing w:val="true"/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5.1. Поставщик гарантирует, что поставляемый Товар соответствует требованиям, установленным Договором.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5.3. Товар должен быть упакован и замаркирован в соответствии с действующими стандартами.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Поставщик поставляет Товар в у</w:t>
      </w:r>
      <w:r>
        <w:rPr>
          <w:sz w:val="22"/>
          <w:szCs w:val="22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/>
    </w:p>
    <w:p>
      <w:pPr>
        <w:contextualSpacing w:val="true"/>
        <w:ind w:firstLine="540"/>
        <w:spacing w:lineRule="auto" w:line="240" w:before="220"/>
      </w:pPr>
      <w:r>
        <w:rPr>
          <w:sz w:val="22"/>
          <w:szCs w:val="22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/>
      <w:bookmarkStart w:id="28" w:name="Par132"/>
      <w:r/>
      <w:bookmarkStart w:id="29" w:name="Par128"/>
      <w:r/>
      <w:bookmarkStart w:id="30" w:name="Par129"/>
      <w:r/>
      <w:bookmarkEnd w:id="28"/>
      <w:r/>
      <w:bookmarkEnd w:id="29"/>
      <w:r/>
      <w:bookmarkEnd w:id="30"/>
      <w:r>
        <w:rPr>
          <w:b/>
          <w:sz w:val="22"/>
          <w:szCs w:val="22"/>
        </w:rPr>
        <w:t xml:space="preserve">VI. Ответственность Сторон</w:t>
      </w:r>
      <w:r>
        <w:rPr>
          <w:sz w:val="22"/>
          <w:szCs w:val="22"/>
        </w:rPr>
        <w:t xml:space="preserve"> </w:t>
      </w:r>
      <w:r/>
    </w:p>
    <w:p>
      <w:pPr>
        <w:contextualSpacing w:val="true"/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6.1.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1" w:name="Par136"/>
      <w:r/>
      <w:bookmarkEnd w:id="31"/>
      <w:r>
        <w:rPr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Договором, Поставщик уплачивает Заказчику пени. Пеня начисляется за каждый день просрочки исполнения Поставщи</w:t>
      </w:r>
      <w:r>
        <w:rPr>
          <w:sz w:val="22"/>
          <w:szCs w:val="22"/>
        </w:rPr>
        <w:t xml:space="preserve">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пени составляет одна трехсотая действующей на дату уплаты пени ключевой ставки Центрального банка </w:t>
      </w:r>
      <w:r>
        <w:rPr>
          <w:sz w:val="22"/>
          <w:szCs w:val="22"/>
        </w:rPr>
        <w:t xml:space="preserve">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Поставщиком.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6.4. За каждый факт неи</w:t>
      </w:r>
      <w:r>
        <w:rPr>
          <w:sz w:val="22"/>
          <w:szCs w:val="22"/>
        </w:rPr>
        <w:t xml:space="preserve">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Договором, Поставщик уплачивает Заказчику штр</w:t>
      </w:r>
      <w:r>
        <w:rPr>
          <w:sz w:val="22"/>
          <w:szCs w:val="22"/>
        </w:rPr>
        <w:t xml:space="preserve">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</w:t>
      </w:r>
      <w:r>
        <w:rPr>
          <w:sz w:val="22"/>
          <w:szCs w:val="22"/>
        </w:rPr>
        <w:t xml:space="preserve">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2017г. N1042  (далее - Правила), и составляет 10% цены Договора.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2" w:name="Par138"/>
      <w:r/>
      <w:bookmarkEnd w:id="32"/>
      <w:r>
        <w:rPr>
          <w:sz w:val="22"/>
          <w:szCs w:val="22"/>
        </w:rPr>
        <w:t xml:space="preserve">6.5. За каждый факт</w:t>
      </w:r>
      <w:r>
        <w:rPr>
          <w:sz w:val="22"/>
          <w:szCs w:val="22"/>
        </w:rPr>
        <w:t xml:space="preserve">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уплачивает Заказчику штраф. Размер штрафа определяется в соответствии с Правилами и составляет 5000 рублей.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3" w:name="Par139"/>
      <w:r/>
      <w:bookmarkStart w:id="34" w:name="Par140"/>
      <w:r/>
      <w:bookmarkEnd w:id="33"/>
      <w:r/>
      <w:bookmarkEnd w:id="34"/>
      <w:r>
        <w:rPr>
          <w:sz w:val="22"/>
          <w:szCs w:val="22"/>
        </w:rPr>
        <w:t xml:space="preserve">6.6. В случае просрочки исполнения Заказчиком обязательств, предусмотренных Договором, Поставщик вправе потребовать уплату пени в размере одной трехсотой действующей на дату уплаты </w:t>
      </w:r>
      <w:r>
        <w:rPr>
          <w:sz w:val="22"/>
          <w:szCs w:val="22"/>
        </w:rPr>
        <w:t xml:space="preserve">пеней ключевой ставки Центрального б</w:t>
      </w:r>
      <w:r>
        <w:rPr>
          <w:sz w:val="22"/>
          <w:szCs w:val="22"/>
        </w:rPr>
        <w:t xml:space="preserve">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6.7. За каждый факт неисполне</w:t>
      </w:r>
      <w:r>
        <w:rPr>
          <w:sz w:val="22"/>
          <w:szCs w:val="22"/>
        </w:rPr>
        <w:t xml:space="preserve">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потребовать уплату штрафа. Размер штрафа определяется в соответствии с Правилами и составляет 5000 рублей.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5" w:name="Par143"/>
      <w:r/>
      <w:bookmarkEnd w:id="35"/>
      <w:r>
        <w:rPr>
          <w:sz w:val="22"/>
          <w:szCs w:val="22"/>
        </w:rPr>
        <w:t xml:space="preserve">6.8. Применение неустойки (штрафа, пени) не освобождает Стороны от исполнения обязательств по Договору.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6.9. Общая сумма начисленных штрафов за неисполнение или ненадлежащее исполнение сторонами обязательств, предусмотренных Договором, не может превышать цену Договора.</w:t>
      </w:r>
      <w:r/>
    </w:p>
    <w:p>
      <w:pPr>
        <w:contextualSpacing w:val="true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/>
      <w:bookmarkStart w:id="36" w:name="Par182"/>
      <w:r/>
      <w:bookmarkEnd w:id="36"/>
      <w:r>
        <w:rPr>
          <w:b/>
          <w:sz w:val="22"/>
          <w:szCs w:val="22"/>
          <w:lang w:val="en-US"/>
        </w:rPr>
        <w:t xml:space="preserve">IIV</w:t>
      </w:r>
      <w:r>
        <w:rPr>
          <w:b/>
          <w:sz w:val="22"/>
          <w:szCs w:val="22"/>
        </w:rPr>
        <w:t xml:space="preserve">. Исключительные права</w:t>
      </w:r>
      <w:r>
        <w:rPr>
          <w:sz w:val="22"/>
          <w:szCs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7.1. Поставщик гарантирует отсутствие нарушения исключительных прав третьих лиц, связанных с поставкой и использованием Товара.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7.2. Все убытки, понесенные Заказчиком в случае нарушения исключительных прав третьих лиц на результаты интеллектуа</w:t>
      </w:r>
      <w:r>
        <w:rPr>
          <w:sz w:val="22"/>
          <w:szCs w:val="22"/>
        </w:rPr>
        <w:t xml:space="preserve">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  <w:lang w:val="en-US"/>
        </w:rPr>
        <w:t xml:space="preserve">IIIV</w:t>
      </w:r>
      <w:r>
        <w:rPr>
          <w:b/>
          <w:sz w:val="22"/>
          <w:szCs w:val="22"/>
        </w:rPr>
        <w:t xml:space="preserve">. Обстоятельства непреодолимой силы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8.2. В случае если надлежащее исполнение Стороной предусмотренных Договором обязательств </w:t>
      </w:r>
      <w:r>
        <w:rPr>
          <w:sz w:val="22"/>
          <w:szCs w:val="22"/>
        </w:rPr>
        <w:t xml:space="preserve">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  <w:lang w:val="en-US"/>
        </w:rPr>
        <w:t xml:space="preserve">I</w:t>
      </w:r>
      <w:r>
        <w:rPr>
          <w:b/>
          <w:sz w:val="22"/>
          <w:szCs w:val="22"/>
        </w:rPr>
        <w:t xml:space="preserve">X. Рассмотрение и разрешение споров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9.1.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9.2. Претензия оформляется в письменной форме. В претензии перечисляются д</w:t>
      </w:r>
      <w:r>
        <w:rPr>
          <w:sz w:val="22"/>
          <w:szCs w:val="22"/>
        </w:rPr>
        <w:t xml:space="preserve">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9.3. Срок рассмотрения претензии не может превышать 5 (пять)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9.4. При не урегулировании Сторонами спора в досудебном порядке, спор разрешается в судебном порядке в Арбитражном суде Чувашской Республики.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X. Срок действия и порядок расторжения Договора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10</w:t>
      </w:r>
      <w:r>
        <w:rPr>
          <w:sz w:val="22"/>
          <w:szCs w:val="22"/>
        </w:rPr>
        <w:t xml:space="preserve">.1. Договор вступает в силу с момента его подписания обеими Сторонами и действует по 31 декабря 2026 г. 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 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10.2.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XI. Прочие положения</w:t>
      </w:r>
      <w:r>
        <w:rPr>
          <w:sz w:val="22"/>
          <w:szCs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11.1. Во всем, что не предусмотрено Договором, Стороны руководствуются законодательством Российской Федерации.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11.4. Изменение условий Д</w:t>
      </w:r>
      <w:r>
        <w:rPr>
          <w:sz w:val="22"/>
          <w:szCs w:val="22"/>
        </w:rPr>
        <w:t xml:space="preserve">оговора при его исполнении не допускается, за исключением случаев, предусмотренных статьей 95 Федерального закона от 5 апреля 2013 г. N 44-ФЗ "О Договорной системе в сфере закупок товаров, работ, услуг для обеспечения государственных и муниципальных нужд".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/>
      <w:bookmarkStart w:id="37" w:name="Par215"/>
      <w:r/>
      <w:bookmarkEnd w:id="37"/>
      <w:r>
        <w:rPr>
          <w:sz w:val="22"/>
          <w:szCs w:val="22"/>
        </w:rPr>
        <w:t xml:space="preserve">11.7. Договор составлен в  экземплярах, по одному для каждой из сторон.</w:t>
      </w:r>
      <w:r/>
    </w:p>
    <w:p>
      <w:pPr>
        <w:contextualSpacing w:val="true"/>
        <w:ind w:firstLine="539"/>
        <w:jc w:val="center"/>
        <w:spacing w:lineRule="auto" w:line="240" w:before="220"/>
        <w:rPr>
          <w:sz w:val="22"/>
          <w:szCs w:val="22"/>
        </w:rPr>
      </w:pPr>
      <w:r>
        <w:rPr>
          <w:b/>
          <w:sz w:val="22"/>
          <w:szCs w:val="22"/>
        </w:rPr>
        <w:t xml:space="preserve">XI</w:t>
      </w:r>
      <w:r>
        <w:rPr>
          <w:b/>
          <w:sz w:val="22"/>
          <w:szCs w:val="22"/>
          <w:lang w:val="en-US"/>
        </w:rPr>
        <w:t xml:space="preserve">I</w:t>
      </w:r>
      <w:r>
        <w:rPr>
          <w:b/>
          <w:sz w:val="22"/>
          <w:szCs w:val="22"/>
        </w:rPr>
        <w:t xml:space="preserve">. Перечень приложений</w:t>
      </w:r>
      <w:r/>
    </w:p>
    <w:p>
      <w:pPr>
        <w:contextualSpacing w:val="true"/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12.1. Неотъемлемой частью Договора является следующее приложение: спецификация.</w:t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/>
      <w:bookmarkStart w:id="38" w:name="Par221"/>
      <w:r/>
      <w:bookmarkStart w:id="39" w:name="Par224"/>
      <w:r/>
      <w:bookmarkStart w:id="40" w:name="Par227"/>
      <w:r/>
      <w:bookmarkEnd w:id="38"/>
      <w:r/>
      <w:bookmarkEnd w:id="39"/>
      <w:r/>
      <w:bookmarkEnd w:id="40"/>
      <w:r/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X</w:t>
      </w:r>
      <w:r>
        <w:rPr>
          <w:b/>
          <w:sz w:val="22"/>
          <w:szCs w:val="22"/>
          <w:lang w:val="en-US"/>
        </w:rPr>
        <w:t xml:space="preserve">III</w:t>
      </w:r>
      <w:r>
        <w:rPr>
          <w:b/>
          <w:sz w:val="22"/>
          <w:szCs w:val="22"/>
        </w:rPr>
        <w:t xml:space="preserve">. Адреса и банковские реквизиты Сторон</w:t>
      </w:r>
      <w:r/>
    </w:p>
    <w:p>
      <w:pPr>
        <w:pStyle w:val="831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Заказчик: </w:t>
      </w:r>
      <w:r>
        <w:rPr>
          <w:sz w:val="22"/>
          <w:szCs w:val="22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Чебоксары)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ИНН </w:t>
      </w:r>
      <w:r>
        <w:rPr>
          <w:sz w:val="22"/>
          <w:szCs w:val="22"/>
        </w:rPr>
        <w:t xml:space="preserve">2130037189</w:t>
      </w:r>
      <w:r>
        <w:rPr>
          <w:b/>
          <w:bCs/>
          <w:sz w:val="22"/>
          <w:szCs w:val="22"/>
        </w:rPr>
        <w:t xml:space="preserve"> КПП </w:t>
      </w:r>
      <w:r>
        <w:rPr>
          <w:sz w:val="22"/>
          <w:szCs w:val="22"/>
        </w:rPr>
        <w:t xml:space="preserve">213001001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Юридический адрес:</w:t>
      </w:r>
      <w:r>
        <w:rPr>
          <w:sz w:val="22"/>
          <w:szCs w:val="22"/>
        </w:rPr>
        <w:t xml:space="preserve"> 428020, Чувашская Республика, г. Чебоксары, улица Фёдора Гладкова, д. 33.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Фактический адрес:</w:t>
      </w:r>
      <w:r>
        <w:rPr>
          <w:sz w:val="22"/>
          <w:szCs w:val="22"/>
        </w:rPr>
        <w:t xml:space="preserve"> 428020, Чувашская Республика, г. Чебоксары, улица Фёдора Гладкова, д. 33.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Реквизиты счета</w:t>
      </w:r>
      <w:r>
        <w:rPr>
          <w:sz w:val="22"/>
          <w:szCs w:val="22"/>
        </w:rPr>
        <w:t xml:space="preserve">: Получатель:</w:t>
      </w:r>
      <w:r>
        <w:rPr>
          <w:b/>
          <w:bCs/>
          <w:sz w:val="22"/>
          <w:szCs w:val="22"/>
        </w:rPr>
        <w:t xml:space="preserve"> </w:t>
      </w:r>
      <w:r>
        <w:rPr>
          <w:sz w:val="22"/>
          <w:szCs w:val="22"/>
        </w:rPr>
        <w:t xml:space="preserve">УФК по Нижегородской области (ФГБУ "ФЦТОЭ" Минздрава России (г. Чебоксары),</w:t>
      </w:r>
      <w:r>
        <w:rPr>
          <w:b/>
          <w:bCs/>
          <w:sz w:val="22"/>
          <w:szCs w:val="22"/>
        </w:rPr>
        <w:t xml:space="preserve"> </w:t>
      </w:r>
      <w:r>
        <w:rPr>
          <w:sz w:val="22"/>
          <w:szCs w:val="22"/>
        </w:rPr>
        <w:t xml:space="preserve"> л/с 20156У38970).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Казначейский счет: 03214643000000013201,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Банк получателя:</w:t>
      </w:r>
      <w:r>
        <w:rPr>
          <w:b/>
          <w:bCs/>
          <w:sz w:val="22"/>
          <w:szCs w:val="22"/>
        </w:rPr>
        <w:t xml:space="preserve"> </w:t>
      </w:r>
      <w:r>
        <w:rPr>
          <w:sz w:val="22"/>
          <w:szCs w:val="22"/>
        </w:rPr>
        <w:t xml:space="preserve">ОКЦ № 1 ВВГУ Банка России//УФК по Нижегородской области, г. Нижний Новгород,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Корреспондентский счет: 40102810745370000024,</w:t>
      </w:r>
      <w:r/>
    </w:p>
    <w:p>
      <w:pPr>
        <w:pStyle w:val="831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БИК: 012202102, Код ТОФК 3200</w:t>
      </w:r>
      <w:r/>
    </w:p>
    <w:p>
      <w:pPr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Поставщик: 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ИНН:  КПП: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Юридический адрес:</w:t>
      </w:r>
      <w:r>
        <w:rPr>
          <w:sz w:val="22"/>
          <w:szCs w:val="22"/>
        </w:rPr>
        <w:t xml:space="preserve">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Почтовый адрес: </w:t>
      </w:r>
      <w:r>
        <w:rPr>
          <w:sz w:val="22"/>
          <w:szCs w:val="22"/>
        </w:rPr>
        <w:t xml:space="preserve">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Телефон    </w:t>
      </w:r>
      <w:r>
        <w:rPr>
          <w:sz w:val="22"/>
          <w:szCs w:val="22"/>
        </w:rPr>
        <w:t xml:space="preserve">, факс: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</w:t>
      </w:r>
      <w:r>
        <w:rPr>
          <w:sz w:val="22"/>
          <w:szCs w:val="22"/>
        </w:rPr>
        <w:t xml:space="preserve">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Банковские реквизиты:</w:t>
      </w:r>
      <w:r>
        <w:rPr>
          <w:sz w:val="22"/>
          <w:szCs w:val="22"/>
        </w:rPr>
        <w:t xml:space="preserve"> р/сч. 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БИК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к/сч. </w:t>
      </w:r>
      <w:r/>
    </w:p>
    <w:p>
      <w:pPr>
        <w:spacing w:lineRule="auto" w:line="24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ОКПО </w:t>
      </w:r>
      <w:r/>
    </w:p>
    <w:p>
      <w:pPr>
        <w:jc w:val="center"/>
        <w:spacing w:lineRule="auto" w:line="240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ПОДПИСИ СТОРОН</w:t>
      </w:r>
      <w:r/>
    </w:p>
    <w:tbl>
      <w:tblPr>
        <w:tblW w:w="102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05"/>
        <w:gridCol w:w="4961"/>
      </w:tblGrid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ЗАКАЗЧИК: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ПОСТАВЩИК: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_________________А.Н. Деверинский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___________________/____________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</w:tbl>
    <w:p>
      <w:pPr>
        <w:jc w:val="right"/>
        <w:spacing w:lineRule="auto" w:line="240"/>
        <w:rPr>
          <w:sz w:val="22"/>
          <w:szCs w:val="22"/>
        </w:rPr>
        <w:outlineLvl w:val="0"/>
      </w:pPr>
      <w:r>
        <w:rPr>
          <w:sz w:val="22"/>
          <w:szCs w:val="22"/>
        </w:rPr>
      </w:r>
      <w:r/>
    </w:p>
    <w:p>
      <w:pPr>
        <w:jc w:val="right"/>
        <w:spacing w:lineRule="auto" w:line="240"/>
        <w:rPr>
          <w:sz w:val="22"/>
          <w:szCs w:val="22"/>
        </w:rPr>
        <w:outlineLvl w:val="0"/>
      </w:pPr>
      <w:r>
        <w:rPr>
          <w:sz w:val="22"/>
          <w:szCs w:val="22"/>
        </w:rPr>
        <w:t xml:space="preserve">Приложение </w:t>
      </w:r>
      <w:r/>
    </w:p>
    <w:p>
      <w:pPr>
        <w:jc w:val="right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/>
    </w:p>
    <w:p>
      <w:pPr>
        <w:jc w:val="right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от ___________ 2026 г. №     </w:t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/>
      <w:bookmarkStart w:id="41" w:name="Par493"/>
      <w:r/>
      <w:bookmarkEnd w:id="41"/>
      <w:r>
        <w:rPr>
          <w:b/>
          <w:sz w:val="22"/>
          <w:szCs w:val="22"/>
        </w:rPr>
        <w:t xml:space="preserve">Спецификация</w:t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на поставку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оборудования и материалов для системы уличного оповещения</w:t>
      </w:r>
      <w:r/>
    </w:p>
    <w:p>
      <w:pPr>
        <w:jc w:val="center"/>
        <w:spacing w:lineRule="auto" w:line="240"/>
        <w:rPr>
          <w:sz w:val="22"/>
          <w:szCs w:val="22"/>
        </w:rPr>
      </w:pPr>
      <w:r/>
      <w:bookmarkStart w:id="42" w:name="_GoBack"/>
      <w:r/>
      <w:bookmarkEnd w:id="42"/>
      <w:r/>
      <w:r/>
    </w:p>
    <w:tbl>
      <w:tblPr>
        <w:tblW w:w="103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3861"/>
        <w:gridCol w:w="708"/>
        <w:gridCol w:w="1417"/>
        <w:gridCol w:w="1145"/>
        <w:gridCol w:w="1163"/>
        <w:gridCol w:w="1522"/>
      </w:tblGrid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товара, конкретные характеристики 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за единицу (руб.), включая НДС </w:t>
            </w:r>
            <w:r>
              <w:rPr>
                <w:i/>
                <w:sz w:val="22"/>
                <w:szCs w:val="22"/>
              </w:rPr>
              <w:t xml:space="preserve">(если облагается)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(руб.), включая НДС </w:t>
            </w:r>
            <w:r>
              <w:rPr>
                <w:i/>
                <w:sz w:val="22"/>
                <w:szCs w:val="22"/>
              </w:rPr>
              <w:t xml:space="preserve">(если облагается)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Торговая марка/</w:t>
            </w:r>
            <w:r/>
          </w:p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 товара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</w:tr>
      <w:tr>
        <w:trPr>
          <w:trHeight w:val="15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Громкоговоритель LPA-50H рупорный 50/25Вт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Микрофон LPA-MIC1 электретный, настольный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Усилитель трансляционный LPA-560MA 3 микр.+ 2</w:t>
            </w:r>
            <w:r/>
          </w:p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лин. входа, 6 зон, 4-16 Ом, 70В, 100В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 КПСЭнг(A)-FRLS 1x2x1,5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280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ИБП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PowerCom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Raptor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RPT</w:t>
            </w:r>
            <w:r>
              <w:rPr>
                <w:sz w:val="22"/>
                <w:szCs w:val="22"/>
              </w:rPr>
              <w:t xml:space="preserve">-2000</w:t>
            </w:r>
            <w:r>
              <w:rPr>
                <w:sz w:val="22"/>
                <w:szCs w:val="22"/>
                <w:lang w:val="en-US"/>
              </w:rPr>
              <w:t xml:space="preserve">AP</w:t>
            </w:r>
            <w:r>
              <w:rPr>
                <w:sz w:val="22"/>
                <w:szCs w:val="22"/>
              </w:rPr>
              <w:t xml:space="preserve"> 1200</w:t>
            </w:r>
            <w:r>
              <w:rPr>
                <w:sz w:val="22"/>
                <w:szCs w:val="22"/>
              </w:rPr>
              <w:t xml:space="preserve">Вт</w:t>
            </w:r>
            <w:r>
              <w:rPr>
                <w:sz w:val="22"/>
                <w:szCs w:val="22"/>
              </w:rPr>
              <w:t xml:space="preserve"> 2000</w:t>
            </w:r>
            <w:r>
              <w:rPr>
                <w:sz w:val="22"/>
                <w:szCs w:val="22"/>
              </w:rPr>
              <w:t xml:space="preserve">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черный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Трос DIN3055 3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Зажим д/стальн. канатов 3мм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Талреп М6 крюк-кольцо DIN1480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Коуш 3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Гофротруба D16 ПНД 16мм с зондом черная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1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Коробка монтажная BYLECTRICA при открытой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разводке 2 ввода IP67, КМ-253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8" w:type="dxa"/>
            <w:vAlign w:val="center"/>
            <w:textDirection w:val="lrTb"/>
            <w:noWrap w:val="false"/>
          </w:tcPr>
          <w:p>
            <w:pPr>
              <w:jc w:val="righ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Всего: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sz="4" w:space="0" w:color="auto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708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Гарантия Поставщика на поставленный товар составляет 12 месяцев. Гарантийный срок начинает исчисляться со дня подписания Сторонами документов о приемке. </w:t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ПОДПИСИ СТОРОН</w:t>
      </w:r>
      <w:r/>
    </w:p>
    <w:tbl>
      <w:tblPr>
        <w:tblW w:w="102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05"/>
        <w:gridCol w:w="4961"/>
      </w:tblGrid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ЗАКАЗЧИК: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ПОСТАВЩИК: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_________________А.Н. Деверинский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___________________/____________</w:t>
            </w:r>
            <w:r/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/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  <w:rPr>
      <w:rFonts w:ascii="Times New Roman" w:hAnsi="Times New Roman" w:cs="Times New Roman" w:eastAsia="Times New Roman"/>
      <w:color w:val="000000"/>
      <w:sz w:val="18"/>
      <w:szCs w:val="20"/>
      <w:lang w:eastAsia="ru-RU"/>
    </w:rPr>
    <w:pPr>
      <w:jc w:val="both"/>
      <w:spacing w:lineRule="atLeast" w:line="360" w:after="0"/>
      <w:widowControl w:val="off"/>
    </w:pPr>
  </w:style>
  <w:style w:type="paragraph" w:styleId="635">
    <w:name w:val="Heading 1"/>
    <w:basedOn w:val="634"/>
    <w:next w:val="634"/>
    <w:link w:val="66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36">
    <w:name w:val="Heading 2"/>
    <w:basedOn w:val="634"/>
    <w:next w:val="634"/>
    <w:link w:val="829"/>
    <w:qFormat/>
    <w:uiPriority w:val="9"/>
    <w:rPr>
      <w:b/>
      <w:i/>
      <w:sz w:val="28"/>
    </w:rPr>
    <w:pPr>
      <w:keepNext/>
      <w:spacing w:after="60" w:before="240"/>
      <w:widowControl/>
      <w:outlineLvl w:val="1"/>
    </w:pPr>
  </w:style>
  <w:style w:type="paragraph" w:styleId="637">
    <w:name w:val="Heading 3"/>
    <w:basedOn w:val="634"/>
    <w:next w:val="634"/>
    <w:link w:val="66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38">
    <w:name w:val="Heading 4"/>
    <w:basedOn w:val="634"/>
    <w:next w:val="634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39">
    <w:name w:val="Heading 5"/>
    <w:basedOn w:val="634"/>
    <w:next w:val="634"/>
    <w:link w:val="66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40">
    <w:name w:val="Heading 6"/>
    <w:basedOn w:val="634"/>
    <w:next w:val="634"/>
    <w:link w:val="66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41">
    <w:name w:val="Heading 7"/>
    <w:basedOn w:val="634"/>
    <w:next w:val="634"/>
    <w:link w:val="6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42">
    <w:name w:val="Heading 8"/>
    <w:basedOn w:val="634"/>
    <w:next w:val="634"/>
    <w:link w:val="66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43">
    <w:name w:val="Heading 9"/>
    <w:basedOn w:val="634"/>
    <w:next w:val="634"/>
    <w:link w:val="67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cs="Arial" w:eastAsia="Arial"/>
      <w:sz w:val="40"/>
      <w:szCs w:val="40"/>
    </w:rPr>
  </w:style>
  <w:style w:type="character" w:styleId="648" w:customStyle="1">
    <w:name w:val="Heading 3 Char"/>
    <w:basedOn w:val="644"/>
    <w:uiPriority w:val="9"/>
    <w:rPr>
      <w:rFonts w:ascii="Arial" w:hAnsi="Arial" w:cs="Arial" w:eastAsia="Arial"/>
      <w:sz w:val="30"/>
      <w:szCs w:val="30"/>
    </w:rPr>
  </w:style>
  <w:style w:type="character" w:styleId="649" w:customStyle="1">
    <w:name w:val="Heading 4 Char"/>
    <w:basedOn w:val="644"/>
    <w:uiPriority w:val="9"/>
    <w:rPr>
      <w:rFonts w:ascii="Arial" w:hAnsi="Arial" w:cs="Arial" w:eastAsia="Arial"/>
      <w:b/>
      <w:bCs/>
      <w:sz w:val="26"/>
      <w:szCs w:val="26"/>
    </w:rPr>
  </w:style>
  <w:style w:type="character" w:styleId="650" w:customStyle="1">
    <w:name w:val="Heading 5 Char"/>
    <w:basedOn w:val="644"/>
    <w:uiPriority w:val="9"/>
    <w:rPr>
      <w:rFonts w:ascii="Arial" w:hAnsi="Arial" w:cs="Arial" w:eastAsia="Arial"/>
      <w:b/>
      <w:bCs/>
      <w:sz w:val="24"/>
      <w:szCs w:val="24"/>
    </w:rPr>
  </w:style>
  <w:style w:type="character" w:styleId="651" w:customStyle="1">
    <w:name w:val="Heading 6 Char"/>
    <w:basedOn w:val="644"/>
    <w:uiPriority w:val="9"/>
    <w:rPr>
      <w:rFonts w:ascii="Arial" w:hAnsi="Arial" w:cs="Arial" w:eastAsia="Arial"/>
      <w:b/>
      <w:bCs/>
      <w:sz w:val="22"/>
      <w:szCs w:val="22"/>
    </w:rPr>
  </w:style>
  <w:style w:type="character" w:styleId="652" w:customStyle="1">
    <w:name w:val="Heading 7 Char"/>
    <w:basedOn w:val="64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3" w:customStyle="1">
    <w:name w:val="Heading 8 Char"/>
    <w:basedOn w:val="644"/>
    <w:uiPriority w:val="9"/>
    <w:rPr>
      <w:rFonts w:ascii="Arial" w:hAnsi="Arial" w:cs="Arial" w:eastAsia="Arial"/>
      <w:i/>
      <w:iCs/>
      <w:sz w:val="22"/>
      <w:szCs w:val="22"/>
    </w:rPr>
  </w:style>
  <w:style w:type="character" w:styleId="654" w:customStyle="1">
    <w:name w:val="Heading 9 Char"/>
    <w:basedOn w:val="644"/>
    <w:uiPriority w:val="9"/>
    <w:rPr>
      <w:rFonts w:ascii="Arial" w:hAnsi="Arial" w:cs="Arial" w:eastAsia="Arial"/>
      <w:i/>
      <w:iCs/>
      <w:sz w:val="21"/>
      <w:szCs w:val="21"/>
    </w:rPr>
  </w:style>
  <w:style w:type="character" w:styleId="655" w:customStyle="1">
    <w:name w:val="Title Char"/>
    <w:basedOn w:val="644"/>
    <w:uiPriority w:val="10"/>
    <w:rPr>
      <w:sz w:val="48"/>
      <w:szCs w:val="48"/>
    </w:rPr>
  </w:style>
  <w:style w:type="character" w:styleId="656" w:customStyle="1">
    <w:name w:val="Subtitle Char"/>
    <w:basedOn w:val="644"/>
    <w:uiPriority w:val="11"/>
    <w:rPr>
      <w:sz w:val="24"/>
      <w:szCs w:val="24"/>
    </w:rPr>
  </w:style>
  <w:style w:type="character" w:styleId="657" w:customStyle="1">
    <w:name w:val="Intense Quote Char"/>
    <w:uiPriority w:val="30"/>
    <w:rPr>
      <w:i/>
    </w:rPr>
  </w:style>
  <w:style w:type="character" w:styleId="658" w:customStyle="1">
    <w:name w:val="Header Char"/>
    <w:basedOn w:val="644"/>
    <w:uiPriority w:val="99"/>
  </w:style>
  <w:style w:type="character" w:styleId="659" w:customStyle="1">
    <w:name w:val="Caption Char"/>
    <w:uiPriority w:val="99"/>
  </w:style>
  <w:style w:type="character" w:styleId="660" w:customStyle="1">
    <w:name w:val="Footnote Text Char"/>
    <w:uiPriority w:val="99"/>
    <w:rPr>
      <w:sz w:val="18"/>
    </w:rPr>
  </w:style>
  <w:style w:type="character" w:styleId="661" w:customStyle="1">
    <w:name w:val="Endnote Text Char"/>
    <w:uiPriority w:val="99"/>
    <w:rPr>
      <w:sz w:val="20"/>
    </w:rPr>
  </w:style>
  <w:style w:type="character" w:styleId="662" w:customStyle="1">
    <w:name w:val="Заголовок 1 Знак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663" w:customStyle="1">
    <w:name w:val="Heading 2 Char"/>
    <w:basedOn w:val="644"/>
    <w:uiPriority w:val="9"/>
    <w:rPr>
      <w:rFonts w:ascii="Arial" w:hAnsi="Arial" w:cs="Arial" w:eastAsia="Arial"/>
      <w:sz w:val="34"/>
    </w:rPr>
  </w:style>
  <w:style w:type="character" w:styleId="664" w:customStyle="1">
    <w:name w:val="Заголовок 3 Знак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665" w:customStyle="1">
    <w:name w:val="Заголовок 4 Знак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666" w:customStyle="1">
    <w:name w:val="Заголовок 5 Знак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667" w:customStyle="1">
    <w:name w:val="Заголовок 6 Знак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668" w:customStyle="1">
    <w:name w:val="Заголовок 7 Знак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9" w:customStyle="1">
    <w:name w:val="Заголовок 8 Знак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670" w:customStyle="1">
    <w:name w:val="Заголовок 9 Знак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paragraph" w:styleId="671">
    <w:name w:val="List Paragraph"/>
    <w:basedOn w:val="634"/>
    <w:qFormat/>
    <w:uiPriority w:val="34"/>
    <w:pPr>
      <w:contextualSpacing w:val="true"/>
      <w:ind w:left="720"/>
    </w:pPr>
  </w:style>
  <w:style w:type="paragraph" w:styleId="672">
    <w:name w:val="No Spacing"/>
    <w:qFormat/>
    <w:uiPriority w:val="1"/>
    <w:pPr>
      <w:spacing w:lineRule="auto" w:line="240" w:after="0"/>
    </w:pPr>
  </w:style>
  <w:style w:type="paragraph" w:styleId="673">
    <w:name w:val="Title"/>
    <w:basedOn w:val="634"/>
    <w:next w:val="634"/>
    <w:link w:val="67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4" w:customStyle="1">
    <w:name w:val="Заголовок Знак"/>
    <w:basedOn w:val="644"/>
    <w:link w:val="673"/>
    <w:uiPriority w:val="10"/>
    <w:rPr>
      <w:sz w:val="48"/>
      <w:szCs w:val="48"/>
    </w:rPr>
  </w:style>
  <w:style w:type="paragraph" w:styleId="675">
    <w:name w:val="Subtitle"/>
    <w:basedOn w:val="634"/>
    <w:next w:val="634"/>
    <w:link w:val="676"/>
    <w:qFormat/>
    <w:uiPriority w:val="11"/>
    <w:rPr>
      <w:sz w:val="24"/>
      <w:szCs w:val="24"/>
    </w:rPr>
    <w:pPr>
      <w:spacing w:after="200" w:before="200"/>
    </w:pPr>
  </w:style>
  <w:style w:type="character" w:styleId="676" w:customStyle="1">
    <w:name w:val="Подзаголовок Знак"/>
    <w:basedOn w:val="644"/>
    <w:link w:val="675"/>
    <w:uiPriority w:val="11"/>
    <w:rPr>
      <w:sz w:val="24"/>
      <w:szCs w:val="24"/>
    </w:rPr>
  </w:style>
  <w:style w:type="paragraph" w:styleId="677">
    <w:name w:val="Intense Quote"/>
    <w:basedOn w:val="634"/>
    <w:next w:val="634"/>
    <w:link w:val="678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8" w:customStyle="1">
    <w:name w:val="Выделенная цитата Знак"/>
    <w:link w:val="677"/>
    <w:uiPriority w:val="30"/>
    <w:rPr>
      <w:i/>
    </w:rPr>
  </w:style>
  <w:style w:type="paragraph" w:styleId="679">
    <w:name w:val="Header"/>
    <w:basedOn w:val="634"/>
    <w:link w:val="680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character" w:styleId="680" w:customStyle="1">
    <w:name w:val="Верхний колонтитул Знак"/>
    <w:basedOn w:val="644"/>
    <w:link w:val="679"/>
    <w:uiPriority w:val="99"/>
  </w:style>
  <w:style w:type="paragraph" w:styleId="681">
    <w:name w:val="Footer"/>
    <w:basedOn w:val="634"/>
    <w:link w:val="684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character" w:styleId="682" w:customStyle="1">
    <w:name w:val="Footer Char"/>
    <w:basedOn w:val="644"/>
    <w:uiPriority w:val="99"/>
  </w:style>
  <w:style w:type="paragraph" w:styleId="683">
    <w:name w:val="Caption"/>
    <w:basedOn w:val="634"/>
    <w:next w:val="63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4" w:customStyle="1">
    <w:name w:val="Нижний колонтитул Знак"/>
    <w:link w:val="681"/>
    <w:uiPriority w:val="99"/>
  </w:style>
  <w:style w:type="table" w:styleId="685">
    <w:name w:val="Table Grid"/>
    <w:basedOn w:val="64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86" w:customStyle="1">
    <w:name w:val="Table Grid Light"/>
    <w:basedOn w:val="64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87">
    <w:name w:val="Plain Table 1"/>
    <w:basedOn w:val="64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645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2">
    <w:name w:val="Grid Table 1 Light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Grid Table 2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1" w:customStyle="1">
    <w:name w:val="Grid Table 2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2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2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2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2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3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3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3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3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3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3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4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4" w:customStyle="1">
    <w:name w:val="Grid Table 4 - Accent 1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15" w:customStyle="1">
    <w:name w:val="Grid Table 4 - Accent 2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16" w:customStyle="1">
    <w:name w:val="Grid Table 4 - Accent 3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17" w:customStyle="1">
    <w:name w:val="Grid Table 4 - Accent 4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18" w:customStyle="1">
    <w:name w:val="Grid Table 4 - Accent 5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19" w:customStyle="1">
    <w:name w:val="Grid Table 4 - Accent 6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20">
    <w:name w:val="Grid Table 5 Dark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1" w:customStyle="1">
    <w:name w:val="Grid Table 5 Dark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22" w:customStyle="1">
    <w:name w:val="Grid Table 5 Dark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23" w:customStyle="1">
    <w:name w:val="Grid Table 5 Dark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24" w:customStyle="1">
    <w:name w:val="Grid Table 5 Dark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25" w:customStyle="1">
    <w:name w:val="Grid Table 5 Dark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26" w:customStyle="1">
    <w:name w:val="Grid Table 5 Dark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27">
    <w:name w:val="Grid Table 6 Colorful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8" w:customStyle="1">
    <w:name w:val="Grid Table 6 Colorful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9" w:customStyle="1">
    <w:name w:val="Grid Table 6 Colorful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0" w:customStyle="1">
    <w:name w:val="Grid Table 6 Colorful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1" w:customStyle="1">
    <w:name w:val="Grid Table 6 Colorful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2" w:customStyle="1">
    <w:name w:val="Grid Table 6 Colorful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3" w:customStyle="1">
    <w:name w:val="Grid Table 6 Colorful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>
    <w:name w:val="Grid Table 7 Colorful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35" w:customStyle="1">
    <w:name w:val="Grid Table 7 Colorful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36" w:customStyle="1">
    <w:name w:val="Grid Table 7 Colorful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37" w:customStyle="1">
    <w:name w:val="Grid Table 7 Colorful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38" w:customStyle="1">
    <w:name w:val="Grid Table 7 Colorful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39" w:customStyle="1">
    <w:name w:val="Grid Table 7 Colorful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40" w:customStyle="1">
    <w:name w:val="Grid Table 7 Colorful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41">
    <w:name w:val="List Table 1 Light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List Table 1 Light - Accent 1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List Table 1 Light - Accent 2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List Table 1 Light - Accent 3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List Table 1 Light - Accent 4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List Table 1 Light - Accent 5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List Table 1 Light - Accent 6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49" w:customStyle="1">
    <w:name w:val="List Table 2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50" w:customStyle="1">
    <w:name w:val="List Table 2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51" w:customStyle="1">
    <w:name w:val="List Table 2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52" w:customStyle="1">
    <w:name w:val="List Table 2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53" w:customStyle="1">
    <w:name w:val="List Table 2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54" w:customStyle="1">
    <w:name w:val="List Table 2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55">
    <w:name w:val="List Table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>
    <w:name w:val="List Table 6 Colorful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77" w:customStyle="1">
    <w:name w:val="List Table 6 Colorful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78" w:customStyle="1">
    <w:name w:val="List Table 6 Colorful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79" w:customStyle="1">
    <w:name w:val="List Table 6 Colorful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80" w:customStyle="1">
    <w:name w:val="List Table 6 Colorful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81" w:customStyle="1">
    <w:name w:val="List Table 6 Colorful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82" w:customStyle="1">
    <w:name w:val="List Table 6 Colorful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83">
    <w:name w:val="List Table 7 Colorful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84" w:customStyle="1">
    <w:name w:val="List Table 7 Colorful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785" w:customStyle="1">
    <w:name w:val="List Table 7 Colorful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86" w:customStyle="1">
    <w:name w:val="List Table 7 Colorful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787" w:customStyle="1">
    <w:name w:val="List Table 7 Colorful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88" w:customStyle="1">
    <w:name w:val="List Table 7 Colorful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789" w:customStyle="1">
    <w:name w:val="List Table 7 Colorful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790" w:customStyle="1">
    <w:name w:val="Lined - Accent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1" w:customStyle="1">
    <w:name w:val="Lined - Accent 1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792" w:customStyle="1">
    <w:name w:val="Lined - Accent 2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793" w:customStyle="1">
    <w:name w:val="Lined - Accent 3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794" w:customStyle="1">
    <w:name w:val="Lined - Accent 4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795" w:customStyle="1">
    <w:name w:val="Lined - Accent 5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796" w:customStyle="1">
    <w:name w:val="Lined - Accent 6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797" w:customStyle="1">
    <w:name w:val="Bordered &amp; Lined - Accent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8" w:customStyle="1">
    <w:name w:val="Bordered &amp; Lined - Accent 1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799" w:customStyle="1">
    <w:name w:val="Bordered &amp; Lined - Accent 2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00" w:customStyle="1">
    <w:name w:val="Bordered &amp; Lined - Accent 3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01" w:customStyle="1">
    <w:name w:val="Bordered &amp; Lined - Accent 4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02" w:customStyle="1">
    <w:name w:val="Bordered &amp; Lined - Accent 5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03" w:customStyle="1">
    <w:name w:val="Bordered &amp; Lined - Accent 6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04" w:customStyle="1">
    <w:name w:val="Bordered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05" w:customStyle="1">
    <w:name w:val="Bordered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06" w:customStyle="1">
    <w:name w:val="Bordered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07" w:customStyle="1">
    <w:name w:val="Bordered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08" w:customStyle="1">
    <w:name w:val="Bordered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09" w:customStyle="1">
    <w:name w:val="Bordered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10" w:customStyle="1">
    <w:name w:val="Bordered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634"/>
    <w:link w:val="813"/>
    <w:uiPriority w:val="99"/>
    <w:semiHidden/>
    <w:unhideWhenUsed/>
    <w:pPr>
      <w:spacing w:lineRule="auto" w:line="240" w:after="40"/>
    </w:pPr>
  </w:style>
  <w:style w:type="character" w:styleId="813" w:customStyle="1">
    <w:name w:val="Текст сноски Знак"/>
    <w:link w:val="812"/>
    <w:uiPriority w:val="99"/>
    <w:rPr>
      <w:sz w:val="18"/>
    </w:rPr>
  </w:style>
  <w:style w:type="character" w:styleId="814">
    <w:name w:val="footnote reference"/>
    <w:basedOn w:val="644"/>
    <w:uiPriority w:val="99"/>
    <w:unhideWhenUsed/>
    <w:rPr>
      <w:vertAlign w:val="superscript"/>
    </w:rPr>
  </w:style>
  <w:style w:type="paragraph" w:styleId="815">
    <w:name w:val="endnote text"/>
    <w:basedOn w:val="634"/>
    <w:link w:val="816"/>
    <w:uiPriority w:val="99"/>
    <w:semiHidden/>
    <w:unhideWhenUsed/>
    <w:rPr>
      <w:sz w:val="20"/>
    </w:rPr>
    <w:pPr>
      <w:spacing w:lineRule="auto" w:line="240"/>
    </w:pPr>
  </w:style>
  <w:style w:type="character" w:styleId="816" w:customStyle="1">
    <w:name w:val="Текст концевой сноски Знак"/>
    <w:link w:val="815"/>
    <w:uiPriority w:val="99"/>
    <w:rPr>
      <w:sz w:val="20"/>
    </w:rPr>
  </w:style>
  <w:style w:type="character" w:styleId="817">
    <w:name w:val="endnote reference"/>
    <w:basedOn w:val="644"/>
    <w:uiPriority w:val="99"/>
    <w:semiHidden/>
    <w:unhideWhenUsed/>
    <w:rPr>
      <w:vertAlign w:val="superscript"/>
    </w:rPr>
  </w:style>
  <w:style w:type="paragraph" w:styleId="818">
    <w:name w:val="toc 1"/>
    <w:basedOn w:val="634"/>
    <w:next w:val="634"/>
    <w:uiPriority w:val="39"/>
    <w:unhideWhenUsed/>
    <w:pPr>
      <w:spacing w:after="57"/>
    </w:pPr>
  </w:style>
  <w:style w:type="paragraph" w:styleId="819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0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1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2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3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4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5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26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634"/>
    <w:next w:val="634"/>
    <w:uiPriority w:val="99"/>
    <w:unhideWhenUsed/>
  </w:style>
  <w:style w:type="character" w:styleId="829" w:customStyle="1">
    <w:name w:val="Заголовок 2 Знак"/>
    <w:basedOn w:val="644"/>
    <w:link w:val="636"/>
    <w:uiPriority w:val="9"/>
    <w:rPr>
      <w:rFonts w:ascii="Times New Roman" w:hAnsi="Times New Roman" w:cs="Times New Roman" w:eastAsia="Times New Roman"/>
      <w:b/>
      <w:i/>
      <w:color w:val="000000"/>
      <w:sz w:val="28"/>
      <w:szCs w:val="20"/>
      <w:lang w:eastAsia="ru-RU"/>
    </w:rPr>
  </w:style>
  <w:style w:type="paragraph" w:styleId="830" w:customStyle="1">
    <w:name w:val="ConsPlusNormal"/>
    <w:rPr>
      <w:rFonts w:ascii="Arial" w:hAnsi="Arial" w:cs="Times New Roman" w:eastAsia="Times New Roman"/>
      <w:color w:val="000000"/>
      <w:sz w:val="20"/>
      <w:szCs w:val="20"/>
      <w:lang w:eastAsia="ru-RU"/>
    </w:rPr>
    <w:pPr>
      <w:ind w:firstLine="720"/>
      <w:jc w:val="right"/>
      <w:spacing w:lineRule="atLeast" w:line="360" w:after="0"/>
    </w:pPr>
  </w:style>
  <w:style w:type="paragraph" w:styleId="831" w:customStyle="1">
    <w:name w:val="Standard"/>
    <w:rPr>
      <w:rFonts w:ascii="Times New Roman" w:hAnsi="Times New Roman" w:cs="Times New Roman" w:eastAsia="Times New Roman"/>
      <w:color w:val="000000"/>
      <w:sz w:val="24"/>
      <w:szCs w:val="20"/>
      <w:lang w:eastAsia="ru-RU"/>
    </w:rPr>
    <w:pPr>
      <w:jc w:val="both"/>
      <w:spacing w:lineRule="auto" w:line="240" w:after="60"/>
    </w:pPr>
  </w:style>
  <w:style w:type="paragraph" w:styleId="832">
    <w:name w:val="Document Map"/>
    <w:basedOn w:val="634"/>
    <w:link w:val="833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/>
    </w:pPr>
  </w:style>
  <w:style w:type="character" w:styleId="833" w:customStyle="1">
    <w:name w:val="Схема документа Знак"/>
    <w:basedOn w:val="644"/>
    <w:link w:val="832"/>
    <w:uiPriority w:val="99"/>
    <w:semiHidden/>
    <w:rPr>
      <w:rFonts w:ascii="Tahoma" w:hAnsi="Tahoma" w:cs="Tahoma" w:eastAsia="Times New Roman"/>
      <w:color w:val="000000"/>
      <w:sz w:val="16"/>
      <w:szCs w:val="16"/>
      <w:lang w:eastAsia="ru-RU"/>
    </w:rPr>
  </w:style>
  <w:style w:type="paragraph" w:styleId="834">
    <w:name w:val="Body Text Indent"/>
    <w:basedOn w:val="634"/>
    <w:link w:val="835"/>
    <w:rPr>
      <w:color w:val="auto"/>
      <w:sz w:val="24"/>
      <w:szCs w:val="24"/>
      <w:lang w:eastAsia="zh-CN"/>
    </w:rPr>
    <w:pPr>
      <w:ind w:left="283"/>
      <w:jc w:val="left"/>
      <w:spacing w:lineRule="auto" w:line="240" w:after="120"/>
      <w:widowControl/>
    </w:pPr>
  </w:style>
  <w:style w:type="character" w:styleId="835" w:customStyle="1">
    <w:name w:val="Основной текст с отступом Знак"/>
    <w:basedOn w:val="644"/>
    <w:link w:val="834"/>
    <w:rPr>
      <w:rFonts w:ascii="Times New Roman" w:hAnsi="Times New Roman" w:cs="Times New Roman" w:eastAsia="Times New Roman"/>
      <w:sz w:val="24"/>
      <w:szCs w:val="24"/>
      <w:lang w:eastAsia="zh-CN"/>
    </w:rPr>
  </w:style>
  <w:style w:type="character" w:styleId="836" w:customStyle="1">
    <w:name w:val="Quote Char"/>
    <w:uiPriority w:val="29"/>
    <w:rPr>
      <w:i/>
    </w:rPr>
  </w:style>
  <w:style w:type="paragraph" w:styleId="837">
    <w:name w:val="Quote"/>
    <w:basedOn w:val="634"/>
    <w:next w:val="634"/>
    <w:link w:val="838"/>
    <w:qFormat/>
    <w:uiPriority w:val="29"/>
    <w:rPr>
      <w:i/>
      <w:color w:val="auto"/>
      <w:sz w:val="24"/>
      <w:szCs w:val="24"/>
      <w:lang w:eastAsia="zh-CN"/>
    </w:rPr>
    <w:pPr>
      <w:ind w:left="720" w:right="720"/>
      <w:jc w:val="left"/>
      <w:spacing w:lineRule="auto" w:line="240"/>
      <w:widowControl/>
    </w:pPr>
  </w:style>
  <w:style w:type="character" w:styleId="838" w:customStyle="1">
    <w:name w:val="Цитата 2 Знак"/>
    <w:basedOn w:val="644"/>
    <w:link w:val="837"/>
    <w:uiPriority w:val="29"/>
    <w:rPr>
      <w:rFonts w:ascii="Times New Roman" w:hAnsi="Times New Roman" w:cs="Times New Roman" w:eastAsia="Times New Roman"/>
      <w:i/>
      <w:sz w:val="24"/>
      <w:szCs w:val="24"/>
      <w:lang w:eastAsia="zh-CN"/>
    </w:rPr>
  </w:style>
  <w:style w:type="paragraph" w:styleId="839" w:customStyle="1">
    <w:name w:val="western"/>
    <w:basedOn w:val="634"/>
    <w:rPr>
      <w:color w:val="auto"/>
      <w:sz w:val="24"/>
      <w:szCs w:val="24"/>
    </w:rPr>
    <w:pPr>
      <w:keepNext/>
      <w:spacing w:lineRule="atLeast" w:line="363" w:after="100" w:afterAutospacing="1" w:before="100" w:beforeAutospacing="1"/>
      <w:widowControl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FF43D95-8CD6-45A3-8486-CE0B9D8BF96C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DBF3073-E41B-4CBB-ABAB-77A3DBC401C1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ONLYOFFICE/6.3.2.2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Вадимова Каземирова</dc:creator>
  <cp:lastModifiedBy>Казимирова Маргарита</cp:lastModifiedBy>
  <cp:revision>25</cp:revision>
  <dcterms:created xsi:type="dcterms:W3CDTF">2026-03-30T08:41:00Z</dcterms:created>
  <dcterms:modified xsi:type="dcterms:W3CDTF">2026-06-05T05:36:44Z</dcterms:modified>
</cp:coreProperties>
</file>