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ind w:left="-993" w:right="-283"/>
        <w:jc w:val="center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4"/>
        <w:ind w:left="-993" w:right="-283"/>
        <w:jc w:val="center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4"/>
        <w:ind w:left="-993" w:right="-283"/>
        <w:jc w:val="center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оказание услуг по организации и проведению предаттестационной подготовки по курсу «Энергетическая безопасность» электротехнического и электротехнологического персонала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34"/>
        <w:ind w:left="-993" w:right="-283"/>
        <w:jc w:val="both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34"/>
        <w:ind w:left="-993" w:right="-283"/>
        <w:jc w:val="both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34"/>
        <w:ind w:left="-99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Код по БК:</w:t>
      </w:r>
      <w:r>
        <w:rPr>
          <w:sz w:val="24"/>
          <w:szCs w:val="24"/>
        </w:rPr>
        <w:t xml:space="preserve"> 05609010142190059244226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34"/>
        <w:ind w:left="-99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Способ определения поставщика</w:t>
      </w:r>
      <w:r>
        <w:rPr>
          <w:sz w:val="24"/>
          <w:szCs w:val="24"/>
        </w:rPr>
        <w:t xml:space="preserve">:</w:t>
      </w:r>
      <w:r>
        <w:rPr>
          <w:sz w:val="22"/>
          <w:szCs w:val="22"/>
        </w:rPr>
        <w:t xml:space="preserve"> единственный поставщик (п. 4 ч. 1 ст. 93 Федерального закона № 44-ФЗ).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/>
        <w:jc w:val="both"/>
        <w:rPr>
          <w:sz w:val="24"/>
          <w:szCs w:val="24"/>
        </w:rPr>
      </w:pPr>
      <w:r>
        <w:rPr>
          <w:sz w:val="24"/>
          <w:szCs w:val="22"/>
        </w:rPr>
        <w:t xml:space="preserve">Планируемый срок начала осуществления закупки:</w:t>
      </w:r>
      <w:r>
        <w:rPr>
          <w:sz w:val="24"/>
          <w:szCs w:val="24"/>
        </w:rPr>
        <w:t xml:space="preserve"> август-сентябрь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Описание объекта закупки:</w:t>
      </w:r>
      <w:r>
        <w:rPr>
          <w:sz w:val="24"/>
          <w:szCs w:val="22"/>
        </w:rPr>
      </w:r>
      <w:r>
        <w:rPr>
          <w:sz w:val="24"/>
          <w:szCs w:val="22"/>
        </w:rPr>
      </w:r>
    </w:p>
    <w:tbl>
      <w:tblPr>
        <w:tblW w:w="5528" w:type="pct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2"/>
        <w:gridCol w:w="1477"/>
        <w:gridCol w:w="1460"/>
        <w:gridCol w:w="2282"/>
        <w:gridCol w:w="859"/>
        <w:gridCol w:w="717"/>
        <w:gridCol w:w="865"/>
        <w:gridCol w:w="615"/>
        <w:gridCol w:w="965"/>
        <w:gridCol w:w="1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9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№ п/п</w:t>
            </w:r>
            <w:r/>
          </w:p>
        </w:tc>
        <w:tc>
          <w:tcPr>
            <w:tcW w:w="678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ОКПД2</w:t>
            </w:r>
            <w:r/>
          </w:p>
        </w:tc>
        <w:tc>
          <w:tcPr>
            <w:tcW w:w="670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Код позиции КТРУ</w:t>
            </w:r>
            <w:r/>
          </w:p>
        </w:tc>
        <w:tc>
          <w:tcPr>
            <w:tcW w:w="1047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Наименование услуги</w:t>
            </w:r>
            <w:r/>
          </w:p>
        </w:tc>
        <w:tc>
          <w:tcPr>
            <w:tcW w:w="394" w:type="pct"/>
            <w:vAlign w:val="center"/>
            <w:textDirection w:val="lrTb"/>
            <w:noWrap w:val="false"/>
          </w:tcPr>
          <w:p>
            <w:pPr>
              <w:pStyle w:val="851"/>
              <w:ind w:left="0"/>
              <w:jc w:val="center"/>
            </w:pPr>
            <w:r>
              <w:t xml:space="preserve">Количество часов</w:t>
            </w:r>
            <w:r/>
          </w:p>
        </w:tc>
        <w:tc>
          <w:tcPr>
            <w:tcW w:w="329" w:type="pct"/>
            <w:vAlign w:val="center"/>
            <w:textDirection w:val="lrTb"/>
            <w:noWrap w:val="false"/>
          </w:tcPr>
          <w:p>
            <w:pPr>
              <w:pStyle w:val="851"/>
              <w:ind w:left="0"/>
              <w:jc w:val="center"/>
            </w:pPr>
            <w:r>
              <w:t xml:space="preserve">Форма обучения</w:t>
            </w:r>
            <w:r/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Ед. изм.</w:t>
            </w:r>
            <w:r/>
          </w:p>
        </w:tc>
        <w:tc>
          <w:tcPr>
            <w:tcW w:w="282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Кол-во ед. изм.</w:t>
            </w:r>
            <w:r/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Цена за ед. изм., руб.</w:t>
            </w:r>
            <w:r/>
          </w:p>
        </w:tc>
        <w:tc>
          <w:tcPr>
            <w:tcW w:w="511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Сумма, руб.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9" w:type="pct"/>
            <w:vAlign w:val="center"/>
            <w:textDirection w:val="lrTb"/>
            <w:noWrap w:val="false"/>
          </w:tcPr>
          <w:p>
            <w:pPr>
              <w:pStyle w:val="85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78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85.42.19.900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70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85.42.10.000-00000003</w:t>
            </w:r>
            <w:r/>
          </w:p>
          <w:p>
            <w:pPr>
              <w:pStyle w:val="834"/>
              <w:jc w:val="center"/>
            </w:pPr>
            <w:r>
              <w:rPr>
                <w:rStyle w:val="854"/>
              </w:rPr>
              <w:t xml:space="preserve">(обязательное применение с 01.01.202</w:t>
            </w:r>
            <w:r>
              <w:rPr>
                <w:rStyle w:val="854"/>
              </w:rPr>
              <w:t xml:space="preserve">7</w:t>
            </w:r>
            <w:r>
              <w:rPr>
                <w:rStyle w:val="854"/>
              </w:rPr>
              <w:t xml:space="preserve"> г.)</w:t>
            </w:r>
            <w:r/>
          </w:p>
        </w:tc>
        <w:tc>
          <w:tcPr>
            <w:tcW w:w="1047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Cs/>
              </w:rPr>
            </w:pPr>
            <w:r>
              <w:t xml:space="preserve">Оказание услуг по организации и проведению предаттестационной подготовки по курсу «Энергетическая безопасность» электротехнического и электротехнологического персонала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394" w:type="pct"/>
            <w:vAlign w:val="center"/>
            <w:textDirection w:val="lrTb"/>
            <w:noWrap w:val="false"/>
          </w:tcPr>
          <w:p>
            <w:pPr>
              <w:pStyle w:val="851"/>
              <w:ind w:left="0"/>
              <w:jc w:val="center"/>
            </w:pPr>
            <w:r>
              <w:t xml:space="preserve">Не менее 70</w:t>
            </w:r>
            <w:r/>
          </w:p>
        </w:tc>
        <w:tc>
          <w:tcPr>
            <w:tcW w:w="329" w:type="pct"/>
            <w:vAlign w:val="center"/>
            <w:textDirection w:val="lrTb"/>
            <w:noWrap w:val="false"/>
          </w:tcPr>
          <w:p>
            <w:pPr>
              <w:pStyle w:val="851"/>
              <w:ind w:left="0"/>
              <w:jc w:val="center"/>
            </w:pPr>
            <w:r>
              <w:t xml:space="preserve">очная</w:t>
            </w:r>
            <w:r/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человек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82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7966,6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11" w:type="pct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31866,6</w:t>
            </w: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34"/>
        <w:jc w:val="both"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834"/>
        <w:ind w:left="-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(максимальная) цена контракта: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31866,68</w:t>
      </w:r>
      <w:r>
        <w:rPr>
          <w:sz w:val="24"/>
          <w:szCs w:val="24"/>
        </w:rPr>
        <w:t xml:space="preserve"> руб. (</w:t>
      </w:r>
      <w:r>
        <w:rPr>
          <w:sz w:val="24"/>
          <w:szCs w:val="24"/>
        </w:rPr>
        <w:t xml:space="preserve">тридцать одна тысяча восемьсот шестьдесят шесть</w:t>
      </w:r>
      <w:r>
        <w:rPr>
          <w:sz w:val="24"/>
          <w:szCs w:val="24"/>
        </w:rPr>
        <w:t xml:space="preserve"> рублей </w:t>
      </w:r>
      <w:r>
        <w:rPr>
          <w:sz w:val="24"/>
          <w:szCs w:val="24"/>
        </w:rPr>
        <w:t xml:space="preserve">68</w:t>
      </w:r>
      <w:r>
        <w:rPr>
          <w:sz w:val="24"/>
          <w:szCs w:val="24"/>
        </w:rPr>
        <w:t xml:space="preserve"> копеек).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834"/>
        <w:numPr>
          <w:ilvl w:val="0"/>
          <w:numId w:val="1"/>
        </w:numPr>
        <w:jc w:val="both"/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Вид услуг: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834"/>
        <w:ind w:left="-66"/>
        <w:jc w:val="both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pStyle w:val="834"/>
        <w:ind w:left="-426"/>
        <w:jc w:val="both"/>
        <w:spacing w:line="300" w:lineRule="auto"/>
        <w:shd w:val="clear" w:color="auto" w:fill="ffffff"/>
        <w:tabs>
          <w:tab w:val="left" w:pos="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Энергетическая безопасность - 5 группа - 2 человека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4"/>
        <w:ind w:left="-426"/>
        <w:jc w:val="both"/>
        <w:spacing w:line="300" w:lineRule="auto"/>
        <w:shd w:val="clear" w:color="auto" w:fill="ffffff"/>
        <w:tabs>
          <w:tab w:val="left" w:pos="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Энергетическая безопасность - 4 группа - 2 человек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pStyle w:val="834"/>
        <w:numPr>
          <w:ilvl w:val="0"/>
          <w:numId w:val="1"/>
        </w:numPr>
        <w:jc w:val="both"/>
        <w:shd w:val="clear" w:color="auto" w:fill="ffffff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Место оказания Услуг: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г. Казань, на территории, предоставленной образовательным учреждением, в помещениях, приспособленных для обучения.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426"/>
        <w:jc w:val="both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  <w:t xml:space="preserve">3.Срок действия государственного контракта с даты заключения контракта по 31.12.2026 г.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34"/>
        <w:ind w:left="-66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jc w:val="both"/>
        <w:rPr>
          <w:sz w:val="24"/>
          <w:szCs w:val="24"/>
        </w:rPr>
        <w:outlineLvl w:val="0"/>
      </w:pPr>
      <w:r>
        <w:rPr>
          <w:b/>
          <w:bCs/>
          <w:sz w:val="24"/>
          <w:szCs w:val="24"/>
        </w:rPr>
        <w:t xml:space="preserve">Требование к исполнителю</w:t>
      </w:r>
      <w:r>
        <w:rPr>
          <w:sz w:val="24"/>
          <w:szCs w:val="24"/>
        </w:rPr>
        <w:t xml:space="preserve"> - наличие </w:t>
      </w:r>
      <w:r>
        <w:rPr>
          <w:bCs/>
          <w:sz w:val="24"/>
          <w:szCs w:val="24"/>
        </w:rPr>
        <w:t xml:space="preserve">действующей лицензии на </w:t>
      </w:r>
      <w:r>
        <w:rPr>
          <w:sz w:val="24"/>
          <w:szCs w:val="24"/>
        </w:rPr>
        <w:t xml:space="preserve">осуществ</w:t>
      </w:r>
      <w:r>
        <w:rPr>
          <w:sz w:val="24"/>
          <w:szCs w:val="24"/>
        </w:rPr>
        <w:t xml:space="preserve">ление образовательной деятельности (Реализация дополнительных профессиональных программ повышения квалификации) на основании Федерального закона п.40 п.1 ст.12 от 04.05.2011 г. N 99-ФЗ (ред. от 31.12.2014г.) "О лицензировании отдельных видов деятельности";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уведомление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Министерства труда и социальной защиты Российской Федерации (Министерства здравоохранения и социального развития Российской Федерации) о внесении Исполнителя в реестр аккредитованных организаций, оказывающих услуги в области охраны труда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постановление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Правительства РФ от 16.12.2021 № 2334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34"/>
        <w:ind w:left="-993" w:firstLine="567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Исполнитель должен обеспечить необходимые условия для обучения,современный уровень учебного процесса, широкое</w:t>
      </w:r>
      <w:r>
        <w:rPr>
          <w:sz w:val="24"/>
          <w:szCs w:val="24"/>
        </w:rPr>
        <w:t xml:space="preserve"> применение современных методических и информационных образовательных технологий, обеспечить каждого слушателя необходимыми учебно-ме</w:t>
      </w:r>
      <w:r>
        <w:rPr>
          <w:sz w:val="24"/>
          <w:szCs w:val="24"/>
        </w:rPr>
        <w:t xml:space="preserve">тодическими материалами, обеспечить слушателям возможность пользования библиотечным фондом Исполнителя. После обучения выдать специалистам документ об окончании курса и присвоении соответствующего уровня квалификации.- удостоверение установленного образца.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 w:firstLine="567"/>
        <w:jc w:val="both"/>
        <w:rPr>
          <w:sz w:val="24"/>
          <w:szCs w:val="24"/>
        </w:rPr>
        <w:outlineLvl w:val="0"/>
      </w:pPr>
      <w:r>
        <w:rPr>
          <w:color w:val="000000"/>
          <w:sz w:val="24"/>
          <w:szCs w:val="24"/>
        </w:rPr>
        <w:t xml:space="preserve">Услуги должны быть оказаны в период с 15.11.2026 по 15.12.2026 г. В случае возникновения непредвиденных обстоятельств и невозможности прохождения обучения </w:t>
      </w:r>
      <w:r>
        <w:rPr>
          <w:sz w:val="24"/>
          <w:szCs w:val="24"/>
        </w:rPr>
        <w:t xml:space="preserve">(повышение квалификации)</w:t>
      </w:r>
      <w:r>
        <w:rPr>
          <w:color w:val="000000"/>
          <w:sz w:val="24"/>
          <w:szCs w:val="24"/>
        </w:rPr>
        <w:t xml:space="preserve"> сотрудников в своей группе, произвести перенос сроков обучения </w:t>
      </w:r>
      <w:r>
        <w:rPr>
          <w:sz w:val="24"/>
          <w:szCs w:val="24"/>
        </w:rPr>
        <w:t xml:space="preserve">(повышение квалификации)</w:t>
      </w:r>
      <w:r>
        <w:rPr>
          <w:color w:val="000000"/>
          <w:sz w:val="24"/>
          <w:szCs w:val="24"/>
        </w:rPr>
        <w:t xml:space="preserve"> сотрудников или провести обучение </w:t>
      </w:r>
      <w:r>
        <w:rPr>
          <w:sz w:val="24"/>
          <w:szCs w:val="24"/>
        </w:rPr>
        <w:t xml:space="preserve">(повышение квалификации)</w:t>
      </w:r>
      <w:r>
        <w:rPr>
          <w:color w:val="000000"/>
          <w:sz w:val="24"/>
          <w:szCs w:val="24"/>
        </w:rPr>
        <w:t xml:space="preserve"> сотрудников с другой группой, до окончания срока действия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ind w:left="-993" w:firstLine="567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ind w:left="-993" w:firstLine="567"/>
        <w:jc w:val="both"/>
        <w:shd w:val="clear" w:color="auto" w:fill="ffffff"/>
        <w:tabs>
          <w:tab w:val="left" w:pos="-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Требования к качеству и безопасности услуг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Услуги должны оказываться в соответствии с требованиями следующих нормативных правовых актов Российской Федерации: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Федеральный закон от 29.12.2012 № 273-ФЗ «Об образовании в Российской Федерации»;</w:t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Трудовой кодекс Российской Федерации;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приказ Министерства науки и высшего образования РФ от 24.03.2025 № 266 «Об утверждении Порядка организации и осуществления образовательной деятельности по дополнительным профессиональным программам».</w:t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834"/>
        <w:ind w:left="-993" w:firstLine="567"/>
        <w:jc w:val="both"/>
        <w:shd w:val="clear" w:color="auto" w:fill="ffffff"/>
        <w:tabs>
          <w:tab w:val="left" w:pos="-993" w:leader="none"/>
        </w:tabs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834"/>
        <w:ind w:left="-993" w:firstLine="567"/>
        <w:jc w:val="center"/>
        <w:spacing w:line="300" w:lineRule="auto"/>
        <w:shd w:val="clear" w:color="auto" w:fill="ffffff"/>
        <w:tabs>
          <w:tab w:val="left" w:pos="0" w:leader="none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Дополнительные условия: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1"/>
        <w:ind w:left="-993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1"/>
        <w:ind w:left="-993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Цена государственного контракта</w:t>
      </w:r>
      <w:r>
        <w:rPr>
          <w:sz w:val="24"/>
          <w:szCs w:val="24"/>
        </w:rPr>
        <w:t xml:space="preserve"> включает в себя все расходы исполнителя, необходимые для выполнения им всех своих обязательств по государственному контракту, в том числе стоимость оказываемых услуг</w:t>
      </w:r>
      <w:r>
        <w:rPr>
          <w:sz w:val="24"/>
          <w:szCs w:val="24"/>
        </w:rPr>
        <w:t xml:space="preserve">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3"/>
        <w:ind w:left="-993"/>
        <w:jc w:val="both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Оплата счетов исполнителя по данному государственному контракту производится заказчиком по факту оказания услуг, согласно предъявленных счетов (счетов – ф</w:t>
      </w:r>
      <w:r>
        <w:rPr>
          <w:rFonts w:ascii="Times New Roman" w:hAnsi="Times New Roman" w:cs="Times New Roman"/>
          <w:sz w:val="24"/>
          <w:szCs w:val="24"/>
        </w:rPr>
        <w:t xml:space="preserve">актур) и актов оказанных услуг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универсальных передаточных документов </w:t>
      </w:r>
      <w:r>
        <w:rPr>
          <w:rFonts w:ascii="Times New Roman" w:hAnsi="Times New Roman" w:cs="Times New Roman"/>
          <w:i/>
          <w:sz w:val="24"/>
          <w:szCs w:val="24"/>
        </w:rPr>
        <w:t xml:space="preserve">(или других документов в соответствии со спецификой закупки)</w:t>
      </w:r>
      <w:r>
        <w:rPr>
          <w:rFonts w:ascii="Times New Roman" w:hAnsi="Times New Roman" w:cs="Times New Roman"/>
          <w:sz w:val="24"/>
          <w:szCs w:val="24"/>
        </w:rPr>
        <w:t xml:space="preserve">, но не более, чем в течение 7 (семи)рабочих </w:t>
      </w:r>
      <w:r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 xml:space="preserve">с даты подписания Заказчиком документа о приемке, по факту поступления предельных объемов финансирования.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both"/>
        <w:tabs>
          <w:tab w:val="left" w:pos="426" w:leader="none"/>
        </w:tabs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834"/>
        <w:jc w:val="both"/>
        <w:tabs>
          <w:tab w:val="left" w:pos="426" w:leader="none"/>
        </w:tabs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tbl>
      <w:tblPr>
        <w:tblW w:w="5000" w:type="pct"/>
        <w:tblInd w:w="-426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363"/>
        <w:gridCol w:w="2188"/>
        <w:gridCol w:w="3088"/>
      </w:tblGrid>
      <w:tr>
        <w:tblPrEx/>
        <w:trPr>
          <w:trHeight w:val="278"/>
        </w:trPr>
        <w:tc>
          <w:tcPr>
            <w:tcBorders>
              <w:bottom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Веряскин Артур Сергеевич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Инженер по обслуживанию 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ремонту электрооборудования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(Ф.И.О., должность инициатора закупки)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tcBorders>
              <w:bottom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Сафронова Н.И.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(Ф.И.О. специалиста по закупкам)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88"/>
        </w:trPr>
        <w:tc>
          <w:tcPr>
            <w:tcBorders>
              <w:bottom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Кошкина Д.А.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2263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(экономист)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5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1602" w:type="pct"/>
            <w:vAlign w:val="bottom"/>
            <w:textDirection w:val="lrTb"/>
            <w:noWrap w:val="false"/>
          </w:tcPr>
          <w:p>
            <w:pPr>
              <w:pStyle w:val="8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sectPr>
      <w:footnotePr/>
      <w:endnotePr/>
      <w:type w:val="nextPage"/>
      <w:pgSz w:w="11906" w:h="16838" w:orient="portrait"/>
      <w:pgMar w:top="851" w:right="566" w:bottom="993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widowControl w:val="off"/>
    </w:pPr>
    <w:rPr>
      <w:lang w:val="ru-RU" w:eastAsia="ru-RU" w:bidi="ar-SA"/>
    </w:rPr>
  </w:style>
  <w:style w:type="paragraph" w:styleId="835">
    <w:name w:val="Заголовок 3"/>
    <w:basedOn w:val="834"/>
    <w:next w:val="834"/>
    <w:link w:val="834"/>
    <w:qFormat/>
    <w:pPr>
      <w:spacing w:before="100" w:beforeAutospacing="1" w:after="100" w:afterAutospacing="1"/>
      <w:widowControl/>
      <w:outlineLvl w:val="2"/>
    </w:pPr>
    <w:rPr>
      <w:b/>
      <w:bCs/>
      <w:sz w:val="27"/>
      <w:szCs w:val="27"/>
    </w:rPr>
  </w:style>
  <w:style w:type="character" w:styleId="836">
    <w:name w:val="Основной шрифт абзаца"/>
    <w:next w:val="836"/>
    <w:link w:val="834"/>
    <w:uiPriority w:val="1"/>
    <w:unhideWhenUsed/>
  </w:style>
  <w:style w:type="table" w:styleId="837">
    <w:name w:val="Обычная таблица"/>
    <w:next w:val="837"/>
    <w:link w:val="834"/>
    <w:uiPriority w:val="99"/>
    <w:unhideWhenUsed/>
    <w:qFormat/>
    <w:tblPr/>
  </w:style>
  <w:style w:type="numbering" w:styleId="838">
    <w:name w:val="Нет списка"/>
    <w:next w:val="838"/>
    <w:link w:val="834"/>
    <w:uiPriority w:val="99"/>
    <w:semiHidden/>
    <w:unhideWhenUsed/>
  </w:style>
  <w:style w:type="character" w:styleId="839">
    <w:name w:val="Выделение"/>
    <w:next w:val="839"/>
    <w:link w:val="834"/>
    <w:qFormat/>
    <w:rPr>
      <w:i/>
      <w:iCs/>
    </w:rPr>
  </w:style>
  <w:style w:type="paragraph" w:styleId="840">
    <w:name w:val="Текст выноски"/>
    <w:basedOn w:val="834"/>
    <w:next w:val="840"/>
    <w:link w:val="834"/>
    <w:semiHidden/>
    <w:qFormat/>
    <w:rPr>
      <w:rFonts w:ascii="Tahoma" w:hAnsi="Tahoma" w:cs="Tahoma"/>
      <w:sz w:val="16"/>
      <w:szCs w:val="16"/>
    </w:rPr>
  </w:style>
  <w:style w:type="paragraph" w:styleId="841">
    <w:name w:val="Верхний колонтитул"/>
    <w:basedOn w:val="834"/>
    <w:next w:val="841"/>
    <w:link w:val="842"/>
    <w:qFormat/>
    <w:pPr>
      <w:tabs>
        <w:tab w:val="center" w:pos="4677" w:leader="none"/>
        <w:tab w:val="right" w:pos="9355" w:leader="none"/>
      </w:tabs>
    </w:pPr>
  </w:style>
  <w:style w:type="character" w:styleId="842">
    <w:name w:val="Верхний колонтитул Знак"/>
    <w:next w:val="842"/>
    <w:link w:val="841"/>
    <w:qFormat/>
  </w:style>
  <w:style w:type="paragraph" w:styleId="843">
    <w:name w:val="Нижний колонтитул"/>
    <w:basedOn w:val="834"/>
    <w:next w:val="843"/>
    <w:link w:val="844"/>
    <w:qFormat/>
    <w:pPr>
      <w:tabs>
        <w:tab w:val="center" w:pos="4677" w:leader="none"/>
        <w:tab w:val="right" w:pos="9355" w:leader="none"/>
      </w:tabs>
    </w:pPr>
  </w:style>
  <w:style w:type="character" w:styleId="844">
    <w:name w:val="Нижний колонтитул Знак"/>
    <w:next w:val="844"/>
    <w:link w:val="843"/>
  </w:style>
  <w:style w:type="paragraph" w:styleId="845">
    <w:name w:val="Основной текст 3"/>
    <w:basedOn w:val="834"/>
    <w:next w:val="845"/>
    <w:link w:val="846"/>
    <w:qFormat/>
    <w:pPr>
      <w:spacing w:after="120"/>
    </w:pPr>
    <w:rPr>
      <w:sz w:val="16"/>
      <w:szCs w:val="16"/>
    </w:rPr>
  </w:style>
  <w:style w:type="character" w:styleId="846">
    <w:name w:val="Основной текст 3 Знак"/>
    <w:next w:val="846"/>
    <w:link w:val="845"/>
    <w:qFormat/>
    <w:rPr>
      <w:sz w:val="16"/>
      <w:szCs w:val="16"/>
    </w:rPr>
  </w:style>
  <w:style w:type="table" w:styleId="847">
    <w:name w:val="Сетка таблицы"/>
    <w:basedOn w:val="837"/>
    <w:next w:val="847"/>
    <w:link w:val="834"/>
    <w:qFormat/>
    <w:pPr>
      <w:widowControl w:val="off"/>
    </w:pPr>
    <w:tblPr/>
  </w:style>
  <w:style w:type="character" w:styleId="848">
    <w:name w:val="Font Style12"/>
    <w:next w:val="848"/>
    <w:link w:val="834"/>
    <w:qFormat/>
    <w:rPr>
      <w:rFonts w:ascii="Times New Roman" w:hAnsi="Times New Roman" w:cs="Times New Roman"/>
      <w:sz w:val="24"/>
      <w:szCs w:val="24"/>
    </w:rPr>
  </w:style>
  <w:style w:type="paragraph" w:styleId="849">
    <w:name w:val="Знак1"/>
    <w:basedOn w:val="834"/>
    <w:next w:val="849"/>
    <w:link w:val="834"/>
    <w:qFormat/>
    <w:pPr>
      <w:spacing w:before="100" w:beforeAutospacing="1" w:after="100" w:afterAutospacing="1"/>
      <w:widowControl/>
    </w:pPr>
    <w:rPr>
      <w:rFonts w:ascii="Tahoma" w:hAnsi="Tahoma"/>
      <w:lang w:val="en-US" w:eastAsia="en-US"/>
    </w:rPr>
  </w:style>
  <w:style w:type="paragraph" w:styleId="850">
    <w:name w:val="Без интервала"/>
    <w:next w:val="850"/>
    <w:link w:val="834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51">
    <w:name w:val="Абзац списка"/>
    <w:basedOn w:val="834"/>
    <w:next w:val="851"/>
    <w:link w:val="852"/>
    <w:uiPriority w:val="34"/>
    <w:qFormat/>
    <w:pPr>
      <w:contextualSpacing/>
      <w:ind w:left="720"/>
    </w:pPr>
  </w:style>
  <w:style w:type="character" w:styleId="852">
    <w:name w:val="Абзац списка Знак"/>
    <w:next w:val="852"/>
    <w:link w:val="851"/>
    <w:uiPriority w:val="34"/>
    <w:qFormat/>
  </w:style>
  <w:style w:type="paragraph" w:styleId="853">
    <w:name w:val="Абзац списка1"/>
    <w:basedOn w:val="834"/>
    <w:next w:val="853"/>
    <w:link w:val="834"/>
    <w:qFormat/>
    <w:pPr>
      <w:ind w:left="720"/>
      <w:spacing w:after="200" w:line="276" w:lineRule="auto"/>
    </w:pPr>
    <w:rPr>
      <w:rFonts w:ascii="Calibri" w:hAnsi="Calibri" w:eastAsia="Calibri" w:cs="Calibri"/>
      <w:lang w:eastAsia="ar-SA"/>
    </w:rPr>
  </w:style>
  <w:style w:type="character" w:styleId="854">
    <w:name w:val="section__info2"/>
    <w:next w:val="854"/>
    <w:link w:val="834"/>
    <w:qFormat/>
    <w:rPr>
      <w:vanish w:val="0"/>
      <w:sz w:val="20"/>
      <w:szCs w:val="20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Яковенко.М</dc:creator>
  <cp:lastModifiedBy>Сафронова Наталья Игоревна</cp:lastModifiedBy>
  <cp:revision>6</cp:revision>
  <dcterms:created xsi:type="dcterms:W3CDTF">2021-08-09T05:30:00Z</dcterms:created>
  <dcterms:modified xsi:type="dcterms:W3CDTF">2026-07-31T06:43:35Z</dcterms:modified>
  <cp:version>1048576</cp:version>
</cp:coreProperties>
</file>