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0468F1" w:rsidRDefault="000468F1" w:rsidP="00630FBD">
      <w:pPr>
        <w:pStyle w:val="ab"/>
        <w:ind w:left="250" w:right="57"/>
        <w:jc w:val="center"/>
        <w:rPr>
          <w:b/>
          <w:sz w:val="22"/>
          <w:szCs w:val="22"/>
        </w:rPr>
      </w:pPr>
      <w:r w:rsidRPr="000468F1">
        <w:rPr>
          <w:b/>
          <w:sz w:val="22"/>
          <w:szCs w:val="22"/>
        </w:rPr>
        <w:t>Строительные материалы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C0741C" w:rsidRPr="00C0741C">
        <w:rPr>
          <w:b/>
          <w:bCs/>
          <w:color w:val="000000" w:themeColor="text1"/>
          <w:sz w:val="22"/>
          <w:szCs w:val="22"/>
        </w:rPr>
        <w:t>238</w:t>
      </w:r>
      <w:r w:rsidR="000468F1">
        <w:rPr>
          <w:b/>
          <w:bCs/>
          <w:color w:val="000000" w:themeColor="text1"/>
          <w:sz w:val="22"/>
          <w:szCs w:val="22"/>
        </w:rPr>
        <w:t>2420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0468F1">
        <w:rPr>
          <w:sz w:val="22"/>
          <w:szCs w:val="22"/>
        </w:rPr>
        <w:t xml:space="preserve"> </w:t>
      </w:r>
      <w:r w:rsidR="000468F1" w:rsidRPr="000468F1">
        <w:rPr>
          <w:sz w:val="22"/>
          <w:szCs w:val="22"/>
        </w:rPr>
        <w:t>Строительные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г.о,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0" w:name="Par716"/>
      <w:bookmarkEnd w:id="0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615D0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1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2" w:name="OLE_LINK25"/>
      <w:bookmarkStart w:id="3" w:name="OLE_LINK24"/>
      <w:r w:rsidRPr="00AE0F5D">
        <w:rPr>
          <w:bCs/>
          <w:sz w:val="22"/>
          <w:szCs w:val="22"/>
        </w:rPr>
        <w:t>разделом 8 Контракта.</w:t>
      </w:r>
      <w:bookmarkEnd w:id="1"/>
      <w:bookmarkEnd w:id="2"/>
      <w:bookmarkEnd w:id="3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м.п.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4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4"/>
    <w:p w:rsidR="00A52924" w:rsidRDefault="00A52924" w:rsidP="00412B07">
      <w:pPr>
        <w:ind w:left="-709" w:right="-285" w:hanging="142"/>
        <w:jc w:val="both"/>
      </w:pPr>
    </w:p>
    <w:tbl>
      <w:tblPr>
        <w:tblW w:w="1139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566"/>
        <w:gridCol w:w="539"/>
        <w:gridCol w:w="613"/>
        <w:gridCol w:w="1721"/>
        <w:gridCol w:w="3075"/>
        <w:gridCol w:w="2582"/>
      </w:tblGrid>
      <w:tr w:rsidR="000468F1" w:rsidRPr="000468F1" w:rsidTr="000468F1">
        <w:trPr>
          <w:trHeight w:val="879"/>
        </w:trPr>
        <w:tc>
          <w:tcPr>
            <w:tcW w:w="2302" w:type="dxa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468F1">
              <w:rPr>
                <w:b/>
              </w:rPr>
              <w:t>Предмет контракта</w:t>
            </w:r>
          </w:p>
        </w:tc>
        <w:tc>
          <w:tcPr>
            <w:tcW w:w="566" w:type="dxa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0468F1">
              <w:rPr>
                <w:b/>
              </w:rPr>
              <w:t>№</w:t>
            </w:r>
          </w:p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0468F1">
              <w:rPr>
                <w:b/>
              </w:rPr>
              <w:t>п/п</w:t>
            </w:r>
          </w:p>
        </w:tc>
        <w:tc>
          <w:tcPr>
            <w:tcW w:w="539" w:type="dxa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0468F1">
              <w:rPr>
                <w:b/>
              </w:rPr>
              <w:t>кол-во</w:t>
            </w:r>
          </w:p>
        </w:tc>
        <w:tc>
          <w:tcPr>
            <w:tcW w:w="613" w:type="dxa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0468F1">
              <w:rPr>
                <w:b/>
              </w:rPr>
              <w:t>Ед. изм.</w:t>
            </w:r>
          </w:p>
        </w:tc>
        <w:tc>
          <w:tcPr>
            <w:tcW w:w="1721" w:type="dxa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468F1">
              <w:rPr>
                <w:b/>
              </w:rPr>
              <w:t>Наименование характеристик товара</w:t>
            </w:r>
          </w:p>
        </w:tc>
        <w:tc>
          <w:tcPr>
            <w:tcW w:w="3075" w:type="dxa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468F1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582" w:type="dxa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0468F1">
              <w:rPr>
                <w:b/>
              </w:rPr>
              <w:t xml:space="preserve">Требования к значению показателя 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 w:val="restart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  <w:r w:rsidRPr="000468F1">
              <w:t>Строительные материалы</w:t>
            </w:r>
          </w:p>
        </w:tc>
        <w:tc>
          <w:tcPr>
            <w:tcW w:w="566" w:type="dxa"/>
            <w:vMerge w:val="restart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  <w:r w:rsidRPr="000468F1">
              <w:t>1</w:t>
            </w: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  <w:r w:rsidRPr="000468F1">
              <w:t>165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  <w:r w:rsidRPr="000468F1">
              <w:t>п/м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468F1" w:rsidRPr="000468F1" w:rsidRDefault="000468F1" w:rsidP="00A96445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  <w:r w:rsidRPr="000468F1">
              <w:rPr>
                <w:iCs/>
                <w:color w:val="404040"/>
              </w:rPr>
              <w:t>Труба стальная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Наружный размер, мм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80,0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Толщина стенки, мм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>4,0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Форма профиля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 xml:space="preserve">Квадратная 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 xml:space="preserve">Соответствие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ГОСТ 32931-2015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 xml:space="preserve">Длина, м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>6,0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 w:val="restart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  <w:r w:rsidRPr="000468F1">
              <w:t>2</w:t>
            </w: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  <w:r w:rsidRPr="000468F1">
              <w:t>294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  <w:r w:rsidRPr="000468F1">
              <w:t>п/м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468F1" w:rsidRPr="000468F1" w:rsidRDefault="000468F1" w:rsidP="00A96445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  <w:r w:rsidRPr="000468F1">
              <w:rPr>
                <w:iCs/>
                <w:color w:val="404040"/>
              </w:rPr>
              <w:t>Труба</w:t>
            </w:r>
            <w:r w:rsidR="00A96445">
              <w:rPr>
                <w:iCs/>
                <w:color w:val="404040"/>
              </w:rPr>
              <w:t xml:space="preserve"> </w:t>
            </w:r>
            <w:r w:rsidRPr="000468F1">
              <w:rPr>
                <w:iCs/>
                <w:color w:val="404040"/>
              </w:rPr>
              <w:t>стальная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Наружный размер А, мм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40,0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Наружный размер В, мм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</w:pPr>
            <w:r w:rsidRPr="000468F1">
              <w:t>20,0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Толщина стенки, мм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>2,0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Форма профиля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 xml:space="preserve">Прямоугольная 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 xml:space="preserve">Соответствие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t>ГОСТ 32931-2015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 xml:space="preserve">Длина, м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>6,0</w:t>
            </w:r>
          </w:p>
        </w:tc>
      </w:tr>
      <w:tr w:rsidR="000468F1" w:rsidRPr="000468F1" w:rsidTr="000468F1">
        <w:trPr>
          <w:trHeight w:val="74"/>
        </w:trPr>
        <w:tc>
          <w:tcPr>
            <w:tcW w:w="2302" w:type="dxa"/>
            <w:vMerge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468F1" w:rsidRPr="000468F1" w:rsidRDefault="000468F1" w:rsidP="000468F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jc w:val="center"/>
              <w:rPr>
                <w:iCs/>
                <w:color w:val="404040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0468F1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468F1" w:rsidRPr="000468F1" w:rsidRDefault="000468F1" w:rsidP="000468F1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</w:tr>
    </w:tbl>
    <w:p w:rsidR="00FE32C7" w:rsidRDefault="00FE32C7" w:rsidP="00FE32C7">
      <w:pPr>
        <w:ind w:left="-709" w:right="-143"/>
        <w:jc w:val="both"/>
      </w:pPr>
    </w:p>
    <w:p w:rsidR="00EC7BA9" w:rsidRPr="00EC7BA9" w:rsidRDefault="00EC7BA9" w:rsidP="00EC7BA9">
      <w:pPr>
        <w:widowControl/>
        <w:autoSpaceDE/>
        <w:autoSpaceDN/>
        <w:adjustRightInd/>
        <w:ind w:hanging="851"/>
        <w:jc w:val="both"/>
        <w:rPr>
          <w:b/>
          <w:shd w:val="clear" w:color="auto" w:fill="FFFFFF"/>
        </w:rPr>
      </w:pPr>
      <w:r w:rsidRPr="00EC7BA9">
        <w:rPr>
          <w:b/>
          <w:shd w:val="clear" w:color="auto" w:fill="FFFFFF"/>
        </w:rPr>
        <w:t>Обоснование дополнительных характеристик:</w:t>
      </w:r>
    </w:p>
    <w:p w:rsidR="00EC7BA9" w:rsidRPr="00EC7BA9" w:rsidRDefault="00EC7BA9" w:rsidP="00EC7BA9">
      <w:pPr>
        <w:widowControl/>
        <w:autoSpaceDE/>
        <w:autoSpaceDN/>
        <w:adjustRightInd/>
        <w:ind w:hanging="851"/>
        <w:jc w:val="both"/>
        <w:rPr>
          <w:shd w:val="clear" w:color="auto" w:fill="FFFFFF"/>
        </w:rPr>
      </w:pPr>
      <w:r w:rsidRPr="00EC7BA9">
        <w:rPr>
          <w:shd w:val="clear" w:color="auto" w:fill="FFFFFF"/>
        </w:rPr>
        <w:t>Соответствие ГОСТ – ГОСТ – в соответствии с п.2 ч.1 ст.33 Федерального закона от 05.04.2013 №44-ФЗ.</w:t>
      </w:r>
    </w:p>
    <w:p w:rsidR="00EC7BA9" w:rsidRPr="00EC7BA9" w:rsidRDefault="00EC7BA9" w:rsidP="00EC7BA9">
      <w:pPr>
        <w:widowControl/>
        <w:autoSpaceDE/>
        <w:autoSpaceDN/>
        <w:adjustRightInd/>
        <w:ind w:right="-12" w:hanging="851"/>
        <w:jc w:val="both"/>
      </w:pPr>
      <w:r w:rsidRPr="00EC7BA9">
        <w:t>Длина – необходима для удобства хранения металлопроката на складе Заказчика.</w:t>
      </w: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A96445">
      <w:pPr>
        <w:pStyle w:val="a9"/>
        <w:ind w:left="-142" w:hanging="567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A96445">
      <w:pPr>
        <w:pStyle w:val="a9"/>
        <w:ind w:left="-142" w:hanging="567"/>
        <w:jc w:val="center"/>
        <w:rPr>
          <w:bCs/>
          <w:sz w:val="22"/>
          <w:szCs w:val="22"/>
        </w:rPr>
      </w:pPr>
    </w:p>
    <w:p w:rsidR="00FE32C7" w:rsidRPr="00AE0F5D" w:rsidRDefault="00FE32C7" w:rsidP="00A96445">
      <w:pPr>
        <w:ind w:left="-142" w:hanging="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A96445">
      <w:pPr>
        <w:ind w:left="-142" w:hanging="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A96445">
      <w:pPr>
        <w:ind w:left="-142" w:hanging="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A96445">
      <w:pPr>
        <w:ind w:left="-142" w:hanging="567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>м.п.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77ECE" w:rsidRDefault="00D77ECE" w:rsidP="00A96445">
      <w:pPr>
        <w:rPr>
          <w:bCs/>
          <w:sz w:val="22"/>
          <w:szCs w:val="22"/>
        </w:rPr>
      </w:pPr>
    </w:p>
    <w:p w:rsidR="00B630E8" w:rsidRDefault="00B630E8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9B7AD8" w:rsidRPr="00A13760" w:rsidRDefault="009B7AD8" w:rsidP="00A13760">
      <w:pPr>
        <w:jc w:val="center"/>
        <w:rPr>
          <w:b/>
          <w:bCs/>
          <w:sz w:val="22"/>
          <w:szCs w:val="22"/>
        </w:rPr>
      </w:pPr>
      <w:bookmarkStart w:id="5" w:name="_GoBack"/>
      <w:bookmarkEnd w:id="5"/>
    </w:p>
    <w:tbl>
      <w:tblPr>
        <w:tblW w:w="549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717"/>
        <w:gridCol w:w="2158"/>
        <w:gridCol w:w="865"/>
        <w:gridCol w:w="860"/>
        <w:gridCol w:w="2151"/>
        <w:gridCol w:w="2153"/>
      </w:tblGrid>
      <w:tr w:rsidR="00A42738" w:rsidRPr="00FD7C53" w:rsidTr="00A42738">
        <w:trPr>
          <w:trHeight w:val="500"/>
        </w:trPr>
        <w:tc>
          <w:tcPr>
            <w:tcW w:w="1026" w:type="pct"/>
            <w:vAlign w:val="center"/>
          </w:tcPr>
          <w:p w:rsidR="00A42738" w:rsidRPr="00FD7C53" w:rsidRDefault="00A42738" w:rsidP="00A42738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320" w:type="pct"/>
            <w:vAlign w:val="center"/>
          </w:tcPr>
          <w:p w:rsidR="00A42738" w:rsidRPr="00A42738" w:rsidRDefault="00A42738" w:rsidP="00A427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</w:t>
            </w:r>
            <w:r>
              <w:rPr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963" w:type="pct"/>
            <w:vAlign w:val="center"/>
          </w:tcPr>
          <w:p w:rsidR="00A42738" w:rsidRPr="00FD7C53" w:rsidRDefault="00A42738" w:rsidP="00A427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386" w:type="pct"/>
            <w:vAlign w:val="center"/>
          </w:tcPr>
          <w:p w:rsidR="00A42738" w:rsidRPr="00FD7C53" w:rsidRDefault="00A42738" w:rsidP="00A42738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384" w:type="pct"/>
            <w:vAlign w:val="center"/>
          </w:tcPr>
          <w:p w:rsidR="00A42738" w:rsidRPr="00FD7C53" w:rsidRDefault="00A42738" w:rsidP="00A42738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60" w:type="pct"/>
            <w:vAlign w:val="center"/>
          </w:tcPr>
          <w:p w:rsidR="00A42738" w:rsidRPr="00FD7C53" w:rsidRDefault="00A42738" w:rsidP="00A42738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42738" w:rsidRPr="00FD7C53" w:rsidRDefault="00A42738" w:rsidP="00A42738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961" w:type="pct"/>
            <w:vAlign w:val="center"/>
          </w:tcPr>
          <w:p w:rsidR="00A42738" w:rsidRPr="00FD7C53" w:rsidRDefault="00A42738" w:rsidP="00A42738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42738" w:rsidRPr="00FD7C53" w:rsidRDefault="00A42738" w:rsidP="00A42738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A42738" w:rsidRPr="00FD7C53" w:rsidTr="00A42738">
        <w:trPr>
          <w:trHeight w:val="295"/>
        </w:trPr>
        <w:tc>
          <w:tcPr>
            <w:tcW w:w="1026" w:type="pct"/>
            <w:vMerge w:val="restart"/>
            <w:vAlign w:val="center"/>
          </w:tcPr>
          <w:p w:rsidR="00A42738" w:rsidRPr="00F27630" w:rsidRDefault="00A42738" w:rsidP="00A42738">
            <w:pPr>
              <w:keepNext/>
              <w:contextualSpacing/>
              <w:jc w:val="center"/>
              <w:rPr>
                <w:lang w:eastAsia="en-US"/>
              </w:rPr>
            </w:pPr>
            <w:r w:rsidRPr="00A96445">
              <w:rPr>
                <w:lang w:eastAsia="en-US"/>
              </w:rPr>
              <w:t>Строительные материалы</w:t>
            </w:r>
          </w:p>
        </w:tc>
        <w:tc>
          <w:tcPr>
            <w:tcW w:w="320" w:type="pct"/>
            <w:vAlign w:val="center"/>
          </w:tcPr>
          <w:p w:rsidR="00A42738" w:rsidRPr="00A96445" w:rsidRDefault="00A42738" w:rsidP="00A4273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" w:type="pct"/>
            <w:vAlign w:val="center"/>
          </w:tcPr>
          <w:p w:rsidR="00A42738" w:rsidRPr="00A96445" w:rsidRDefault="00A42738" w:rsidP="00A42738">
            <w:pPr>
              <w:jc w:val="center"/>
              <w:rPr>
                <w:bCs/>
              </w:rPr>
            </w:pPr>
            <w:r w:rsidRPr="00A96445">
              <w:rPr>
                <w:bCs/>
              </w:rPr>
              <w:t>Труба стальная</w:t>
            </w:r>
          </w:p>
        </w:tc>
        <w:tc>
          <w:tcPr>
            <w:tcW w:w="386" w:type="pct"/>
            <w:vAlign w:val="center"/>
          </w:tcPr>
          <w:p w:rsidR="00A42738" w:rsidRPr="008A5A66" w:rsidRDefault="00A42738" w:rsidP="00A42738">
            <w:pPr>
              <w:jc w:val="center"/>
              <w:rPr>
                <w:bCs/>
                <w:sz w:val="18"/>
                <w:szCs w:val="18"/>
              </w:rPr>
            </w:pPr>
            <w:r w:rsidRPr="00A96445">
              <w:rPr>
                <w:bCs/>
                <w:sz w:val="18"/>
                <w:szCs w:val="18"/>
              </w:rPr>
              <w:t>165</w:t>
            </w:r>
          </w:p>
        </w:tc>
        <w:tc>
          <w:tcPr>
            <w:tcW w:w="384" w:type="pct"/>
            <w:vAlign w:val="center"/>
          </w:tcPr>
          <w:p w:rsidR="00A42738" w:rsidRDefault="00A42738" w:rsidP="00A42738">
            <w:pPr>
              <w:jc w:val="center"/>
            </w:pPr>
            <w:r w:rsidRPr="00A96445">
              <w:t>п/м</w:t>
            </w:r>
          </w:p>
        </w:tc>
        <w:tc>
          <w:tcPr>
            <w:tcW w:w="960" w:type="pct"/>
            <w:vAlign w:val="center"/>
          </w:tcPr>
          <w:p w:rsidR="00A42738" w:rsidRPr="00FD7C53" w:rsidRDefault="00A42738" w:rsidP="00A427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:rsidR="00A42738" w:rsidRPr="00FD7C53" w:rsidRDefault="00A42738" w:rsidP="00A4273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42738" w:rsidRPr="00FD7C53" w:rsidTr="00A42738">
        <w:trPr>
          <w:trHeight w:val="295"/>
        </w:trPr>
        <w:tc>
          <w:tcPr>
            <w:tcW w:w="1026" w:type="pct"/>
            <w:vMerge/>
            <w:vAlign w:val="center"/>
          </w:tcPr>
          <w:p w:rsidR="00A42738" w:rsidRDefault="00A42738" w:rsidP="00A42738">
            <w:pPr>
              <w:keepNext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20" w:type="pct"/>
            <w:vAlign w:val="center"/>
          </w:tcPr>
          <w:p w:rsidR="00A42738" w:rsidRDefault="00A42738" w:rsidP="00A42738">
            <w:pPr>
              <w:jc w:val="center"/>
            </w:pPr>
            <w:r>
              <w:t>2</w:t>
            </w:r>
          </w:p>
        </w:tc>
        <w:tc>
          <w:tcPr>
            <w:tcW w:w="963" w:type="pct"/>
            <w:vAlign w:val="center"/>
          </w:tcPr>
          <w:p w:rsidR="00A42738" w:rsidRDefault="00A42738" w:rsidP="00A42738">
            <w:pPr>
              <w:jc w:val="center"/>
            </w:pPr>
            <w:r w:rsidRPr="00A96445">
              <w:t>Труба стальная</w:t>
            </w:r>
          </w:p>
        </w:tc>
        <w:tc>
          <w:tcPr>
            <w:tcW w:w="386" w:type="pct"/>
            <w:vAlign w:val="center"/>
          </w:tcPr>
          <w:p w:rsidR="00A42738" w:rsidRDefault="00A42738" w:rsidP="00A42738">
            <w:pPr>
              <w:jc w:val="center"/>
              <w:rPr>
                <w:bCs/>
                <w:sz w:val="18"/>
                <w:szCs w:val="18"/>
              </w:rPr>
            </w:pPr>
            <w:r w:rsidRPr="00A96445">
              <w:rPr>
                <w:bCs/>
                <w:sz w:val="18"/>
                <w:szCs w:val="18"/>
              </w:rPr>
              <w:t>294</w:t>
            </w:r>
          </w:p>
        </w:tc>
        <w:tc>
          <w:tcPr>
            <w:tcW w:w="384" w:type="pct"/>
            <w:vAlign w:val="center"/>
          </w:tcPr>
          <w:p w:rsidR="00A42738" w:rsidRDefault="00A42738" w:rsidP="00A42738">
            <w:pPr>
              <w:jc w:val="center"/>
            </w:pPr>
            <w:r w:rsidRPr="00A96445">
              <w:t>п/м</w:t>
            </w:r>
          </w:p>
        </w:tc>
        <w:tc>
          <w:tcPr>
            <w:tcW w:w="960" w:type="pct"/>
            <w:vAlign w:val="center"/>
          </w:tcPr>
          <w:p w:rsidR="00A42738" w:rsidRPr="00FD7C53" w:rsidRDefault="00A42738" w:rsidP="00A427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:rsidR="00A42738" w:rsidRPr="00FD7C53" w:rsidRDefault="00A42738" w:rsidP="00A4273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A96445">
      <w:pPr>
        <w:ind w:left="-709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A96445">
      <w:pPr>
        <w:pStyle w:val="a9"/>
        <w:ind w:left="-709" w:firstLine="0"/>
        <w:rPr>
          <w:bCs/>
          <w:sz w:val="22"/>
          <w:szCs w:val="22"/>
        </w:rPr>
      </w:pPr>
    </w:p>
    <w:p w:rsidR="006D64AE" w:rsidRDefault="006D64AE" w:rsidP="00A96445">
      <w:pPr>
        <w:pStyle w:val="a9"/>
        <w:ind w:left="-709" w:firstLine="0"/>
        <w:rPr>
          <w:bCs/>
          <w:sz w:val="22"/>
          <w:szCs w:val="22"/>
        </w:rPr>
      </w:pPr>
    </w:p>
    <w:p w:rsidR="00FE32C7" w:rsidRPr="00D5048F" w:rsidRDefault="00FE32C7" w:rsidP="00A96445">
      <w:pPr>
        <w:pStyle w:val="a9"/>
        <w:ind w:left="-709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A96445">
      <w:pPr>
        <w:pStyle w:val="a9"/>
        <w:ind w:left="-709" w:firstLine="0"/>
        <w:jc w:val="center"/>
        <w:rPr>
          <w:bCs/>
          <w:sz w:val="22"/>
          <w:szCs w:val="22"/>
        </w:rPr>
      </w:pPr>
    </w:p>
    <w:p w:rsidR="00FE32C7" w:rsidRPr="00AE0F5D" w:rsidRDefault="00FE32C7" w:rsidP="00A96445">
      <w:pPr>
        <w:ind w:left="-709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A96445">
      <w:pPr>
        <w:ind w:left="-709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A96445">
      <w:pPr>
        <w:ind w:left="-709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A96445">
      <w:pPr>
        <w:tabs>
          <w:tab w:val="left" w:pos="8820"/>
          <w:tab w:val="left" w:pos="12060"/>
        </w:tabs>
        <w:ind w:left="-709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>м.п.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A96445">
      <w:pPr>
        <w:ind w:left="-709"/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A96445">
      <w:pPr>
        <w:ind w:left="-709"/>
        <w:jc w:val="right"/>
        <w:rPr>
          <w:bCs/>
          <w:sz w:val="22"/>
          <w:szCs w:val="22"/>
        </w:rPr>
      </w:pPr>
    </w:p>
    <w:p w:rsidR="00C00039" w:rsidRDefault="00C00039" w:rsidP="00A96445">
      <w:pPr>
        <w:ind w:left="-709"/>
        <w:rPr>
          <w:bCs/>
          <w:sz w:val="22"/>
          <w:szCs w:val="22"/>
        </w:rPr>
      </w:pPr>
    </w:p>
    <w:p w:rsidR="00385BCE" w:rsidRDefault="00385BCE" w:rsidP="00A96445">
      <w:pPr>
        <w:ind w:left="-709"/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A96445" w:rsidRDefault="00A96445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   </w:t>
      </w:r>
      <w:r w:rsidR="004E2935" w:rsidRPr="00AE0F5D">
        <w:rPr>
          <w:bCs/>
          <w:iCs/>
          <w:sz w:val="22"/>
          <w:szCs w:val="22"/>
        </w:rPr>
        <w:t>«_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_____________20__г.,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Принял: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«____»____________20___г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1C" w:rsidRDefault="00C0741C" w:rsidP="003A1257">
      <w:r>
        <w:separator/>
      </w:r>
    </w:p>
  </w:endnote>
  <w:endnote w:type="continuationSeparator" w:id="0">
    <w:p w:rsidR="00C0741C" w:rsidRDefault="00C0741C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41C" w:rsidRDefault="00C0741C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9B7AD8">
      <w:rPr>
        <w:rFonts w:ascii="Liberation Serif" w:hAnsi="Liberation Serif"/>
        <w:noProof/>
      </w:rPr>
      <w:t>10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1C" w:rsidRDefault="00C0741C" w:rsidP="003A1257">
      <w:r>
        <w:separator/>
      </w:r>
    </w:p>
  </w:footnote>
  <w:footnote w:type="continuationSeparator" w:id="0">
    <w:p w:rsidR="00C0741C" w:rsidRDefault="00C0741C" w:rsidP="003A1257">
      <w:r>
        <w:continuationSeparator/>
      </w:r>
    </w:p>
  </w:footnote>
  <w:footnote w:id="1">
    <w:p w:rsidR="00C0741C" w:rsidRDefault="00C0741C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C0741C" w:rsidRDefault="00C0741C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C0741C" w:rsidRDefault="00C0741C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7"/>
  </w:num>
  <w:num w:numId="5">
    <w:abstractNumId w:val="26"/>
  </w:num>
  <w:num w:numId="6">
    <w:abstractNumId w:val="1"/>
  </w:num>
  <w:num w:numId="7">
    <w:abstractNumId w:val="38"/>
  </w:num>
  <w:num w:numId="8">
    <w:abstractNumId w:val="41"/>
  </w:num>
  <w:num w:numId="9">
    <w:abstractNumId w:val="24"/>
  </w:num>
  <w:num w:numId="10">
    <w:abstractNumId w:val="25"/>
  </w:num>
  <w:num w:numId="11">
    <w:abstractNumId w:val="19"/>
  </w:num>
  <w:num w:numId="12">
    <w:abstractNumId w:val="35"/>
  </w:num>
  <w:num w:numId="13">
    <w:abstractNumId w:val="40"/>
  </w:num>
  <w:num w:numId="14">
    <w:abstractNumId w:val="16"/>
  </w:num>
  <w:num w:numId="15">
    <w:abstractNumId w:val="3"/>
  </w:num>
  <w:num w:numId="16">
    <w:abstractNumId w:val="3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32"/>
  </w:num>
  <w:num w:numId="23">
    <w:abstractNumId w:val="13"/>
  </w:num>
  <w:num w:numId="24">
    <w:abstractNumId w:val="17"/>
  </w:num>
  <w:num w:numId="25">
    <w:abstractNumId w:val="37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8"/>
  </w:num>
  <w:num w:numId="32">
    <w:abstractNumId w:val="20"/>
  </w:num>
  <w:num w:numId="33">
    <w:abstractNumId w:val="15"/>
  </w:num>
  <w:num w:numId="34">
    <w:abstractNumId w:val="34"/>
  </w:num>
  <w:num w:numId="35">
    <w:abstractNumId w:val="30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4"/>
  </w:num>
  <w:num w:numId="40">
    <w:abstractNumId w:val="42"/>
  </w:num>
  <w:num w:numId="41">
    <w:abstractNumId w:val="39"/>
  </w:num>
  <w:num w:numId="42">
    <w:abstractNumId w:val="8"/>
  </w:num>
  <w:num w:numId="43">
    <w:abstractNumId w:val="43"/>
  </w:num>
  <w:num w:numId="44">
    <w:abstractNumId w:val="31"/>
  </w:num>
  <w:num w:numId="45">
    <w:abstractNumId w:val="4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468F1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B4FBE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AD8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2738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96445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30E8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41C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773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531A5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4858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C7BA9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577C2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9EC68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8204-027B-469E-996D-BCC6C3DB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15</Pages>
  <Words>5258</Words>
  <Characters>42408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194</cp:revision>
  <cp:lastPrinted>2018-10-24T12:25:00Z</cp:lastPrinted>
  <dcterms:created xsi:type="dcterms:W3CDTF">2024-03-06T07:03:00Z</dcterms:created>
  <dcterms:modified xsi:type="dcterms:W3CDTF">2026-06-17T08:21:00Z</dcterms:modified>
</cp:coreProperties>
</file>