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ТЕХНИЧЕСКОЕ ЗАДАНИЕ</w:t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на оказание услуг по предоставлению выделенного доступа в информационно-телекоммуникационную сеть «Интернет»</w:t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1. Общая информация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Наименование объекта закупки: Услуги по предоставлению доступа к сети Интернет.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Заказчик: Управление Федеральной службы государственной регистрации, кадастра и картографии по Республике Алтай.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Основание закупки: Пункт 4 части 1 статьи 93 Федерального закона № 44-ФЗ.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Код позиции КТРУ: 61.10.40.000-00000249 (Услуги по доступу к информационно-коммуникационной сети Интернет).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2. Место и сроки оказания услуг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Место оказания услуг: 649000, Российская Федерация, Республика Алтай, г. Горно-Алтайск, ул. В.И. Чаптынова, д. 20.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Срок оказания услуг: с «01» октября 2026 г. по «31» октября 2026 г. (включительно).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3. Технические и качественные характеристики услуг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Исполнитель должен обеспечить фиксированный безлимитный доступ к сети Интернет со следующими параметрами: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Технология подключения: Выделенный проводной оптический канал связи (по технологии FTTx / ETTH).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Скорость доступа (пропускная способность): не менее 30 Мбит/с.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Тип тарифа: Фиксированная абонентская плата без учета объема трафика (безлимитный доступ).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Качественные показатели передачи данных: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  - Средняя задержка передачи пакетов информации: не более 100 мс.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  - Коэффициент потери пакетов информации: не более 10⁻³.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  - Коэффициент ошибок в пакетах: не более 10⁻⁴.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4. Требования к надежности и технической поддержке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Доступ к услугам должен предоставляться непрерывно, 24 часа в сутки, 7 дней в неделю.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Суммарное время технологических перерывов для проведения планового ремонта и обслуживания оборудования не должно превышать 6 часов за весь расчетный период (октябрь).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Исполнитель обеспечивает круглосуточную техническую поддержку Заказчика по телефону горячей линии.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Качество услуг должно строго соответствовать Федеральному закону от 07.07.2003 № 126-ФЗ «О связи».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5. Финансовые условия, порядок приемки и расчетов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Начальная (максимальная) цена контракта (НМЦК): 2 846,26 рублей, в том числе НДС 22% в размере 513,26 рублей (цена без НДС составляет 2 333,00 рублей).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Срок предоставления документов Исполнителем: Исполнитель обязан предоставить Заказчику оформленный со своей стороны Акт оказанных услуг и расчетно-платежные документы (счет, счет-фактуру) в течение 5 (пяти) календарных дней с момента окончания срока оказа</w:t>
      </w:r>
      <w:r>
        <w:rPr>
          <w:rFonts w:ascii="Times New Roman" w:hAnsi="Times New Roman" w:eastAsia="Times New Roman" w:cs="Times New Roman"/>
          <w:highlight w:val="none"/>
        </w:rPr>
        <w:t xml:space="preserve">ния услуг (не позднее 05 ноября 2026 года).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Срок приемки и оформления результатов: Приемка оказанных услуг осуществляется Заказчиком в течение 5 (пяти) рабочих дней со дня предоставления Исполнителем Акта оказанных услуг и расчетно-платежных документов. В указанный срок Заказчик подписывает Акт при</w:t>
      </w:r>
      <w:r>
        <w:rPr>
          <w:rFonts w:ascii="Times New Roman" w:hAnsi="Times New Roman" w:eastAsia="Times New Roman" w:cs="Times New Roman"/>
          <w:highlight w:val="none"/>
        </w:rPr>
        <w:t xml:space="preserve">емки либо направляет Исполнителю мотивированный отказ в письменной форме.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Порядок оплаты: Оплата за фактически оказанные в октябре 2026 года услуги производится Заказчиком в безналичном порядке в течение 10 рабочих дней с даты подписания Сторонами Акта оказанных услуг (документа о приемке).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6. Ответственность сторон, изменение и расторжение контракта</w:t>
      </w:r>
      <w:r/>
    </w:p>
    <w:p>
      <w:pPr>
        <w:spacing w:after="0" w:afterAutospacing="0" w:line="240" w:lineRule="auto"/>
      </w:pPr>
      <w:r>
        <w:rPr>
          <w:rFonts w:ascii="Times New Roman" w:hAnsi="Times New Roman" w:eastAsia="Times New Roman" w:cs="Times New Roman"/>
          <w:highlight w:val="none"/>
        </w:rPr>
        <w:t xml:space="preserve">• Ответственность сторон за неисполнение обязательств: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Начисление и выплата ш</w:t>
      </w:r>
      <w:r>
        <w:rPr>
          <w:rFonts w:ascii="Times New Roman" w:hAnsi="Times New Roman" w:eastAsia="Times New Roman" w:cs="Times New Roman"/>
          <w:highlight w:val="none"/>
        </w:rPr>
        <w:t xml:space="preserve">трафных санкций (пени, штрафов) осуществляются в порядке и размерах, установленных Правилами, утвержденными Постановлением Правительства РФ от 30.08.2017 № 1042. Пеня начисляется за каждый день просрочки исполнения обязательства, предусмотренного Контрактом</w:t>
      </w:r>
      <w:r>
        <w:rPr>
          <w:rFonts w:ascii="Times New Roman" w:hAnsi="Times New Roman" w:eastAsia="Times New Roman" w:cs="Times New Roman"/>
          <w:highlight w:val="none"/>
        </w:rPr>
        <w:t xml:space="preserve">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 (или стоимости эта</w:t>
      </w:r>
      <w:r>
        <w:rPr>
          <w:rFonts w:ascii="Times New Roman" w:hAnsi="Times New Roman" w:eastAsia="Times New Roman" w:cs="Times New Roman"/>
          <w:highlight w:val="none"/>
        </w:rPr>
        <w:t xml:space="preserve">па), уменьшенной на сумму, пропорциональную объему фактически исполненных обязательств. Общая сумма начисленных штрафов за неисполнение или ненадлежащее исполнение обязательств не может превышать цену Контракта.</w:t>
      </w:r>
      <w:r/>
    </w:p>
    <w:p>
      <w:pPr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• Расторжение Контракта в одностороннем порядке: Расторжение настоящего Контракта допускается в одностороннем порядке по основаниям и в соответствии с процедурой, предусмотренной гражданским законодательством Российской Федерации и статьей 95 Федерального з</w:t>
      </w:r>
      <w:r>
        <w:rPr>
          <w:rFonts w:ascii="Times New Roman" w:hAnsi="Times New Roman" w:eastAsia="Times New Roman" w:cs="Times New Roman"/>
          <w:highlight w:val="none"/>
        </w:rPr>
        <w:t xml:space="preserve">акона № 44-ФЗ. Каждая из Сторон вправе принять решение об одностороннем отказе от исполнения Контракта в случае существенного нарушения обязательств другой Стороной. Заказчик обязан отменить не вступившее в силу решение об одностороннем отказе, если в течен</w:t>
      </w:r>
      <w:r>
        <w:rPr>
          <w:rFonts w:ascii="Times New Roman" w:hAnsi="Times New Roman" w:eastAsia="Times New Roman" w:cs="Times New Roman"/>
          <w:highlight w:val="none"/>
        </w:rPr>
        <w:t xml:space="preserve">ие 10-дневного срока с даты надлежащего уведомления Исполнитель устранил допущенное нарушение.</w:t>
      </w:r>
      <w:r/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sobchak</cp:lastModifiedBy>
  <cp:revision>2</cp:revision>
  <dcterms:modified xsi:type="dcterms:W3CDTF">2026-06-29T03:32:40Z</dcterms:modified>
</cp:coreProperties>
</file>