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rPr>
          <w:b/>
          <w:bCs/>
          <w:kern w:val="28"/>
        </w:rPr>
      </w:pPr>
      <w:r>
        <w:rPr>
          <w:b/>
          <w:bCs/>
          <w:kern w:val="28"/>
        </w:rPr>
        <w:t xml:space="preserve">ПРОЕКТ </w:t>
      </w:r>
    </w:p>
    <w:p>
      <w:pPr>
        <w:jc w:val="center"/>
        <w:rPr>
          <w:b/>
        </w:rPr>
      </w:pPr>
      <w:r>
        <w:rPr>
          <w:b/>
          <w:bCs/>
          <w:kern w:val="28"/>
        </w:rPr>
        <w:t>Государственный Контракт</w:t>
      </w:r>
    </w:p>
    <w:p>
      <w:pPr>
        <w:jc w:val="center"/>
        <w:rPr>
          <w:b/>
        </w:rPr>
      </w:pPr>
      <w:r>
        <w:rPr>
          <w:b/>
        </w:rPr>
        <w:t xml:space="preserve">на оказание услуг по гидропневматической промывке и </w:t>
      </w:r>
      <w:proofErr w:type="spellStart"/>
      <w:r>
        <w:rPr>
          <w:b/>
        </w:rPr>
        <w:t>опрессовке</w:t>
      </w:r>
      <w:proofErr w:type="spellEnd"/>
      <w:r>
        <w:rPr>
          <w:b/>
        </w:rPr>
        <w:t xml:space="preserve"> системы отопления</w:t>
      </w:r>
    </w:p>
    <w:p>
      <w:pPr>
        <w:jc w:val="center"/>
        <w:rPr>
          <w:b/>
        </w:rPr>
      </w:pPr>
      <w:r>
        <w:rPr>
          <w:b/>
        </w:rPr>
        <w:t>№</w:t>
      </w:r>
    </w:p>
    <w:p>
      <w:pPr>
        <w:jc w:val="center"/>
        <w:rPr>
          <w:b/>
        </w:rPr>
      </w:pPr>
      <w:r>
        <w:rPr>
          <w:b/>
        </w:rPr>
        <w:t>ИКЗ 261490900715249090100100140000000000</w:t>
      </w:r>
    </w:p>
    <w:p>
      <w:pPr>
        <w:jc w:val="center"/>
        <w:rPr>
          <w:b/>
        </w:rPr>
      </w:pPr>
    </w:p>
    <w:p>
      <w:pPr>
        <w:jc w:val="center"/>
      </w:pPr>
    </w:p>
    <w:p>
      <w:pPr>
        <w:jc w:val="both"/>
      </w:pPr>
      <w:r>
        <w:t xml:space="preserve"> Магадан</w:t>
      </w:r>
      <w:r>
        <w:tab/>
      </w:r>
      <w:r>
        <w:tab/>
      </w:r>
      <w:r>
        <w:tab/>
      </w:r>
      <w:r>
        <w:tab/>
      </w:r>
      <w:r>
        <w:tab/>
      </w:r>
      <w:r>
        <w:tab/>
        <w:t xml:space="preserve">                                      «__»  _________ 2026 г.</w:t>
      </w:r>
    </w:p>
    <w:p>
      <w:pPr>
        <w:ind w:firstLine="567"/>
        <w:jc w:val="both"/>
      </w:pPr>
      <w:r>
        <w:t xml:space="preserve"> </w:t>
      </w:r>
    </w:p>
    <w:p>
      <w:pPr>
        <w:shd w:val="clear" w:color="auto" w:fill="FFFFFF"/>
        <w:jc w:val="both"/>
      </w:pPr>
      <w:r>
        <w:t xml:space="preserve">           Управление Федеральной налоговой службы по Магаданской области (УФНС России по Магаданской области), именуемое в дальнейшем «Заказчик»,  в лице ________________________, действующего на основании Положения об Управлении от 01.07.2026 и приказа___________________, с одной стороны</w:t>
      </w:r>
      <w:r>
        <w:rPr>
          <w:bCs/>
          <w:iCs/>
          <w:spacing w:val="-6"/>
        </w:rPr>
        <w:t xml:space="preserve"> и  </w:t>
      </w:r>
      <w:r>
        <w:t>_____</w:t>
      </w:r>
      <w:r>
        <w:rPr>
          <w:bCs/>
          <w:spacing w:val="-6"/>
        </w:rPr>
        <w:t>, именуемое в дальнейшем  «Исполнитель», в лице ____</w:t>
      </w:r>
      <w:proofErr w:type="gramStart"/>
      <w:r>
        <w:rPr>
          <w:rFonts w:ascii="Arial" w:hAnsi="Arial" w:cs="Arial"/>
          <w:color w:val="000000"/>
          <w:sz w:val="20"/>
          <w:szCs w:val="20"/>
          <w:shd w:val="clear" w:color="auto" w:fill="FFFFFF"/>
        </w:rPr>
        <w:t xml:space="preserve"> </w:t>
      </w:r>
      <w:r>
        <w:rPr>
          <w:bCs/>
          <w:spacing w:val="-6"/>
        </w:rPr>
        <w:t xml:space="preserve"> ,</w:t>
      </w:r>
      <w:proofErr w:type="gramEnd"/>
      <w:r>
        <w:rPr>
          <w:bCs/>
          <w:spacing w:val="-6"/>
        </w:rPr>
        <w:t xml:space="preserve"> действующего на основании ____ </w:t>
      </w:r>
      <w:r>
        <w:t>,</w:t>
      </w:r>
      <w:r>
        <w:rPr>
          <w:bCs/>
          <w:spacing w:val="-6"/>
        </w:rPr>
        <w:t xml:space="preserve">с другой стороны, </w:t>
      </w:r>
      <w:r>
        <w:rPr>
          <w:bCs/>
        </w:rPr>
        <w:t>в дальнейшем вместе именуемые «Стороны»,</w:t>
      </w:r>
      <w:r>
        <w:t xml:space="preserve"> и каждый в отдельности «Сторона», 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  заключили настоящий Контракт о нижеследующем:</w:t>
      </w:r>
    </w:p>
    <w:p>
      <w:pPr>
        <w:shd w:val="clear" w:color="auto" w:fill="FFFFFF"/>
        <w:jc w:val="both"/>
      </w:pPr>
      <w:r>
        <w:rPr>
          <w:b/>
          <w:bCs/>
        </w:rPr>
        <w:t xml:space="preserve">                                                                    1. ПРЕДМЕТ </w:t>
      </w:r>
      <w:r>
        <w:rPr>
          <w:b/>
        </w:rPr>
        <w:t>КОНТРАКТ</w:t>
      </w:r>
      <w:r>
        <w:rPr>
          <w:b/>
          <w:bCs/>
        </w:rPr>
        <w:t>А</w:t>
      </w:r>
    </w:p>
    <w:p>
      <w:pPr>
        <w:keepNext/>
        <w:autoSpaceDE w:val="0"/>
        <w:ind w:firstLine="709"/>
        <w:jc w:val="both"/>
      </w:pPr>
      <w:r>
        <w:t xml:space="preserve">1.1. Предмет Контракта: Оказание услуг по гидропневматической промывке и </w:t>
      </w:r>
      <w:proofErr w:type="spellStart"/>
      <w:r>
        <w:t>опрессовке</w:t>
      </w:r>
      <w:proofErr w:type="spellEnd"/>
      <w:r>
        <w:t xml:space="preserve"> системы отопления административных зданий (далее - Услуги), расположенных по адресу: </w:t>
      </w:r>
    </w:p>
    <w:p>
      <w:pPr>
        <w:keepNext/>
        <w:autoSpaceDE w:val="0"/>
        <w:ind w:firstLine="709"/>
        <w:jc w:val="both"/>
      </w:pPr>
      <w:r>
        <w:t xml:space="preserve">-г. Магадан, ул. </w:t>
      </w:r>
      <w:proofErr w:type="gramStart"/>
      <w:r>
        <w:t>Пролетарская</w:t>
      </w:r>
      <w:proofErr w:type="gramEnd"/>
      <w:r>
        <w:t>, д. 39;</w:t>
      </w:r>
    </w:p>
    <w:p>
      <w:pPr>
        <w:keepNext/>
        <w:autoSpaceDE w:val="0"/>
        <w:ind w:firstLine="709"/>
        <w:jc w:val="both"/>
      </w:pPr>
      <w:r>
        <w:t>-г. Магадан, ул. Пушкина, д. 11/11.</w:t>
      </w:r>
    </w:p>
    <w:p>
      <w:pPr>
        <w:keepNext/>
        <w:autoSpaceDE w:val="0"/>
        <w:ind w:firstLine="709"/>
        <w:jc w:val="both"/>
      </w:pPr>
      <w:r>
        <w:rPr>
          <w:bCs/>
        </w:rPr>
        <w:t xml:space="preserve"> </w:t>
      </w:r>
      <w:r>
        <w:t>Заказчик поручает, а Исполнитель принимает на себя обязательства оказать Услуги в соответствии с техническим заданием (Приложение 1), а Заказчик обязуется принять оказанные Услуги и оплатить их в порядке и на условиях, предусмотренных Контрактом.</w:t>
      </w:r>
    </w:p>
    <w:p>
      <w:pPr>
        <w:autoSpaceDE w:val="0"/>
        <w:autoSpaceDN w:val="0"/>
        <w:adjustRightInd w:val="0"/>
        <w:outlineLvl w:val="2"/>
        <w:rPr>
          <w:b/>
        </w:rPr>
      </w:pPr>
      <w:r>
        <w:t xml:space="preserve">                                                                       </w:t>
      </w:r>
      <w:r>
        <w:rPr>
          <w:b/>
        </w:rPr>
        <w:t>2. ЦЕНА КОНТРАКТА</w:t>
      </w:r>
    </w:p>
    <w:p>
      <w:pPr>
        <w:autoSpaceDE w:val="0"/>
        <w:autoSpaceDN w:val="0"/>
        <w:adjustRightInd w:val="0"/>
        <w:jc w:val="both"/>
        <w:rPr>
          <w:rFonts w:eastAsiaTheme="minorEastAsia"/>
        </w:rPr>
      </w:pPr>
      <w:r>
        <w:tab/>
      </w:r>
      <w:r>
        <w:rPr>
          <w:rFonts w:eastAsiaTheme="minorEastAsia"/>
        </w:rPr>
        <w:t>2.1. Цена настоящего Контракта составляет</w:t>
      </w:r>
      <w:proofErr w:type="gramStart"/>
      <w:r>
        <w:rPr>
          <w:rFonts w:eastAsiaTheme="minorEastAsia"/>
        </w:rPr>
        <w:t xml:space="preserve">: ___________________________ (_______________________) </w:t>
      </w:r>
      <w:proofErr w:type="gramEnd"/>
      <w:r>
        <w:rPr>
          <w:rFonts w:eastAsiaTheme="minorEastAsia"/>
        </w:rPr>
        <w:t>рублей ____ копеек, включая НДС в сумме __________(или НДС не облагается).</w:t>
      </w:r>
    </w:p>
    <w:p>
      <w:pPr>
        <w:autoSpaceDE w:val="0"/>
        <w:autoSpaceDN w:val="0"/>
        <w:adjustRightInd w:val="0"/>
        <w:ind w:firstLine="708"/>
        <w:jc w:val="both"/>
        <w:rPr>
          <w:rFonts w:eastAsiaTheme="minorEastAsia"/>
        </w:rPr>
      </w:pPr>
      <w:r>
        <w:rPr>
          <w:rFonts w:eastAsiaTheme="minorEastAsia"/>
        </w:rPr>
        <w:t xml:space="preserve">2.2. Расчеты за Услуги производятся с момента приемки оказанной Услуги Заказчиком без замечаний,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  После чего, Заказчик принимает и подписывает полученные от Исполнителя Акт об оказании услуг и иные документы, которые Исполнитель обязан предоставить Заказчику для подтверждения оказанных услуг Исполнителем в полном объеме в соответствии с техническим заданием. Оплата по Контракту производится Заказчиком на расчетный счет Исполнителя в течение 7 (семи) рабочих дней </w:t>
      </w:r>
      <w:proofErr w:type="gramStart"/>
      <w:r>
        <w:rPr>
          <w:rFonts w:eastAsiaTheme="minorEastAsia"/>
        </w:rPr>
        <w:t>с даты подписания</w:t>
      </w:r>
      <w:proofErr w:type="gramEnd"/>
      <w:r>
        <w:rPr>
          <w:rFonts w:eastAsiaTheme="minorEastAsia"/>
        </w:rPr>
        <w:t xml:space="preserve"> документа о приёмке: акта об оказании услуг, счета, УПД (и иных документов, установленных законодательством Российской Федерации).</w:t>
      </w:r>
    </w:p>
    <w:p>
      <w:pPr>
        <w:autoSpaceDE w:val="0"/>
        <w:autoSpaceDN w:val="0"/>
        <w:adjustRightInd w:val="0"/>
        <w:jc w:val="both"/>
        <w:rPr>
          <w:rFonts w:eastAsiaTheme="minorEastAsia"/>
        </w:rPr>
      </w:pPr>
      <w:r>
        <w:rPr>
          <w:rFonts w:eastAsiaTheme="minorEastAsia"/>
        </w:rPr>
        <w:tab/>
        <w:t xml:space="preserve">2.3. Цена включает все налоги и иные обязательные платежи, стоимость услуг, а также – все иные расходы Исполнителя, связанные с исполнением обязательств, принимаемых по настоящему Контракту. </w:t>
      </w:r>
    </w:p>
    <w:p>
      <w:pPr>
        <w:autoSpaceDE w:val="0"/>
        <w:autoSpaceDN w:val="0"/>
        <w:adjustRightInd w:val="0"/>
        <w:jc w:val="both"/>
        <w:rPr>
          <w:rFonts w:eastAsiaTheme="minorEastAsia"/>
        </w:rPr>
      </w:pPr>
      <w:r>
        <w:rPr>
          <w:rFonts w:eastAsiaTheme="minorEastAsia"/>
        </w:rPr>
        <w:tab/>
        <w:t>2.4. Цена Контракта является твердой и определяется на весь срок исполнения Контракта. Изменение существенных условий Контракта при его исполнении не допускается, за исключением их изменения по соглашению сторон в следующих случаях, установленных частью 1 статьи 95 Федерального закона № 44-ФЗ:</w:t>
      </w:r>
    </w:p>
    <w:p>
      <w:pPr>
        <w:autoSpaceDE w:val="0"/>
        <w:autoSpaceDN w:val="0"/>
        <w:adjustRightInd w:val="0"/>
        <w:jc w:val="both"/>
        <w:rPr>
          <w:rFonts w:eastAsiaTheme="minorEastAsia"/>
        </w:rPr>
      </w:pPr>
      <w:r>
        <w:rPr>
          <w:rFonts w:eastAsiaTheme="minorEastAsia"/>
        </w:rPr>
        <w:tab/>
        <w:t>а) при снижении цены Контракта без изменения предусмотренных Контрактом объема услуги, качества оказываемой услуги и иных условий Контракта;</w:t>
      </w:r>
    </w:p>
    <w:p>
      <w:pPr>
        <w:autoSpaceDE w:val="0"/>
        <w:autoSpaceDN w:val="0"/>
        <w:adjustRightInd w:val="0"/>
        <w:jc w:val="both"/>
        <w:rPr>
          <w:rFonts w:eastAsiaTheme="minorEastAsia"/>
        </w:rPr>
      </w:pPr>
      <w:r>
        <w:rPr>
          <w:rFonts w:eastAsiaTheme="minorEastAsia"/>
        </w:rPr>
        <w:tab/>
        <w:t xml:space="preserve">б) если по предложению заказчика увеличиваются предусмотренные Контрактом объем работы или услуги не более чем на десять процентов или уменьшаются предусмотренные Контрактом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Pr>
          <w:rFonts w:eastAsiaTheme="minorEastAsia"/>
        </w:rPr>
        <w:t>положений бюджетного законодательства Российской Федерации цены Контракта</w:t>
      </w:r>
      <w:proofErr w:type="gramEnd"/>
      <w:r>
        <w:rPr>
          <w:rFonts w:eastAsiaTheme="minorEastAsia"/>
        </w:rPr>
        <w:t xml:space="preserve"> пропорционально дополнительному </w:t>
      </w:r>
      <w:r>
        <w:rPr>
          <w:rFonts w:eastAsiaTheme="minorEastAsia"/>
        </w:rPr>
        <w:lastRenderedPageBreak/>
        <w:t xml:space="preserve">объему работы или услуги исходя из установленной в Контракте цены единицы работы или услуги, но не более чем на десять процентов цены Контракта. При уменьшении предусмотренного Контрактом объема работы или услуги стороны Контракта обязаны уменьшить цену Контракта исходя из цены единицы работы или услуги. </w:t>
      </w:r>
    </w:p>
    <w:p>
      <w:pPr>
        <w:autoSpaceDE w:val="0"/>
        <w:autoSpaceDN w:val="0"/>
        <w:adjustRightInd w:val="0"/>
        <w:jc w:val="both"/>
        <w:rPr>
          <w:rFonts w:eastAsiaTheme="minorEastAsia"/>
        </w:rPr>
      </w:pPr>
      <w:r>
        <w:rPr>
          <w:rFonts w:eastAsiaTheme="minorEastAsia"/>
        </w:rPr>
        <w:t xml:space="preserve">        2.5. Источник финансирования: средства Федерального бюджета на 2026 год. Авансирование по настоящему Контракту не предусмотрено.</w:t>
      </w:r>
    </w:p>
    <w:p>
      <w:pPr>
        <w:autoSpaceDE w:val="0"/>
        <w:autoSpaceDN w:val="0"/>
        <w:adjustRightInd w:val="0"/>
        <w:jc w:val="both"/>
        <w:rPr>
          <w:rFonts w:eastAsiaTheme="minorEastAsia"/>
        </w:rPr>
      </w:pPr>
      <w:r>
        <w:rPr>
          <w:rFonts w:eastAsiaTheme="minorEastAsia"/>
        </w:rPr>
        <w:t xml:space="preserve">        2.6. Заказчик может изменить условия Контракта в соответствии с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объема услуги, предусмотренных Контрактом.</w:t>
      </w:r>
    </w:p>
    <w:p>
      <w:pPr>
        <w:autoSpaceDE w:val="0"/>
        <w:autoSpaceDN w:val="0"/>
        <w:adjustRightInd w:val="0"/>
        <w:ind w:firstLine="708"/>
        <w:jc w:val="both"/>
        <w:rPr>
          <w:rFonts w:eastAsiaTheme="minorEastAsia"/>
        </w:rPr>
      </w:pPr>
      <w:r>
        <w:rPr>
          <w:rFonts w:eastAsiaTheme="minorEastAsia"/>
        </w:rPr>
        <w:t>2.7. 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Заказчик обязан в соответствии с законодательством.</w:t>
      </w:r>
    </w:p>
    <w:p>
      <w:pPr>
        <w:autoSpaceDE w:val="0"/>
        <w:autoSpaceDN w:val="0"/>
        <w:adjustRightInd w:val="0"/>
        <w:ind w:firstLine="708"/>
        <w:jc w:val="both"/>
        <w:rPr>
          <w:rFonts w:eastAsiaTheme="minorEastAsia"/>
        </w:rPr>
      </w:pPr>
      <w:r>
        <w:rPr>
          <w:rFonts w:eastAsiaTheme="minorEastAsia"/>
        </w:rPr>
        <w:t>2.8.</w:t>
      </w:r>
      <w:r>
        <w:t xml:space="preserve"> </w:t>
      </w:r>
      <w:proofErr w:type="gramStart"/>
      <w:r>
        <w:rPr>
          <w:rFonts w:eastAsiaTheme="minorEastAsia"/>
        </w:rPr>
        <w:t>По итогам приемки товара Заказчик оформляет Акт приемки товаров, работ, услуг (ф.0510452) по унифицированной форме, установленной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Минфина России от 15.04.2021 № 61н).</w:t>
      </w:r>
      <w:proofErr w:type="gramEnd"/>
      <w:r>
        <w:rPr>
          <w:rFonts w:eastAsiaTheme="minorEastAsia"/>
        </w:rPr>
        <w:t xml:space="preserve"> Акт формируется на основании данных документов, предоставленных Исполнителем и подтверждающих получение Услуг. Оформление документов о приемке осуществляется в порядке и на условиях, которые определены в приказе Минфина России от 15.04.2021 № 61н  и учетной политике по бухгалтерскому учету учреждения. Акт приемки (ф. 0510452) составляется в одном экземпляре. </w:t>
      </w:r>
      <w:proofErr w:type="gramStart"/>
      <w:r>
        <w:rPr>
          <w:rFonts w:eastAsiaTheme="minorEastAsia"/>
        </w:rPr>
        <w:t>Копию электронного Акт приемки, сформированную на бумажном носителе, Заказчик передает на подписание представителю Исполнителя.</w:t>
      </w:r>
      <w:proofErr w:type="gramEnd"/>
      <w:r>
        <w:rPr>
          <w:rFonts w:eastAsiaTheme="minorEastAsia"/>
        </w:rPr>
        <w:t xml:space="preserve"> По запросу Исполнителя последнему направляется копия Акта, заверенная в установленном порядке. Отказ представителя Исполнителя от участия в приемке Услуг и подписания Акта приемки (ф. 05010452) не может служить препятствием приемки услуг по настоящему Контракту и оформлению ее результатов.</w:t>
      </w:r>
      <w:r>
        <w:rPr>
          <w:rFonts w:eastAsiaTheme="minorEastAsia"/>
        </w:rPr>
        <w:tab/>
      </w:r>
    </w:p>
    <w:p>
      <w:pPr>
        <w:autoSpaceDE w:val="0"/>
        <w:autoSpaceDN w:val="0"/>
        <w:adjustRightInd w:val="0"/>
        <w:jc w:val="both"/>
        <w:rPr>
          <w:b/>
        </w:rPr>
      </w:pPr>
      <w:bookmarkStart w:id="0" w:name="_GoBack"/>
      <w:bookmarkEnd w:id="0"/>
      <w:r>
        <w:rPr>
          <w:b/>
        </w:rPr>
        <w:t xml:space="preserve">                                                4. ПРАВА И ОБЯЗАННОСТИ СТОРОН</w:t>
      </w:r>
    </w:p>
    <w:p>
      <w:pPr>
        <w:ind w:firstLine="709"/>
        <w:jc w:val="both"/>
        <w:rPr>
          <w:b/>
        </w:rPr>
      </w:pPr>
      <w:r>
        <w:rPr>
          <w:b/>
        </w:rPr>
        <w:t>4.1. Заказчик вправе:</w:t>
      </w:r>
    </w:p>
    <w:p>
      <w:pPr>
        <w:ind w:firstLine="709"/>
        <w:jc w:val="both"/>
      </w:pPr>
      <w:r>
        <w:t>4.1.1. Требовать от Исполнителя надлежащего исполнения обязательств в соответствии с условиями Контракта.</w:t>
      </w:r>
    </w:p>
    <w:p>
      <w:pPr>
        <w:ind w:firstLine="709"/>
        <w:jc w:val="both"/>
      </w:pPr>
      <w:r>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pPr>
        <w:ind w:firstLine="709"/>
        <w:jc w:val="both"/>
      </w:pPr>
      <w:r>
        <w:t>4.1.3. Запрашивать у Исполнителя информацию о ходе и состоянии исполнения обязательств Исполнителя по настоящему Контракту.</w:t>
      </w:r>
    </w:p>
    <w:p>
      <w:pPr>
        <w:ind w:firstLine="709"/>
        <w:jc w:val="both"/>
        <w:rPr>
          <w:b/>
        </w:rPr>
      </w:pPr>
      <w:r>
        <w:rPr>
          <w:b/>
        </w:rPr>
        <w:t>4.2. Заказчик обязан:</w:t>
      </w:r>
    </w:p>
    <w:p>
      <w:pPr>
        <w:ind w:firstLine="709"/>
        <w:jc w:val="both"/>
      </w:pPr>
      <w:r>
        <w:t>4.2.1. Своевременно принять и оплатить оказанные Услуги в соответствии с условиями настоящего Контракта.</w:t>
      </w:r>
    </w:p>
    <w:p>
      <w:pPr>
        <w:ind w:firstLine="709"/>
        <w:jc w:val="both"/>
      </w:pPr>
      <w:r>
        <w:t>4.2.2.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pPr>
        <w:autoSpaceDE w:val="0"/>
        <w:autoSpaceDN w:val="0"/>
        <w:adjustRightInd w:val="0"/>
        <w:ind w:firstLine="709"/>
        <w:jc w:val="both"/>
        <w:rPr>
          <w:rFonts w:eastAsiaTheme="minorHAnsi"/>
          <w:lang w:eastAsia="en-US"/>
        </w:rPr>
      </w:pPr>
      <w:r>
        <w:t xml:space="preserve">4.2.3. </w:t>
      </w:r>
      <w:r>
        <w:rPr>
          <w:rFonts w:eastAsiaTheme="minorHAnsi"/>
          <w:lang w:eastAsia="en-US"/>
        </w:rPr>
        <w:t>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 н</w:t>
      </w:r>
      <w:r>
        <w:t>аправлять Исполнителю требование об уплате сумм неустойки, предусмотренных настоящим Контрактом, за неисполнение (ненадлежащее исполнение) Исполнителем своих обязательств по настоящему Контракту.</w:t>
      </w:r>
    </w:p>
    <w:p>
      <w:pPr>
        <w:ind w:firstLine="709"/>
        <w:jc w:val="both"/>
      </w:pPr>
      <w:r>
        <w:t>4.2.4. Провести экспертизу для проверки предоставленных Исполнителем результатов оказания Услуг, предусмотренных Контрактом, в части их соответствия условиям Контракта.</w:t>
      </w:r>
    </w:p>
    <w:p>
      <w:pPr>
        <w:ind w:firstLine="709"/>
        <w:jc w:val="both"/>
      </w:pPr>
      <w:r>
        <w:t xml:space="preserve">4.2.5. Осуществлять </w:t>
      </w:r>
      <w:proofErr w:type="gramStart"/>
      <w:r>
        <w:t>контроль за</w:t>
      </w:r>
      <w:proofErr w:type="gramEnd"/>
      <w:r>
        <w:t xml:space="preserve"> исполнением Исполнителем условий Контракта в соответствии с законодательством Российской Федерации. </w:t>
      </w:r>
    </w:p>
    <w:p>
      <w:pPr>
        <w:ind w:firstLine="709"/>
        <w:jc w:val="both"/>
        <w:rPr>
          <w:b/>
        </w:rPr>
      </w:pPr>
      <w:r>
        <w:rPr>
          <w:b/>
        </w:rPr>
        <w:t>4.3. Исполнитель вправе:</w:t>
      </w:r>
    </w:p>
    <w:p>
      <w:pPr>
        <w:ind w:firstLine="709"/>
        <w:jc w:val="both"/>
      </w:pPr>
      <w:r>
        <w:lastRenderedPageBreak/>
        <w:t xml:space="preserve">4.3.1. Требовать подписания в соответствии с условиями Контракта Заказчиком </w:t>
      </w:r>
      <w:r>
        <w:rPr>
          <w:rFonts w:eastAsiaTheme="minorHAnsi"/>
          <w:lang w:eastAsia="en-US"/>
        </w:rPr>
        <w:t>документа о приемке.</w:t>
      </w:r>
    </w:p>
    <w:p>
      <w:pPr>
        <w:ind w:firstLine="709"/>
        <w:jc w:val="both"/>
      </w:pPr>
      <w:r>
        <w:t>4.3.2. Требовать своевременной оплаты за оказываемые Услуги в соответствии с условиями настоящего Контракта.</w:t>
      </w:r>
    </w:p>
    <w:p>
      <w:pPr>
        <w:ind w:firstLine="709"/>
        <w:jc w:val="both"/>
      </w:pPr>
      <w:r>
        <w:t>4.3.3. Направлять Заказчику запросы и получать от него разъяснения и уточнения по вопросам оказания Услуг в рамках настоящего Контракта.</w:t>
      </w:r>
    </w:p>
    <w:p>
      <w:pPr>
        <w:ind w:firstLine="709"/>
        <w:jc w:val="both"/>
        <w:rPr>
          <w:b/>
        </w:rPr>
      </w:pPr>
      <w:r>
        <w:rPr>
          <w:b/>
        </w:rPr>
        <w:t>4.4. Исполнитель обязан:</w:t>
      </w:r>
    </w:p>
    <w:p>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4.4.1. Оказать услуги, предусмотренные настоящим Контрактом, в соответствии с Приложением № 1 к Контракту.</w:t>
      </w:r>
    </w:p>
    <w:p>
      <w:pPr>
        <w:ind w:firstLine="709"/>
        <w:jc w:val="both"/>
      </w:pPr>
      <w:r>
        <w:t>4.4.2.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4.4.3. По окончании оказания Услуг передать результаты оказанных услуг Заказчику в порядке и в сроки, определенные Разделом 6 «Порядок сдачи-приемки услуг» настоящего Контракта.</w:t>
      </w:r>
    </w:p>
    <w:p>
      <w:pPr>
        <w:pStyle w:val="TextNormal"/>
        <w:tabs>
          <w:tab w:val="left" w:pos="-2977"/>
          <w:tab w:val="left" w:pos="993"/>
        </w:tabs>
        <w:spacing w:after="0"/>
        <w:ind w:left="0" w:right="0" w:firstLine="709"/>
        <w:rPr>
          <w:rFonts w:ascii="Times New Roman" w:hAnsi="Times New Roman" w:cs="Times New Roman"/>
          <w:sz w:val="24"/>
          <w:szCs w:val="24"/>
        </w:rPr>
      </w:pPr>
      <w:r>
        <w:rPr>
          <w:rFonts w:ascii="Times New Roman" w:hAnsi="Times New Roman" w:cs="Times New Roman"/>
          <w:sz w:val="24"/>
          <w:szCs w:val="24"/>
        </w:rPr>
        <w:t>4.4.4.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pPr>
        <w:ind w:firstLine="709"/>
        <w:jc w:val="both"/>
        <w:rPr>
          <w:color w:val="00B050"/>
        </w:rPr>
      </w:pPr>
      <w:r>
        <w:t>4.4.7.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rPr>
          <w:b/>
          <w:spacing w:val="-3"/>
        </w:rPr>
      </w:pPr>
      <w:r>
        <w:rPr>
          <w:b/>
          <w:spacing w:val="-3"/>
        </w:rPr>
        <w:t xml:space="preserve">                                                      4. ОТВЕТСТВЕННОСТЬ СТОРОН </w:t>
      </w:r>
    </w:p>
    <w:p>
      <w:pPr>
        <w:shd w:val="clear" w:color="auto" w:fill="FFFFFF"/>
        <w:tabs>
          <w:tab w:val="left" w:pos="284"/>
          <w:tab w:val="left" w:pos="426"/>
          <w:tab w:val="left" w:pos="9498"/>
        </w:tabs>
        <w:ind w:right="-1"/>
        <w:jc w:val="both"/>
      </w:pPr>
      <w:r>
        <w:tab/>
      </w:r>
      <w:r>
        <w:tab/>
        <w:t xml:space="preserve">4.1.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 </w:t>
      </w:r>
      <w:proofErr w:type="gramStart"/>
      <w:r>
        <w:t>Размер штрафов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proofErr w:type="gramEnd"/>
    </w:p>
    <w:p>
      <w:pPr>
        <w:shd w:val="clear" w:color="auto" w:fill="FFFFFF"/>
        <w:tabs>
          <w:tab w:val="left" w:pos="284"/>
          <w:tab w:val="left" w:pos="426"/>
          <w:tab w:val="left" w:pos="9498"/>
        </w:tabs>
        <w:ind w:right="-1"/>
        <w:jc w:val="both"/>
      </w:pPr>
      <w:r>
        <w:tab/>
      </w:r>
      <w:r>
        <w:tab/>
        <w:t>4.2.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 уменьшенной на сумму, пропорциональную объему обязательств, предусмотренных и фактически исполненных Исполнителем.</w:t>
      </w:r>
    </w:p>
    <w:p>
      <w:pPr>
        <w:shd w:val="clear" w:color="auto" w:fill="FFFFFF"/>
        <w:tabs>
          <w:tab w:val="left" w:pos="284"/>
          <w:tab w:val="left" w:pos="426"/>
          <w:tab w:val="left" w:pos="9498"/>
        </w:tabs>
        <w:ind w:right="-1"/>
        <w:jc w:val="both"/>
      </w:pPr>
      <w:r>
        <w:tab/>
        <w:t xml:space="preserve">4.3.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 6 Правил и составляет 1000 рублей. </w:t>
      </w:r>
    </w:p>
    <w:p>
      <w:pPr>
        <w:shd w:val="clear" w:color="auto" w:fill="FFFFFF"/>
        <w:tabs>
          <w:tab w:val="left" w:pos="284"/>
          <w:tab w:val="left" w:pos="426"/>
          <w:tab w:val="left" w:pos="9498"/>
        </w:tabs>
        <w:ind w:right="-1"/>
        <w:jc w:val="both"/>
      </w:pPr>
      <w:r>
        <w:tab/>
        <w:t>4.4.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pPr>
        <w:shd w:val="clear" w:color="auto" w:fill="FFFFFF"/>
        <w:tabs>
          <w:tab w:val="left" w:pos="284"/>
          <w:tab w:val="left" w:pos="426"/>
          <w:tab w:val="left" w:pos="9498"/>
        </w:tabs>
        <w:ind w:right="-1"/>
        <w:jc w:val="both"/>
      </w:pPr>
      <w:r>
        <w:tab/>
        <w:t xml:space="preserve">4.5.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 9 Правил и составляет 1000 рублей. </w:t>
      </w:r>
    </w:p>
    <w:p>
      <w:pPr>
        <w:shd w:val="clear" w:color="auto" w:fill="FFFFFF"/>
        <w:tabs>
          <w:tab w:val="left" w:pos="284"/>
          <w:tab w:val="left" w:pos="426"/>
          <w:tab w:val="left" w:pos="9498"/>
        </w:tabs>
        <w:ind w:right="-1"/>
        <w:jc w:val="both"/>
      </w:pPr>
      <w:r>
        <w:lastRenderedPageBreak/>
        <w:tab/>
        <w:t>4.6. Применение неустойки (штрафа, пени) не освобождает Стороны от исполнения обязательств по Контракту.</w:t>
      </w:r>
    </w:p>
    <w:p>
      <w:pPr>
        <w:shd w:val="clear" w:color="auto" w:fill="FFFFFF"/>
        <w:tabs>
          <w:tab w:val="left" w:pos="284"/>
          <w:tab w:val="left" w:pos="426"/>
          <w:tab w:val="left" w:pos="9498"/>
        </w:tabs>
        <w:ind w:right="-1"/>
        <w:jc w:val="both"/>
      </w:pPr>
      <w:r>
        <w:tab/>
        <w:t>4.7.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shd w:val="clear" w:color="auto" w:fill="FFFFFF"/>
        <w:tabs>
          <w:tab w:val="left" w:pos="284"/>
          <w:tab w:val="left" w:pos="426"/>
          <w:tab w:val="left" w:pos="9498"/>
        </w:tabs>
        <w:ind w:right="-1"/>
        <w:jc w:val="both"/>
      </w:pPr>
      <w:r>
        <w:tab/>
        <w:t>4.8.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shd w:val="clear" w:color="auto" w:fill="FFFFFF"/>
        <w:tabs>
          <w:tab w:val="left" w:pos="284"/>
          <w:tab w:val="left" w:pos="426"/>
          <w:tab w:val="left" w:pos="9498"/>
        </w:tabs>
        <w:ind w:right="-1"/>
        <w:jc w:val="both"/>
      </w:pPr>
      <w:r>
        <w:tab/>
        <w:t>4.9.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shd w:val="clear" w:color="auto" w:fill="FFFFFF"/>
        <w:tabs>
          <w:tab w:val="left" w:pos="284"/>
          <w:tab w:val="left" w:pos="426"/>
          <w:tab w:val="left" w:pos="9498"/>
        </w:tabs>
        <w:ind w:right="-1"/>
        <w:rPr>
          <w:b/>
          <w:bCs/>
        </w:rPr>
      </w:pPr>
      <w:r>
        <w:t xml:space="preserve">                                  5</w:t>
      </w:r>
      <w:r>
        <w:rPr>
          <w:b/>
          <w:bCs/>
          <w:spacing w:val="-8"/>
        </w:rPr>
        <w:t xml:space="preserve">. ОБСТОЯТЕЛЬСТВА </w:t>
      </w:r>
      <w:r>
        <w:rPr>
          <w:b/>
          <w:bCs/>
        </w:rPr>
        <w:t>НЕПРЕОДОЛИМОЙ СИЛЫ</w:t>
      </w:r>
    </w:p>
    <w:p>
      <w:pPr>
        <w:tabs>
          <w:tab w:val="left" w:pos="709"/>
        </w:tabs>
        <w:autoSpaceDE w:val="0"/>
        <w:autoSpaceDN w:val="0"/>
        <w:adjustRightInd w:val="0"/>
        <w:ind w:firstLine="709"/>
        <w:jc w:val="both"/>
      </w:pPr>
      <w:r>
        <w:t xml:space="preserve">5.1. </w:t>
      </w:r>
      <w:proofErr w:type="gramStart"/>
      <w: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w:t>
      </w:r>
      <w:proofErr w:type="gramEnd"/>
      <w:r>
        <w:t xml:space="preserve"> на исполнение Сторонами своих обязательств, а также которые Стороны были не в состоянии предвидеть и предотвратить.</w:t>
      </w:r>
    </w:p>
    <w:p>
      <w:pPr>
        <w:tabs>
          <w:tab w:val="left" w:pos="709"/>
        </w:tabs>
        <w:autoSpaceDE w:val="0"/>
        <w:autoSpaceDN w:val="0"/>
        <w:adjustRightInd w:val="0"/>
        <w:ind w:firstLine="709"/>
        <w:jc w:val="both"/>
      </w:pPr>
      <w:r>
        <w:t>5.2. При наступлении таких обстоятель</w:t>
      </w:r>
      <w:proofErr w:type="gramStart"/>
      <w:r>
        <w:t>ств ср</w:t>
      </w:r>
      <w:proofErr w:type="gramEnd"/>
      <w:r>
        <w:t>ок исполнения обязательств по настоящему Контракту отодвигается соразмерно времени действия данных обстоятельств, поскольку эти обстоятельства значительно влияют на исполнение настоящего Контракта в срок.</w:t>
      </w:r>
    </w:p>
    <w:p>
      <w:pPr>
        <w:tabs>
          <w:tab w:val="left" w:pos="709"/>
        </w:tabs>
        <w:autoSpaceDE w:val="0"/>
        <w:autoSpaceDN w:val="0"/>
        <w:adjustRightInd w:val="0"/>
        <w:ind w:firstLine="709"/>
        <w:jc w:val="both"/>
      </w:pPr>
      <w:r>
        <w:t xml:space="preserve">5.3. </w:t>
      </w:r>
      <w:proofErr w:type="gramStart"/>
      <w: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pPr>
        <w:tabs>
          <w:tab w:val="left" w:pos="709"/>
        </w:tabs>
        <w:autoSpaceDE w:val="0"/>
        <w:autoSpaceDN w:val="0"/>
        <w:adjustRightInd w:val="0"/>
        <w:ind w:firstLine="709"/>
        <w:jc w:val="both"/>
      </w:pPr>
      <w:r>
        <w:t xml:space="preserve">5.4. Если обстоятельства, указанные в </w:t>
      </w:r>
      <w:hyperlink r:id="rId9" w:history="1">
        <w:r>
          <w:t>п. 5.1</w:t>
        </w:r>
      </w:hyperlink>
      <w:r>
        <w:t xml:space="preserve"> настоящего Контракта, будут длиться более 2 (двух) месяцев </w:t>
      </w:r>
      <w:proofErr w:type="gramStart"/>
      <w:r>
        <w:t>с даты</w:t>
      </w:r>
      <w:proofErr w:type="gramEnd"/>
      <w:r>
        <w:t xml:space="preserve">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pPr>
        <w:tabs>
          <w:tab w:val="left" w:pos="709"/>
        </w:tabs>
        <w:autoSpaceDE w:val="0"/>
        <w:autoSpaceDN w:val="0"/>
        <w:adjustRightInd w:val="0"/>
        <w:ind w:firstLine="709"/>
        <w:jc w:val="both"/>
      </w:pPr>
      <w:r>
        <w:t xml:space="preserve">5.5. </w:t>
      </w:r>
      <w:proofErr w:type="spellStart"/>
      <w:r>
        <w:t>Неуведомление</w:t>
      </w:r>
      <w:proofErr w:type="spellEnd"/>
      <w:r>
        <w:t xml:space="preserve">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pPr>
        <w:rPr>
          <w:b/>
        </w:rPr>
      </w:pPr>
      <w:r>
        <w:t xml:space="preserve">                        </w:t>
      </w:r>
      <w:r>
        <w:rPr>
          <w:b/>
        </w:rPr>
        <w:t>6. СРОК ДЕЙСТВИЯ И ПОРЯДОК ИЗМЕНЕНИЯ КОНТРАКТА</w:t>
      </w:r>
    </w:p>
    <w:p>
      <w:pPr>
        <w:ind w:firstLine="709"/>
        <w:jc w:val="both"/>
      </w:pPr>
      <w:r>
        <w:t>6.1. Настоящий Контра</w:t>
      </w:r>
      <w:proofErr w:type="gramStart"/>
      <w:r>
        <w:t>кт вст</w:t>
      </w:r>
      <w:proofErr w:type="gramEnd"/>
      <w:r>
        <w:t>упает в действие с момента его подписания Сторонами и действует до 30.09.2026 г. включительно, а в части финансовых обязательств - до полного их исполнения Сторонами.</w:t>
      </w:r>
    </w:p>
    <w:p>
      <w:pPr>
        <w:autoSpaceDE w:val="0"/>
        <w:autoSpaceDN w:val="0"/>
        <w:adjustRightInd w:val="0"/>
        <w:ind w:firstLine="709"/>
        <w:jc w:val="both"/>
        <w:rPr>
          <w:rFonts w:eastAsia="Calibri"/>
          <w:lang w:eastAsia="en-US"/>
        </w:rPr>
      </w:pPr>
      <w:r>
        <w:rPr>
          <w:rFonts w:eastAsia="Calibri"/>
          <w:lang w:eastAsia="en-US"/>
        </w:rPr>
        <w:t>6.2. Изменение существенных условий настоящего Контракта при его исполнении не допускается, за исключением их изменения по соглашению Сторон в соответствии с положениями ч. 1 ст. 95 Федерального закона № 44-ФЗ от 05.04.2013 года «О Контрактной системе в сфере закупок товаров, работ, услуг для обеспечения государственных и муниципальных нужд».</w:t>
      </w:r>
    </w:p>
    <w:p>
      <w:pPr>
        <w:autoSpaceDE w:val="0"/>
        <w:autoSpaceDN w:val="0"/>
        <w:adjustRightInd w:val="0"/>
        <w:ind w:firstLine="709"/>
        <w:jc w:val="both"/>
        <w:rPr>
          <w:rFonts w:eastAsiaTheme="minorHAnsi"/>
          <w:lang w:eastAsia="en-US"/>
        </w:rPr>
      </w:pPr>
      <w:r>
        <w:rPr>
          <w:rFonts w:eastAsia="Calibri"/>
          <w:lang w:eastAsia="en-US"/>
        </w:rPr>
        <w:t>6.3. В случае изменения у какой-либо из Сторон местонахождения, названия, банковских реквизитов, а также в случае реорганизации она обязана в течение 5 (пяти) рабочих дней письменно известить об этом другую Сторону.</w:t>
      </w:r>
    </w:p>
    <w:p>
      <w:pPr>
        <w:tabs>
          <w:tab w:val="left" w:pos="709"/>
        </w:tabs>
        <w:autoSpaceDE w:val="0"/>
        <w:autoSpaceDN w:val="0"/>
        <w:adjustRightInd w:val="0"/>
        <w:ind w:firstLine="709"/>
        <w:jc w:val="both"/>
        <w:outlineLvl w:val="1"/>
      </w:pPr>
      <w:r>
        <w:t>6.4.</w:t>
      </w:r>
      <w:r>
        <w:rPr>
          <w:b/>
        </w:rPr>
        <w:t xml:space="preserve"> </w:t>
      </w:r>
      <w:r>
        <w:t xml:space="preserve">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pPr>
        <w:shd w:val="clear" w:color="auto" w:fill="FFFFFF"/>
        <w:tabs>
          <w:tab w:val="left" w:pos="142"/>
          <w:tab w:val="left" w:pos="426"/>
          <w:tab w:val="left" w:pos="1152"/>
        </w:tabs>
        <w:jc w:val="center"/>
        <w:rPr>
          <w:b/>
          <w:bCs/>
        </w:rPr>
      </w:pPr>
      <w:r>
        <w:rPr>
          <w:b/>
          <w:bCs/>
        </w:rPr>
        <w:t>7. ПОРЯДОК УРЕГУЛИРОВАНИЯ СПОРОВ</w:t>
      </w:r>
    </w:p>
    <w:p>
      <w:pPr>
        <w:tabs>
          <w:tab w:val="left" w:pos="709"/>
        </w:tabs>
        <w:autoSpaceDE w:val="0"/>
        <w:autoSpaceDN w:val="0"/>
        <w:adjustRightInd w:val="0"/>
        <w:ind w:firstLine="709"/>
        <w:jc w:val="both"/>
        <w:outlineLvl w:val="1"/>
      </w:pPr>
      <w:r>
        <w:lastRenderedPageBreak/>
        <w:t xml:space="preserve">7.1.  В случае возникновения любых противоречий, претензий и разногласий, а также споров, связанных с исполнением настоящего Контракта, Стороны </w:t>
      </w:r>
      <w:proofErr w:type="gramStart"/>
      <w:r>
        <w:t>предпринимают усилия</w:t>
      </w:r>
      <w:proofErr w:type="gramEnd"/>
      <w:r>
        <w:t xml:space="preserve"> для урегулирования таких противоречий, претензий и разногласий в добровольном порядке.</w:t>
      </w:r>
    </w:p>
    <w:p>
      <w:pPr>
        <w:tabs>
          <w:tab w:val="left" w:pos="709"/>
        </w:tabs>
        <w:autoSpaceDE w:val="0"/>
        <w:autoSpaceDN w:val="0"/>
        <w:adjustRightInd w:val="0"/>
        <w:ind w:firstLine="709"/>
        <w:jc w:val="both"/>
        <w:outlineLvl w:val="1"/>
        <w:rPr>
          <w:b/>
        </w:rPr>
      </w:pPr>
      <w:r>
        <w:t xml:space="preserve">7.2. В случае невыполнения Сторонами своих обязательств и </w:t>
      </w:r>
      <w:proofErr w:type="spellStart"/>
      <w:r>
        <w:t>недостижения</w:t>
      </w:r>
      <w:proofErr w:type="spellEnd"/>
      <w:r>
        <w:t xml:space="preserve"> взаимного согласия споры по настоящему Контракту разрешаются в Арбитражном суде Магаданской области.</w:t>
      </w:r>
      <w:r>
        <w:rPr>
          <w:b/>
        </w:rPr>
        <w:t xml:space="preserve"> </w:t>
      </w:r>
    </w:p>
    <w:p>
      <w:pPr>
        <w:shd w:val="clear" w:color="auto" w:fill="FFFFFF"/>
        <w:tabs>
          <w:tab w:val="left" w:pos="142"/>
          <w:tab w:val="left" w:pos="426"/>
        </w:tabs>
        <w:rPr>
          <w:b/>
          <w:bCs/>
          <w:spacing w:val="-6"/>
        </w:rPr>
      </w:pPr>
      <w:r>
        <w:rPr>
          <w:color w:val="365F91"/>
          <w:spacing w:val="-8"/>
        </w:rPr>
        <w:t xml:space="preserve">                                                       </w:t>
      </w:r>
      <w:r>
        <w:rPr>
          <w:b/>
          <w:bCs/>
          <w:spacing w:val="-6"/>
        </w:rPr>
        <w:t>8. ПОРЯДОК РАСТОРЖЕНИЯ КОНТРАКТА</w:t>
      </w:r>
    </w:p>
    <w:p>
      <w:pPr>
        <w:tabs>
          <w:tab w:val="left" w:pos="709"/>
        </w:tabs>
        <w:autoSpaceDE w:val="0"/>
        <w:autoSpaceDN w:val="0"/>
        <w:adjustRightInd w:val="0"/>
        <w:ind w:firstLine="709"/>
        <w:jc w:val="both"/>
      </w:pPr>
      <w:r>
        <w:t xml:space="preserve">8.1. Расторжение Контракта допускается по соглашению Сторон, по решению суда, а также в случае одностороннего отказа Стороны Контракта от его исполнения по основаниям, предусмотренным Гражданским кодексом Российской Федерации для одностороннего отказа от исполнения отдельных видов обязательств, и с учётом особенностей, установленных Федеральным законом от 05.04.2013 № 44-ФЗ </w:t>
      </w:r>
    </w:p>
    <w:p>
      <w:pPr>
        <w:tabs>
          <w:tab w:val="left" w:pos="709"/>
        </w:tabs>
        <w:autoSpaceDE w:val="0"/>
        <w:autoSpaceDN w:val="0"/>
        <w:adjustRightInd w:val="0"/>
        <w:ind w:firstLine="709"/>
        <w:jc w:val="both"/>
      </w:pPr>
      <w:r>
        <w:t>8.2. Заказчик вправе принять решение об одностороннем отказе от исполнения Контракта в случаях, предусмотренных действующим законодательством.</w:t>
      </w:r>
    </w:p>
    <w:p>
      <w:pPr>
        <w:tabs>
          <w:tab w:val="left" w:pos="709"/>
        </w:tabs>
        <w:autoSpaceDE w:val="0"/>
        <w:autoSpaceDN w:val="0"/>
        <w:adjustRightInd w:val="0"/>
        <w:ind w:firstLine="709"/>
        <w:jc w:val="both"/>
      </w:pPr>
      <w:r>
        <w:t>8.3. Расторжение Контракта по соглашению Сторон производится Сторонами путем подписания соответствующего соглашения о расторжении.</w:t>
      </w:r>
    </w:p>
    <w:p>
      <w:pPr>
        <w:ind w:firstLine="708"/>
        <w:jc w:val="both"/>
      </w:pPr>
      <w: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Услуг, фактически оказанных Исполнителем Заказчику.</w:t>
      </w:r>
    </w:p>
    <w:p>
      <w:pPr>
        <w:pStyle w:val="ConsPlusNormal"/>
        <w:ind w:firstLine="0"/>
        <w:jc w:val="center"/>
        <w:outlineLvl w:val="1"/>
        <w:rPr>
          <w:b/>
          <w:bCs/>
          <w:spacing w:val="-13"/>
        </w:rPr>
      </w:pPr>
      <w:r>
        <w:rPr>
          <w:b/>
          <w:bCs/>
          <w:spacing w:val="-13"/>
        </w:rPr>
        <w:t>9</w:t>
      </w:r>
      <w:r>
        <w:rPr>
          <w:b/>
          <w:bCs/>
          <w:spacing w:val="-5"/>
        </w:rPr>
        <w:t xml:space="preserve">. </w:t>
      </w:r>
      <w:r>
        <w:rPr>
          <w:b/>
          <w:bCs/>
        </w:rPr>
        <w:t>ПРОЧИЕ</w:t>
      </w:r>
      <w:r>
        <w:rPr>
          <w:b/>
          <w:bCs/>
          <w:spacing w:val="-5"/>
        </w:rPr>
        <w:t xml:space="preserve"> УСЛОВИЯ</w:t>
      </w:r>
    </w:p>
    <w:p>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rPr>
      </w:pPr>
      <w:r>
        <w:t>9.1. Настоящий Контракт составлен в двух экземплярах, имеющих равную юридическую силу, и хранится по одному у каждой из Сторон.</w:t>
      </w:r>
    </w:p>
    <w:p>
      <w:pPr>
        <w:tabs>
          <w:tab w:val="left" w:pos="709"/>
        </w:tabs>
        <w:autoSpaceDE w:val="0"/>
        <w:autoSpaceDN w:val="0"/>
        <w:adjustRightInd w:val="0"/>
        <w:ind w:firstLine="709"/>
        <w:jc w:val="both"/>
      </w:pPr>
      <w:r>
        <w:t>10.2. Все Приложения к Контракту являются его неотъемлемыми частями.</w:t>
      </w:r>
    </w:p>
    <w:p>
      <w:pPr>
        <w:tabs>
          <w:tab w:val="left" w:pos="709"/>
        </w:tabs>
        <w:autoSpaceDE w:val="0"/>
        <w:autoSpaceDN w:val="0"/>
        <w:adjustRightInd w:val="0"/>
        <w:ind w:firstLine="709"/>
        <w:jc w:val="both"/>
      </w:pPr>
      <w:r>
        <w:t>11.3. Во всем, что не предусмотрено настоящим Контрактом, Стороны руководствуются действующим законодательством Российской Федерации.</w:t>
      </w:r>
    </w:p>
    <w:p>
      <w:pPr>
        <w:tabs>
          <w:tab w:val="left" w:pos="709"/>
        </w:tabs>
        <w:rPr>
          <w:b/>
        </w:rPr>
      </w:pPr>
      <w:r>
        <w:rPr>
          <w:b/>
        </w:rPr>
        <w:t xml:space="preserve">                                                  10. ПРИЛОЖЕНИЯ К КОНТРАКТУ</w:t>
      </w:r>
    </w:p>
    <w:p>
      <w:pPr>
        <w:tabs>
          <w:tab w:val="left" w:pos="709"/>
        </w:tabs>
        <w:ind w:firstLine="709"/>
        <w:jc w:val="both"/>
      </w:pPr>
      <w:r>
        <w:t>10.1. Приложение 1. Техническое задание.</w:t>
      </w:r>
    </w:p>
    <w:p>
      <w:pPr>
        <w:pStyle w:val="TextNormal"/>
        <w:tabs>
          <w:tab w:val="left" w:pos="-2977"/>
        </w:tabs>
        <w:spacing w:after="0"/>
        <w:ind w:left="0" w:right="0" w:firstLine="0"/>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11. МЕСТОНАХОЖДЕНИЕ И БАНКОВСКИЕ РЕКВИЗИТЫ СТОРОН.</w:t>
      </w:r>
    </w:p>
    <w:p>
      <w:pPr>
        <w:pStyle w:val="TextNormal"/>
        <w:tabs>
          <w:tab w:val="left" w:pos="-2977"/>
        </w:tabs>
        <w:spacing w:after="0"/>
        <w:ind w:left="0" w:right="0" w:firstLine="0"/>
        <w:rPr>
          <w:rFonts w:ascii="Times New Roman" w:hAnsi="Times New Roman" w:cs="Times New Roman"/>
          <w:b/>
          <w:bCs/>
          <w:sz w:val="24"/>
          <w:szCs w:val="24"/>
        </w:rPr>
      </w:pPr>
    </w:p>
    <w:tbl>
      <w:tblPr>
        <w:tblW w:w="10300" w:type="dxa"/>
        <w:tblInd w:w="147" w:type="dxa"/>
        <w:tblLayout w:type="fixed"/>
        <w:tblLook w:val="0000" w:firstRow="0" w:lastRow="0" w:firstColumn="0" w:lastColumn="0" w:noHBand="0" w:noVBand="0"/>
      </w:tblPr>
      <w:tblGrid>
        <w:gridCol w:w="5240"/>
        <w:gridCol w:w="5060"/>
      </w:tblGrid>
      <w:tr>
        <w:trPr>
          <w:trHeight w:val="6875"/>
        </w:trPr>
        <w:tc>
          <w:tcPr>
            <w:tcW w:w="5240" w:type="dxa"/>
          </w:tcPr>
          <w:p/>
          <w:tbl>
            <w:tblPr>
              <w:tblW w:w="5062" w:type="dxa"/>
              <w:tblLayout w:type="fixed"/>
              <w:tblLook w:val="01E0" w:firstRow="1" w:lastRow="1" w:firstColumn="1" w:lastColumn="1" w:noHBand="0" w:noVBand="0"/>
            </w:tblPr>
            <w:tblGrid>
              <w:gridCol w:w="5062"/>
            </w:tblGrid>
            <w:tr>
              <w:trPr>
                <w:trHeight w:val="258"/>
              </w:trPr>
              <w:tc>
                <w:tcPr>
                  <w:tcW w:w="5062" w:type="dxa"/>
                </w:tcPr>
                <w:p>
                  <w:pPr>
                    <w:keepNext/>
                    <w:tabs>
                      <w:tab w:val="left" w:pos="709"/>
                    </w:tabs>
                    <w:snapToGrid w:val="0"/>
                    <w:rPr>
                      <w:b/>
                      <w:color w:val="000000"/>
                      <w:u w:val="single"/>
                    </w:rPr>
                  </w:pPr>
                  <w:r>
                    <w:rPr>
                      <w:b/>
                      <w:bCs/>
                      <w:color w:val="000000"/>
                      <w:u w:val="single"/>
                    </w:rPr>
                    <w:t>ЗАКАЗЧИК:</w:t>
                  </w:r>
                </w:p>
              </w:tc>
            </w:tr>
            <w:tr>
              <w:trPr>
                <w:trHeight w:val="3799"/>
              </w:trPr>
              <w:tc>
                <w:tcPr>
                  <w:tcW w:w="5062" w:type="dxa"/>
                </w:tcPr>
                <w:p>
                  <w:pPr>
                    <w:spacing w:line="240" w:lineRule="exact"/>
                    <w:jc w:val="both"/>
                  </w:pPr>
                  <w:r>
                    <w:t>Заказчик:</w:t>
                  </w:r>
                </w:p>
                <w:p>
                  <w:pPr>
                    <w:spacing w:line="240" w:lineRule="exact"/>
                    <w:jc w:val="both"/>
                  </w:pPr>
                  <w:r>
                    <w:t xml:space="preserve">Управление </w:t>
                  </w:r>
                  <w:proofErr w:type="gramStart"/>
                  <w:r>
                    <w:t>Федеральной</w:t>
                  </w:r>
                  <w:proofErr w:type="gramEnd"/>
                  <w:r>
                    <w:t xml:space="preserve"> налоговой</w:t>
                  </w:r>
                </w:p>
                <w:p>
                  <w:pPr>
                    <w:spacing w:line="240" w:lineRule="exact"/>
                    <w:jc w:val="both"/>
                  </w:pPr>
                  <w:r>
                    <w:t>службы по Магаданской области</w:t>
                  </w:r>
                </w:p>
                <w:p>
                  <w:pPr>
                    <w:spacing w:line="240" w:lineRule="exact"/>
                    <w:jc w:val="both"/>
                  </w:pPr>
                  <w:proofErr w:type="gramStart"/>
                  <w:r>
                    <w:t>(УФНС России по Магаданской области</w:t>
                  </w:r>
                  <w:proofErr w:type="gramEnd"/>
                </w:p>
                <w:p>
                  <w:pPr>
                    <w:spacing w:line="240" w:lineRule="exact"/>
                    <w:jc w:val="both"/>
                  </w:pPr>
                  <w:r>
                    <w:t xml:space="preserve">685000, г. Магадан, ул. </w:t>
                  </w:r>
                  <w:proofErr w:type="gramStart"/>
                  <w:r>
                    <w:t>Пролетарская</w:t>
                  </w:r>
                  <w:proofErr w:type="gramEnd"/>
                  <w:r>
                    <w:t>,12</w:t>
                  </w:r>
                </w:p>
                <w:p>
                  <w:pPr>
                    <w:spacing w:line="240" w:lineRule="exact"/>
                    <w:jc w:val="both"/>
                  </w:pPr>
                  <w:r>
                    <w:t xml:space="preserve">тел. приемной 8 (4132) 61-73-63, </w:t>
                  </w:r>
                </w:p>
                <w:p>
                  <w:pPr>
                    <w:spacing w:line="240" w:lineRule="exact"/>
                    <w:jc w:val="both"/>
                  </w:pPr>
                  <w:r>
                    <w:t xml:space="preserve">факс 8(4132) 62-42-00; 61-73-62, </w:t>
                  </w:r>
                </w:p>
                <w:p>
                  <w:pPr>
                    <w:spacing w:line="240" w:lineRule="exact"/>
                    <w:jc w:val="both"/>
                  </w:pPr>
                  <w:r>
                    <w:t xml:space="preserve">телефон сотрудника, ответственного за сопровождение Контракта: +7(4132) 61-73-62 доб. 1412,1701,1406 </w:t>
                  </w:r>
                </w:p>
                <w:p>
                  <w:pPr>
                    <w:spacing w:line="240" w:lineRule="exact"/>
                    <w:jc w:val="both"/>
                  </w:pPr>
                  <w:r>
                    <w:t>телефон сотрудника, ответственного за приемку товара  +7(4132) 61-73-62 доб. 14-10</w:t>
                  </w:r>
                </w:p>
                <w:p>
                  <w:pPr>
                    <w:spacing w:line="240" w:lineRule="exact"/>
                    <w:jc w:val="both"/>
                    <w:rPr>
                      <w:lang w:val="en-US"/>
                    </w:rPr>
                  </w:pPr>
                  <w:proofErr w:type="gramStart"/>
                  <w:r>
                    <w:t>Е</w:t>
                  </w:r>
                  <w:proofErr w:type="gramEnd"/>
                  <w:r>
                    <w:rPr>
                      <w:lang w:val="en-US"/>
                    </w:rPr>
                    <w:t>-mail: r4900@tax.gov.ru, buh.r4900@tax.gov.ru</w:t>
                  </w:r>
                </w:p>
                <w:p>
                  <w:pPr>
                    <w:spacing w:line="240" w:lineRule="exact"/>
                    <w:jc w:val="both"/>
                  </w:pPr>
                  <w:r>
                    <w:t>ИНН 4909007152, КПП 490901001</w:t>
                  </w:r>
                </w:p>
                <w:p>
                  <w:pPr>
                    <w:spacing w:line="240" w:lineRule="exact"/>
                    <w:jc w:val="both"/>
                  </w:pPr>
                  <w:r>
                    <w:t>ОГРН 1044900037291</w:t>
                  </w:r>
                </w:p>
                <w:p>
                  <w:pPr>
                    <w:spacing w:line="240" w:lineRule="exact"/>
                    <w:jc w:val="both"/>
                  </w:pPr>
                  <w:proofErr w:type="gramStart"/>
                  <w:r>
                    <w:t>р</w:t>
                  </w:r>
                  <w:proofErr w:type="gramEnd"/>
                  <w:r>
                    <w:t xml:space="preserve">/счет 03211643000000012005 </w:t>
                  </w:r>
                </w:p>
                <w:p>
                  <w:pPr>
                    <w:spacing w:line="240" w:lineRule="exact"/>
                    <w:jc w:val="both"/>
                  </w:pPr>
                  <w:r>
                    <w:t xml:space="preserve">ОКЦ № 1 Дальневосточного ГУ Банка России// УФК по Приморскому краю, </w:t>
                  </w:r>
                </w:p>
                <w:p>
                  <w:pPr>
                    <w:spacing w:line="240" w:lineRule="exact"/>
                    <w:jc w:val="both"/>
                  </w:pPr>
                  <w:r>
                    <w:t xml:space="preserve">г. Владивосток, </w:t>
                  </w:r>
                </w:p>
                <w:p>
                  <w:pPr>
                    <w:spacing w:line="240" w:lineRule="exact"/>
                    <w:jc w:val="both"/>
                  </w:pPr>
                  <w:r>
                    <w:t xml:space="preserve">БИК 010507002, </w:t>
                  </w:r>
                </w:p>
                <w:p>
                  <w:pPr>
                    <w:spacing w:line="240" w:lineRule="exact"/>
                    <w:jc w:val="both"/>
                  </w:pPr>
                  <w:r>
                    <w:t>ЕКС 40102810545370000012</w:t>
                  </w:r>
                </w:p>
                <w:p>
                  <w:pPr>
                    <w:spacing w:line="240" w:lineRule="exact"/>
                    <w:jc w:val="both"/>
                  </w:pPr>
                  <w:proofErr w:type="gramStart"/>
                  <w:r>
                    <w:t>л</w:t>
                  </w:r>
                  <w:proofErr w:type="gramEnd"/>
                  <w:r>
                    <w:t>/с 03471240580 в УФК по Магаданской области,</w:t>
                  </w:r>
                </w:p>
                <w:p>
                  <w:pPr>
                    <w:spacing w:line="240" w:lineRule="exact"/>
                    <w:jc w:val="both"/>
                  </w:pPr>
                  <w:r>
                    <w:t>ОКТМО 44701000, ОКПО 23413383</w:t>
                  </w:r>
                </w:p>
                <w:p>
                  <w:pPr>
                    <w:spacing w:line="240" w:lineRule="exact"/>
                    <w:jc w:val="both"/>
                  </w:pPr>
                </w:p>
                <w:p>
                  <w:pPr>
                    <w:spacing w:line="240" w:lineRule="exact"/>
                    <w:jc w:val="both"/>
                  </w:pPr>
                </w:p>
                <w:p>
                  <w:pPr>
                    <w:spacing w:line="240" w:lineRule="exact"/>
                    <w:jc w:val="both"/>
                  </w:pPr>
                  <w:r>
                    <w:t xml:space="preserve">Руководитель УФНС России </w:t>
                  </w:r>
                </w:p>
                <w:p>
                  <w:pPr>
                    <w:spacing w:line="240" w:lineRule="exact"/>
                    <w:jc w:val="both"/>
                  </w:pPr>
                  <w:r>
                    <w:t xml:space="preserve">по Магаданской области   </w:t>
                  </w:r>
                </w:p>
              </w:tc>
            </w:tr>
            <w:tr>
              <w:trPr>
                <w:trHeight w:val="441"/>
              </w:trPr>
              <w:tc>
                <w:tcPr>
                  <w:tcW w:w="5062" w:type="dxa"/>
                </w:tcPr>
                <w:p>
                  <w:pPr>
                    <w:widowControl w:val="0"/>
                    <w:autoSpaceDE w:val="0"/>
                    <w:autoSpaceDN w:val="0"/>
                    <w:adjustRightInd w:val="0"/>
                  </w:pPr>
                </w:p>
                <w:p>
                  <w:pPr>
                    <w:widowControl w:val="0"/>
                    <w:autoSpaceDE w:val="0"/>
                    <w:autoSpaceDN w:val="0"/>
                    <w:adjustRightInd w:val="0"/>
                  </w:pPr>
                </w:p>
                <w:p>
                  <w:pPr>
                    <w:widowControl w:val="0"/>
                    <w:autoSpaceDE w:val="0"/>
                    <w:autoSpaceDN w:val="0"/>
                    <w:adjustRightInd w:val="0"/>
                  </w:pPr>
                </w:p>
                <w:p>
                  <w:pPr>
                    <w:widowControl w:val="0"/>
                    <w:autoSpaceDE w:val="0"/>
                    <w:autoSpaceDN w:val="0"/>
                    <w:adjustRightInd w:val="0"/>
                  </w:pPr>
                  <w:r>
                    <w:t xml:space="preserve">__________________ </w:t>
                  </w:r>
                </w:p>
                <w:p>
                  <w:pPr>
                    <w:widowControl w:val="0"/>
                    <w:autoSpaceDE w:val="0"/>
                    <w:autoSpaceDN w:val="0"/>
                    <w:adjustRightInd w:val="0"/>
                    <w:rPr>
                      <w:i/>
                    </w:rPr>
                  </w:pPr>
                  <w:r>
                    <w:rPr>
                      <w:i/>
                    </w:rPr>
                    <w:t>Подписано ЭЦП</w:t>
                  </w:r>
                </w:p>
              </w:tc>
            </w:tr>
          </w:tbl>
          <w:p>
            <w:pPr>
              <w:tabs>
                <w:tab w:val="left" w:pos="6120"/>
              </w:tabs>
              <w:ind w:right="-4"/>
              <w:rPr>
                <w:iCs/>
              </w:rPr>
            </w:pPr>
          </w:p>
        </w:tc>
        <w:tc>
          <w:tcPr>
            <w:tcW w:w="5060" w:type="dxa"/>
          </w:tcPr>
          <w:p>
            <w:pPr>
              <w:snapToGrid w:val="0"/>
              <w:ind w:right="-3"/>
              <w:rPr>
                <w:b/>
                <w:bCs/>
                <w:iCs/>
                <w:u w:val="single"/>
              </w:rPr>
            </w:pPr>
          </w:p>
          <w:p>
            <w:pPr>
              <w:snapToGrid w:val="0"/>
              <w:ind w:right="-3"/>
              <w:rPr>
                <w:b/>
                <w:bCs/>
                <w:iCs/>
                <w:u w:val="single"/>
              </w:rPr>
            </w:pPr>
            <w:r>
              <w:rPr>
                <w:b/>
                <w:bCs/>
                <w:iCs/>
                <w:u w:val="single"/>
              </w:rPr>
              <w:t>ИСПОЛНИТЕЛЬ:</w:t>
            </w:r>
          </w:p>
          <w:p>
            <w:pPr>
              <w:rPr>
                <w:iCs/>
              </w:rPr>
            </w:pPr>
          </w:p>
          <w:p>
            <w:pPr>
              <w:rPr>
                <w:iCs/>
              </w:rPr>
            </w:pPr>
          </w:p>
          <w:p>
            <w:pPr>
              <w:rPr>
                <w:iCs/>
              </w:rPr>
            </w:pPr>
          </w:p>
          <w:p>
            <w:pPr>
              <w:rPr>
                <w:iCs/>
              </w:rPr>
            </w:pPr>
          </w:p>
          <w:p>
            <w:pPr>
              <w:rPr>
                <w:iCs/>
              </w:rPr>
            </w:pPr>
          </w:p>
          <w:p>
            <w:pPr>
              <w:rPr>
                <w:iCs/>
              </w:rPr>
            </w:pPr>
          </w:p>
          <w:p>
            <w:pPr>
              <w:rPr>
                <w:iCs/>
              </w:rPr>
            </w:pPr>
          </w:p>
          <w:p>
            <w:pPr>
              <w:rPr>
                <w:iCs/>
              </w:rPr>
            </w:pPr>
          </w:p>
          <w:p>
            <w:pPr>
              <w:rPr>
                <w:iCs/>
              </w:rPr>
            </w:pPr>
          </w:p>
          <w:p>
            <w:pPr>
              <w:rPr>
                <w:iCs/>
              </w:rPr>
            </w:pPr>
          </w:p>
          <w:p>
            <w:pPr>
              <w:rPr>
                <w:iCs/>
              </w:rPr>
            </w:pPr>
          </w:p>
          <w:p>
            <w:pPr>
              <w:rPr>
                <w:iCs/>
              </w:rPr>
            </w:pPr>
          </w:p>
          <w:p>
            <w:pPr>
              <w:rPr>
                <w:iCs/>
              </w:rPr>
            </w:pPr>
          </w:p>
          <w:p>
            <w:pPr>
              <w:rPr>
                <w:iCs/>
              </w:rPr>
            </w:pPr>
          </w:p>
          <w:p>
            <w:pPr>
              <w:rPr>
                <w:iCs/>
              </w:rPr>
            </w:pPr>
          </w:p>
          <w:p>
            <w:pPr>
              <w:rPr>
                <w:iCs/>
              </w:rPr>
            </w:pPr>
          </w:p>
          <w:p>
            <w:pPr>
              <w:rPr>
                <w:lang w:eastAsia="en-US"/>
              </w:rPr>
            </w:pPr>
          </w:p>
          <w:p>
            <w:pPr>
              <w:rPr>
                <w:iCs/>
              </w:rPr>
            </w:pPr>
            <w:r>
              <w:rPr>
                <w:iCs/>
              </w:rPr>
              <w:t>_________________/_____/</w:t>
            </w:r>
          </w:p>
          <w:p>
            <w:pPr>
              <w:widowControl w:val="0"/>
              <w:autoSpaceDE w:val="0"/>
              <w:autoSpaceDN w:val="0"/>
              <w:adjustRightInd w:val="0"/>
              <w:rPr>
                <w:i/>
              </w:rPr>
            </w:pPr>
            <w:r>
              <w:rPr>
                <w:i/>
              </w:rPr>
              <w:t>Подписано ЭЦП</w:t>
            </w:r>
          </w:p>
          <w:p>
            <w:pPr>
              <w:rPr>
                <w:iCs/>
              </w:rPr>
            </w:pPr>
          </w:p>
        </w:tc>
      </w:tr>
    </w:tbl>
    <w:p/>
    <w:p/>
    <w:p/>
    <w:p/>
    <w:p/>
    <w:p/>
    <w:p/>
    <w:p/>
    <w:p/>
    <w:p/>
    <w:p/>
    <w:p/>
    <w:p/>
    <w:p/>
    <w:p/>
    <w:p/>
    <w:p/>
    <w:p/>
    <w:p/>
    <w:p/>
    <w:p/>
    <w:p>
      <w:pPr>
        <w:jc w:val="right"/>
      </w:pPr>
      <w:r>
        <w:lastRenderedPageBreak/>
        <w:t xml:space="preserve">                                                                                                                                Приложение 1 к Контракту</w:t>
      </w:r>
    </w:p>
    <w:p>
      <w:pPr>
        <w:jc w:val="right"/>
      </w:pPr>
      <w:r>
        <w:t>От ______. № __________</w:t>
      </w:r>
    </w:p>
    <w:p>
      <w:pPr>
        <w:jc w:val="center"/>
        <w:rPr>
          <w:b/>
        </w:rPr>
      </w:pPr>
    </w:p>
    <w:p>
      <w:pPr>
        <w:jc w:val="center"/>
        <w:rPr>
          <w:b/>
        </w:rPr>
      </w:pPr>
      <w:r>
        <w:rPr>
          <w:b/>
        </w:rPr>
        <w:t>Техническое задание</w:t>
      </w:r>
    </w:p>
    <w:p>
      <w:pPr>
        <w:jc w:val="center"/>
        <w:rPr>
          <w:b/>
        </w:rPr>
      </w:pPr>
      <w:r>
        <w:rPr>
          <w:b/>
        </w:rPr>
        <w:t xml:space="preserve">на оказание услуг по гидропневматической промывке и </w:t>
      </w:r>
      <w:proofErr w:type="spellStart"/>
      <w:r>
        <w:rPr>
          <w:b/>
        </w:rPr>
        <w:t>опрессовке</w:t>
      </w:r>
      <w:proofErr w:type="spellEnd"/>
      <w:r>
        <w:rPr>
          <w:b/>
        </w:rPr>
        <w:t xml:space="preserve"> системы отопления</w:t>
      </w:r>
    </w:p>
    <w:p>
      <w:pPr>
        <w:autoSpaceDE w:val="0"/>
        <w:autoSpaceDN w:val="0"/>
        <w:adjustRightInd w:val="0"/>
        <w:spacing w:after="240"/>
        <w:ind w:firstLine="709"/>
        <w:contextualSpacing/>
        <w:jc w:val="both"/>
        <w:rPr>
          <w:rFonts w:eastAsia="Calibri"/>
          <w:b/>
        </w:rPr>
      </w:pPr>
      <w:r>
        <w:rPr>
          <w:rFonts w:eastAsia="Calibri"/>
          <w:b/>
          <w:bCs/>
        </w:rPr>
        <w:t>Перечень, объем оказываемых услуг, п</w:t>
      </w:r>
      <w:r>
        <w:rPr>
          <w:rFonts w:eastAsia="Calibri"/>
          <w:b/>
        </w:rPr>
        <w:t>ериодичность (график) оказания услуг, порядок и условия оказания услуг.</w:t>
      </w:r>
    </w:p>
    <w:p>
      <w:pPr>
        <w:autoSpaceDE w:val="0"/>
        <w:autoSpaceDN w:val="0"/>
        <w:adjustRightInd w:val="0"/>
        <w:rPr>
          <w:b/>
          <w:bCs/>
        </w:rPr>
      </w:pPr>
      <w:r>
        <w:rPr>
          <w:rFonts w:eastAsia="Calibri"/>
          <w:b/>
        </w:rPr>
        <w:t xml:space="preserve">         </w:t>
      </w:r>
      <w:r>
        <w:rPr>
          <w:b/>
          <w:bCs/>
        </w:rPr>
        <w:t>1. Перечень закупаемых услуг, периодичность (график) оказания Услуг</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5672"/>
        <w:gridCol w:w="3824"/>
      </w:tblGrid>
      <w:tr>
        <w:tc>
          <w:tcPr>
            <w:tcW w:w="710" w:type="dxa"/>
            <w:tcBorders>
              <w:top w:val="single" w:sz="4" w:space="0" w:color="auto"/>
              <w:left w:val="single" w:sz="4" w:space="0" w:color="auto"/>
              <w:bottom w:val="single" w:sz="4" w:space="0" w:color="auto"/>
              <w:right w:val="single" w:sz="4" w:space="0" w:color="auto"/>
            </w:tcBorders>
            <w:hideMark/>
          </w:tcPr>
          <w:p>
            <w:pPr>
              <w:spacing w:line="240" w:lineRule="exact"/>
              <w:jc w:val="center"/>
            </w:pPr>
            <w:r>
              <w:t xml:space="preserve">№ </w:t>
            </w:r>
            <w:proofErr w:type="gramStart"/>
            <w:r>
              <w:t>п</w:t>
            </w:r>
            <w:proofErr w:type="gramEnd"/>
            <w:r>
              <w:t>/п</w:t>
            </w:r>
          </w:p>
        </w:tc>
        <w:tc>
          <w:tcPr>
            <w:tcW w:w="5672" w:type="dxa"/>
            <w:tcBorders>
              <w:top w:val="single" w:sz="4" w:space="0" w:color="auto"/>
              <w:left w:val="single" w:sz="4" w:space="0" w:color="auto"/>
              <w:bottom w:val="single" w:sz="4" w:space="0" w:color="auto"/>
              <w:right w:val="single" w:sz="4" w:space="0" w:color="auto"/>
            </w:tcBorders>
            <w:hideMark/>
          </w:tcPr>
          <w:p>
            <w:pPr>
              <w:spacing w:line="240" w:lineRule="exact"/>
              <w:jc w:val="center"/>
            </w:pPr>
            <w:r>
              <w:t>Наименование услуг</w:t>
            </w:r>
          </w:p>
        </w:tc>
        <w:tc>
          <w:tcPr>
            <w:tcW w:w="3824" w:type="dxa"/>
            <w:tcBorders>
              <w:top w:val="single" w:sz="4" w:space="0" w:color="auto"/>
              <w:left w:val="single" w:sz="4" w:space="0" w:color="auto"/>
              <w:bottom w:val="single" w:sz="4" w:space="0" w:color="auto"/>
              <w:right w:val="single" w:sz="4" w:space="0" w:color="auto"/>
            </w:tcBorders>
            <w:hideMark/>
          </w:tcPr>
          <w:p>
            <w:pPr>
              <w:spacing w:line="240" w:lineRule="exact"/>
              <w:jc w:val="center"/>
            </w:pPr>
            <w:r>
              <w:t>Периодичность</w:t>
            </w:r>
          </w:p>
        </w:tc>
      </w:tr>
      <w:tr>
        <w:tc>
          <w:tcPr>
            <w:tcW w:w="710" w:type="dxa"/>
            <w:tcBorders>
              <w:top w:val="single" w:sz="4" w:space="0" w:color="auto"/>
              <w:left w:val="single" w:sz="4" w:space="0" w:color="auto"/>
              <w:bottom w:val="single" w:sz="4" w:space="0" w:color="auto"/>
              <w:right w:val="single" w:sz="4" w:space="0" w:color="auto"/>
            </w:tcBorders>
            <w:hideMark/>
          </w:tcPr>
          <w:p>
            <w:pPr>
              <w:spacing w:line="240" w:lineRule="exact"/>
              <w:jc w:val="center"/>
            </w:pPr>
            <w:r>
              <w:t>1</w:t>
            </w:r>
          </w:p>
        </w:tc>
        <w:tc>
          <w:tcPr>
            <w:tcW w:w="5672" w:type="dxa"/>
            <w:tcBorders>
              <w:top w:val="single" w:sz="4" w:space="0" w:color="auto"/>
              <w:left w:val="single" w:sz="4" w:space="0" w:color="auto"/>
              <w:bottom w:val="single" w:sz="4" w:space="0" w:color="auto"/>
              <w:right w:val="single" w:sz="4" w:space="0" w:color="auto"/>
            </w:tcBorders>
            <w:hideMark/>
          </w:tcPr>
          <w:p>
            <w:pPr>
              <w:spacing w:line="240" w:lineRule="exact"/>
            </w:pPr>
            <w:r>
              <w:rPr>
                <w:bCs/>
                <w:shd w:val="clear" w:color="auto" w:fill="FFFFFF"/>
              </w:rPr>
              <w:t>Осмотр системы отопления для визуального определения утечек горячей воды на отопительных приборах, запорной арматуре, разводящих трубопроводах</w:t>
            </w:r>
          </w:p>
        </w:tc>
        <w:tc>
          <w:tcPr>
            <w:tcW w:w="3824" w:type="dxa"/>
            <w:tcBorders>
              <w:top w:val="single" w:sz="4" w:space="0" w:color="auto"/>
              <w:left w:val="single" w:sz="4" w:space="0" w:color="auto"/>
              <w:bottom w:val="single" w:sz="4" w:space="0" w:color="auto"/>
              <w:right w:val="single" w:sz="4" w:space="0" w:color="auto"/>
            </w:tcBorders>
            <w:hideMark/>
          </w:tcPr>
          <w:p>
            <w:pPr>
              <w:spacing w:line="240" w:lineRule="exact"/>
              <w:jc w:val="center"/>
            </w:pPr>
            <w:r>
              <w:t>До и после промывки и гидравлических испытаний</w:t>
            </w:r>
          </w:p>
        </w:tc>
      </w:tr>
      <w:tr>
        <w:tc>
          <w:tcPr>
            <w:tcW w:w="710" w:type="dxa"/>
            <w:tcBorders>
              <w:top w:val="single" w:sz="4" w:space="0" w:color="auto"/>
              <w:left w:val="single" w:sz="4" w:space="0" w:color="auto"/>
              <w:bottom w:val="single" w:sz="4" w:space="0" w:color="auto"/>
              <w:right w:val="single" w:sz="4" w:space="0" w:color="auto"/>
            </w:tcBorders>
            <w:hideMark/>
          </w:tcPr>
          <w:p>
            <w:pPr>
              <w:spacing w:line="240" w:lineRule="exact"/>
              <w:jc w:val="center"/>
            </w:pPr>
            <w:r>
              <w:t>2.</w:t>
            </w:r>
          </w:p>
        </w:tc>
        <w:tc>
          <w:tcPr>
            <w:tcW w:w="5672" w:type="dxa"/>
            <w:tcBorders>
              <w:top w:val="single" w:sz="4" w:space="0" w:color="auto"/>
              <w:left w:val="single" w:sz="4" w:space="0" w:color="auto"/>
              <w:bottom w:val="single" w:sz="4" w:space="0" w:color="auto"/>
              <w:right w:val="single" w:sz="4" w:space="0" w:color="auto"/>
            </w:tcBorders>
            <w:hideMark/>
          </w:tcPr>
          <w:p>
            <w:pPr>
              <w:spacing w:line="240" w:lineRule="exact"/>
              <w:jc w:val="both"/>
            </w:pPr>
            <w:r>
              <w:t xml:space="preserve">Промывка системы отопления </w:t>
            </w:r>
            <w:r>
              <w:rPr>
                <w:bCs/>
                <w:shd w:val="clear" w:color="auto" w:fill="FFFFFF"/>
              </w:rPr>
              <w:t>от грязевых, иловых отложений, ржавчины и других загрязнений</w:t>
            </w:r>
          </w:p>
        </w:tc>
        <w:tc>
          <w:tcPr>
            <w:tcW w:w="3824" w:type="dxa"/>
            <w:tcBorders>
              <w:top w:val="single" w:sz="4" w:space="0" w:color="auto"/>
              <w:left w:val="single" w:sz="4" w:space="0" w:color="auto"/>
              <w:bottom w:val="single" w:sz="4" w:space="0" w:color="auto"/>
              <w:right w:val="single" w:sz="4" w:space="0" w:color="auto"/>
            </w:tcBorders>
            <w:hideMark/>
          </w:tcPr>
          <w:p>
            <w:pPr>
              <w:spacing w:line="240" w:lineRule="exact"/>
              <w:jc w:val="center"/>
            </w:pPr>
            <w:proofErr w:type="spellStart"/>
            <w:r>
              <w:t>Единоразово</w:t>
            </w:r>
            <w:proofErr w:type="spellEnd"/>
          </w:p>
        </w:tc>
      </w:tr>
      <w:tr>
        <w:tc>
          <w:tcPr>
            <w:tcW w:w="710" w:type="dxa"/>
            <w:tcBorders>
              <w:top w:val="single" w:sz="4" w:space="0" w:color="auto"/>
              <w:left w:val="single" w:sz="4" w:space="0" w:color="auto"/>
              <w:bottom w:val="single" w:sz="4" w:space="0" w:color="auto"/>
              <w:right w:val="single" w:sz="4" w:space="0" w:color="auto"/>
            </w:tcBorders>
            <w:hideMark/>
          </w:tcPr>
          <w:p>
            <w:pPr>
              <w:spacing w:line="240" w:lineRule="exact"/>
              <w:jc w:val="center"/>
            </w:pPr>
            <w:r>
              <w:t>3.</w:t>
            </w:r>
          </w:p>
        </w:tc>
        <w:tc>
          <w:tcPr>
            <w:tcW w:w="5672" w:type="dxa"/>
            <w:tcBorders>
              <w:top w:val="single" w:sz="4" w:space="0" w:color="auto"/>
              <w:left w:val="single" w:sz="4" w:space="0" w:color="auto"/>
              <w:bottom w:val="single" w:sz="4" w:space="0" w:color="auto"/>
              <w:right w:val="single" w:sz="4" w:space="0" w:color="auto"/>
            </w:tcBorders>
            <w:hideMark/>
          </w:tcPr>
          <w:p>
            <w:pPr>
              <w:spacing w:line="240" w:lineRule="exact"/>
            </w:pPr>
            <w:r>
              <w:rPr>
                <w:bCs/>
                <w:shd w:val="clear" w:color="auto" w:fill="FFFFFF"/>
              </w:rPr>
              <w:t>Проведение гидравлических испытаний системы отопления</w:t>
            </w:r>
          </w:p>
        </w:tc>
        <w:tc>
          <w:tcPr>
            <w:tcW w:w="3824" w:type="dxa"/>
            <w:tcBorders>
              <w:top w:val="single" w:sz="4" w:space="0" w:color="auto"/>
              <w:left w:val="single" w:sz="4" w:space="0" w:color="auto"/>
              <w:bottom w:val="single" w:sz="4" w:space="0" w:color="auto"/>
              <w:right w:val="single" w:sz="4" w:space="0" w:color="auto"/>
            </w:tcBorders>
            <w:hideMark/>
          </w:tcPr>
          <w:p>
            <w:pPr>
              <w:spacing w:line="240" w:lineRule="exact"/>
              <w:jc w:val="center"/>
            </w:pPr>
            <w:proofErr w:type="spellStart"/>
            <w:r>
              <w:t>Единоразово</w:t>
            </w:r>
            <w:proofErr w:type="spellEnd"/>
          </w:p>
        </w:tc>
      </w:tr>
    </w:tbl>
    <w:p>
      <w:pPr>
        <w:autoSpaceDE w:val="0"/>
        <w:autoSpaceDN w:val="0"/>
        <w:adjustRightInd w:val="0"/>
        <w:jc w:val="both"/>
      </w:pPr>
      <w:r>
        <w:rPr>
          <w:rFonts w:eastAsia="Calibri"/>
        </w:rPr>
        <w:t xml:space="preserve">            </w:t>
      </w:r>
      <w:r>
        <w:rPr>
          <w:rFonts w:eastAsia="Calibri"/>
          <w:b/>
        </w:rPr>
        <w:t xml:space="preserve">2. Объем закупаемых услуг: </w:t>
      </w:r>
    </w:p>
    <w:p>
      <w:pPr>
        <w:autoSpaceDE w:val="0"/>
        <w:autoSpaceDN w:val="0"/>
        <w:adjustRightInd w:val="0"/>
        <w:ind w:firstLine="709"/>
        <w:jc w:val="both"/>
        <w:outlineLvl w:val="0"/>
        <w:rPr>
          <w:rFonts w:eastAsia="Calibri"/>
        </w:rPr>
      </w:pPr>
      <w:r>
        <w:t>Оказание услуг по промывке и гидравлическим испытаниям системы отопления Заказчика (далее Услуги) в</w:t>
      </w:r>
      <w:r>
        <w:rPr>
          <w:rFonts w:eastAsia="Calibri"/>
        </w:rPr>
        <w:t>ключает в себя:</w:t>
      </w:r>
    </w:p>
    <w:p>
      <w:pPr>
        <w:autoSpaceDE w:val="0"/>
        <w:autoSpaceDN w:val="0"/>
        <w:adjustRightInd w:val="0"/>
        <w:ind w:firstLine="709"/>
        <w:jc w:val="both"/>
        <w:outlineLvl w:val="0"/>
        <w:rPr>
          <w:rFonts w:eastAsia="Calibri"/>
        </w:rPr>
      </w:pPr>
      <w:r>
        <w:rPr>
          <w:rFonts w:eastAsia="Calibri"/>
        </w:rPr>
        <w:t>- промывку системы отопления;</w:t>
      </w:r>
    </w:p>
    <w:p>
      <w:pPr>
        <w:autoSpaceDE w:val="0"/>
        <w:autoSpaceDN w:val="0"/>
        <w:adjustRightInd w:val="0"/>
        <w:ind w:firstLine="709"/>
        <w:jc w:val="both"/>
        <w:outlineLvl w:val="0"/>
        <w:rPr>
          <w:rFonts w:eastAsia="Calibri"/>
        </w:rPr>
      </w:pPr>
      <w:r>
        <w:rPr>
          <w:rFonts w:eastAsia="Calibri"/>
        </w:rPr>
        <w:t>- гидравлические испытания системы отопления.</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103"/>
        <w:gridCol w:w="4394"/>
      </w:tblGrid>
      <w:tr>
        <w:trPr>
          <w:trHeight w:val="240"/>
        </w:trPr>
        <w:tc>
          <w:tcPr>
            <w:tcW w:w="851" w:type="dxa"/>
            <w:vMerge w:val="restart"/>
          </w:tcPr>
          <w:p>
            <w:pPr>
              <w:spacing w:line="240" w:lineRule="exact"/>
              <w:jc w:val="center"/>
              <w:rPr>
                <w:b/>
                <w:kern w:val="28"/>
              </w:rPr>
            </w:pPr>
            <w:r>
              <w:rPr>
                <w:b/>
                <w:kern w:val="28"/>
              </w:rPr>
              <w:t xml:space="preserve">№ </w:t>
            </w:r>
            <w:proofErr w:type="gramStart"/>
            <w:r>
              <w:rPr>
                <w:b/>
                <w:kern w:val="28"/>
              </w:rPr>
              <w:t>п</w:t>
            </w:r>
            <w:proofErr w:type="gramEnd"/>
            <w:r>
              <w:rPr>
                <w:b/>
                <w:kern w:val="28"/>
              </w:rPr>
              <w:t>/п</w:t>
            </w:r>
          </w:p>
        </w:tc>
        <w:tc>
          <w:tcPr>
            <w:tcW w:w="5103" w:type="dxa"/>
            <w:vMerge w:val="restart"/>
          </w:tcPr>
          <w:p>
            <w:pPr>
              <w:spacing w:line="240" w:lineRule="exact"/>
              <w:jc w:val="center"/>
              <w:rPr>
                <w:b/>
                <w:kern w:val="28"/>
              </w:rPr>
            </w:pPr>
            <w:r>
              <w:rPr>
                <w:b/>
                <w:kern w:val="28"/>
              </w:rPr>
              <w:t>Требования к выполнению Работ</w:t>
            </w:r>
          </w:p>
        </w:tc>
        <w:tc>
          <w:tcPr>
            <w:tcW w:w="4394" w:type="dxa"/>
            <w:vMerge w:val="restart"/>
          </w:tcPr>
          <w:p>
            <w:pPr>
              <w:spacing w:line="240" w:lineRule="exact"/>
              <w:jc w:val="center"/>
              <w:rPr>
                <w:b/>
                <w:kern w:val="28"/>
              </w:rPr>
            </w:pPr>
            <w:r>
              <w:rPr>
                <w:b/>
                <w:kern w:val="28"/>
              </w:rPr>
              <w:t xml:space="preserve">Значение показателей </w:t>
            </w:r>
          </w:p>
        </w:tc>
      </w:tr>
      <w:tr>
        <w:trPr>
          <w:trHeight w:val="240"/>
        </w:trPr>
        <w:tc>
          <w:tcPr>
            <w:tcW w:w="851" w:type="dxa"/>
            <w:vMerge/>
          </w:tcPr>
          <w:p>
            <w:pPr>
              <w:spacing w:line="240" w:lineRule="exact"/>
              <w:rPr>
                <w:kern w:val="28"/>
              </w:rPr>
            </w:pPr>
          </w:p>
        </w:tc>
        <w:tc>
          <w:tcPr>
            <w:tcW w:w="5103" w:type="dxa"/>
            <w:vMerge/>
          </w:tcPr>
          <w:p>
            <w:pPr>
              <w:spacing w:line="240" w:lineRule="exact"/>
              <w:rPr>
                <w:kern w:val="28"/>
              </w:rPr>
            </w:pPr>
          </w:p>
        </w:tc>
        <w:tc>
          <w:tcPr>
            <w:tcW w:w="4394" w:type="dxa"/>
            <w:vMerge/>
          </w:tcPr>
          <w:p>
            <w:pPr>
              <w:spacing w:line="240" w:lineRule="exact"/>
              <w:rPr>
                <w:kern w:val="28"/>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851" w:type="dxa"/>
            <w:tcBorders>
              <w:top w:val="nil"/>
              <w:left w:val="single" w:sz="4" w:space="0" w:color="auto"/>
              <w:bottom w:val="single" w:sz="4" w:space="0" w:color="auto"/>
              <w:right w:val="single" w:sz="4" w:space="0" w:color="auto"/>
            </w:tcBorders>
          </w:tcPr>
          <w:p>
            <w:pPr>
              <w:spacing w:line="240" w:lineRule="exact"/>
              <w:ind w:left="318" w:hanging="402"/>
              <w:contextualSpacing/>
              <w:jc w:val="center"/>
              <w:rPr>
                <w:b/>
                <w:bCs/>
              </w:rPr>
            </w:pPr>
            <w:r>
              <w:rPr>
                <w:b/>
                <w:bCs/>
              </w:rPr>
              <w:t>1</w:t>
            </w:r>
          </w:p>
        </w:tc>
        <w:tc>
          <w:tcPr>
            <w:tcW w:w="5103" w:type="dxa"/>
            <w:tcBorders>
              <w:top w:val="nil"/>
              <w:left w:val="single" w:sz="4" w:space="0" w:color="auto"/>
              <w:bottom w:val="single" w:sz="4" w:space="0" w:color="auto"/>
              <w:right w:val="single" w:sz="4" w:space="0" w:color="auto"/>
            </w:tcBorders>
          </w:tcPr>
          <w:p>
            <w:pPr>
              <w:spacing w:line="240" w:lineRule="exact"/>
              <w:ind w:left="33"/>
              <w:contextualSpacing/>
              <w:jc w:val="center"/>
              <w:rPr>
                <w:b/>
                <w:bCs/>
              </w:rPr>
            </w:pPr>
            <w:r>
              <w:rPr>
                <w:b/>
                <w:bCs/>
              </w:rPr>
              <w:t>2</w:t>
            </w:r>
          </w:p>
        </w:tc>
        <w:tc>
          <w:tcPr>
            <w:tcW w:w="4394" w:type="dxa"/>
            <w:tcBorders>
              <w:top w:val="nil"/>
              <w:left w:val="single" w:sz="4" w:space="0" w:color="auto"/>
              <w:bottom w:val="single" w:sz="4" w:space="0" w:color="auto"/>
              <w:right w:val="single" w:sz="4" w:space="0" w:color="auto"/>
            </w:tcBorders>
          </w:tcPr>
          <w:p>
            <w:pPr>
              <w:spacing w:line="240" w:lineRule="exact"/>
              <w:ind w:left="720"/>
              <w:contextualSpacing/>
              <w:jc w:val="center"/>
              <w:rPr>
                <w:b/>
                <w:bCs/>
              </w:rPr>
            </w:pPr>
            <w:r>
              <w:rPr>
                <w:b/>
                <w:bCs/>
              </w:rPr>
              <w:t>3</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851" w:type="dxa"/>
            <w:tcBorders>
              <w:top w:val="nil"/>
              <w:left w:val="single" w:sz="4" w:space="0" w:color="auto"/>
              <w:bottom w:val="single" w:sz="4" w:space="0" w:color="auto"/>
              <w:right w:val="single" w:sz="4" w:space="0" w:color="auto"/>
            </w:tcBorders>
          </w:tcPr>
          <w:p>
            <w:pPr>
              <w:spacing w:line="240" w:lineRule="exact"/>
              <w:ind w:left="318" w:hanging="402"/>
              <w:contextualSpacing/>
              <w:jc w:val="center"/>
              <w:rPr>
                <w:b/>
                <w:bCs/>
              </w:rPr>
            </w:pPr>
            <w:r>
              <w:rPr>
                <w:b/>
                <w:bCs/>
              </w:rPr>
              <w:t>1</w:t>
            </w:r>
          </w:p>
        </w:tc>
        <w:tc>
          <w:tcPr>
            <w:tcW w:w="5103" w:type="dxa"/>
            <w:tcBorders>
              <w:top w:val="nil"/>
              <w:left w:val="single" w:sz="4" w:space="0" w:color="auto"/>
              <w:bottom w:val="single" w:sz="4" w:space="0" w:color="auto"/>
              <w:right w:val="single" w:sz="4" w:space="0" w:color="auto"/>
            </w:tcBorders>
          </w:tcPr>
          <w:p>
            <w:pPr>
              <w:spacing w:line="240" w:lineRule="exact"/>
              <w:ind w:left="33"/>
              <w:contextualSpacing/>
              <w:rPr>
                <w:b/>
                <w:bCs/>
              </w:rPr>
            </w:pPr>
            <w:r>
              <w:rPr>
                <w:b/>
                <w:bCs/>
              </w:rPr>
              <w:t>Наименование Работ</w:t>
            </w:r>
          </w:p>
        </w:tc>
        <w:tc>
          <w:tcPr>
            <w:tcW w:w="4394" w:type="dxa"/>
            <w:tcBorders>
              <w:top w:val="nil"/>
              <w:left w:val="single" w:sz="4" w:space="0" w:color="auto"/>
              <w:bottom w:val="single" w:sz="4" w:space="0" w:color="auto"/>
              <w:right w:val="single" w:sz="4" w:space="0" w:color="auto"/>
            </w:tcBorders>
          </w:tcPr>
          <w:p>
            <w:pPr>
              <w:spacing w:line="240" w:lineRule="exact"/>
              <w:ind w:left="720"/>
              <w:contextualSpacing/>
              <w:rPr>
                <w:b/>
                <w:bCs/>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851" w:type="dxa"/>
            <w:tcBorders>
              <w:top w:val="nil"/>
              <w:left w:val="single" w:sz="4" w:space="0" w:color="auto"/>
              <w:bottom w:val="single" w:sz="4" w:space="0" w:color="auto"/>
              <w:right w:val="single" w:sz="4" w:space="0" w:color="auto"/>
            </w:tcBorders>
          </w:tcPr>
          <w:p>
            <w:pPr>
              <w:spacing w:line="240" w:lineRule="exact"/>
              <w:jc w:val="center"/>
              <w:rPr>
                <w:color w:val="000000"/>
              </w:rPr>
            </w:pPr>
            <w:r>
              <w:rPr>
                <w:color w:val="000000"/>
              </w:rPr>
              <w:t>1.1</w:t>
            </w:r>
          </w:p>
        </w:tc>
        <w:tc>
          <w:tcPr>
            <w:tcW w:w="5103" w:type="dxa"/>
            <w:tcBorders>
              <w:top w:val="single" w:sz="4" w:space="0" w:color="auto"/>
              <w:left w:val="nil"/>
              <w:bottom w:val="single" w:sz="4" w:space="0" w:color="auto"/>
              <w:right w:val="single" w:sz="4" w:space="0" w:color="auto"/>
            </w:tcBorders>
          </w:tcPr>
          <w:p>
            <w:pPr>
              <w:spacing w:line="240" w:lineRule="exact"/>
            </w:pPr>
            <w:r>
              <w:t xml:space="preserve">Слив и наполнение водой системы отопления без осмотра системы </w:t>
            </w:r>
          </w:p>
        </w:tc>
        <w:tc>
          <w:tcPr>
            <w:tcW w:w="4394" w:type="dxa"/>
            <w:tcBorders>
              <w:top w:val="single" w:sz="4" w:space="0" w:color="auto"/>
              <w:left w:val="nil"/>
              <w:bottom w:val="single" w:sz="4" w:space="0" w:color="auto"/>
              <w:right w:val="single" w:sz="4" w:space="0" w:color="auto"/>
            </w:tcBorders>
            <w:vAlign w:val="center"/>
          </w:tcPr>
          <w:p>
            <w:pPr>
              <w:spacing w:line="240" w:lineRule="exact"/>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851" w:type="dxa"/>
            <w:tcBorders>
              <w:top w:val="nil"/>
              <w:left w:val="single" w:sz="4" w:space="0" w:color="auto"/>
              <w:bottom w:val="single" w:sz="4" w:space="0" w:color="auto"/>
              <w:right w:val="single" w:sz="4" w:space="0" w:color="auto"/>
            </w:tcBorders>
          </w:tcPr>
          <w:p>
            <w:pPr>
              <w:spacing w:line="240" w:lineRule="exact"/>
              <w:jc w:val="center"/>
              <w:rPr>
                <w:color w:val="000000"/>
              </w:rPr>
            </w:pPr>
            <w:r>
              <w:rPr>
                <w:color w:val="000000"/>
              </w:rPr>
              <w:t>1.2</w:t>
            </w:r>
          </w:p>
        </w:tc>
        <w:tc>
          <w:tcPr>
            <w:tcW w:w="5103" w:type="dxa"/>
            <w:tcBorders>
              <w:top w:val="single" w:sz="4" w:space="0" w:color="auto"/>
              <w:left w:val="nil"/>
              <w:bottom w:val="single" w:sz="4" w:space="0" w:color="auto"/>
              <w:right w:val="single" w:sz="4" w:space="0" w:color="auto"/>
            </w:tcBorders>
          </w:tcPr>
          <w:p>
            <w:pPr>
              <w:spacing w:line="240" w:lineRule="exact"/>
            </w:pPr>
            <w:r>
              <w:t xml:space="preserve">Компрессоры передвижные с двигателем внутреннего сгорания давлением до 4 </w:t>
            </w:r>
            <w:proofErr w:type="spellStart"/>
            <w:r>
              <w:t>ат</w:t>
            </w:r>
            <w:proofErr w:type="spellEnd"/>
            <w:r>
              <w:t>, производительностью 2,2 куб. м/мин</w:t>
            </w:r>
          </w:p>
        </w:tc>
        <w:tc>
          <w:tcPr>
            <w:tcW w:w="4394" w:type="dxa"/>
            <w:tcBorders>
              <w:top w:val="single" w:sz="4" w:space="0" w:color="auto"/>
              <w:left w:val="nil"/>
              <w:bottom w:val="single" w:sz="4" w:space="0" w:color="auto"/>
              <w:right w:val="single" w:sz="4" w:space="0" w:color="auto"/>
            </w:tcBorders>
            <w:vAlign w:val="center"/>
          </w:tcPr>
          <w:p>
            <w:pPr>
              <w:spacing w:line="240" w:lineRule="exact"/>
            </w:pPr>
            <w:r>
              <w:t>Промывка давлением 6-7,5 кгс/</w:t>
            </w:r>
            <w:proofErr w:type="spellStart"/>
            <w:r>
              <w:t>см.кв</w:t>
            </w:r>
            <w:proofErr w:type="spellEnd"/>
            <w:r>
              <w:t>. при температуре воды не менее 65 град. Цельсия, не мене 30 минут</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851" w:type="dxa"/>
            <w:tcBorders>
              <w:top w:val="single" w:sz="4" w:space="0" w:color="auto"/>
              <w:left w:val="single" w:sz="4" w:space="0" w:color="auto"/>
              <w:bottom w:val="single" w:sz="4" w:space="0" w:color="auto"/>
              <w:right w:val="single" w:sz="4" w:space="0" w:color="auto"/>
            </w:tcBorders>
          </w:tcPr>
          <w:p>
            <w:pPr>
              <w:spacing w:line="240" w:lineRule="exact"/>
              <w:jc w:val="center"/>
              <w:rPr>
                <w:color w:val="000000"/>
              </w:rPr>
            </w:pPr>
            <w:r>
              <w:rPr>
                <w:color w:val="000000"/>
              </w:rPr>
              <w:t>1.3</w:t>
            </w:r>
          </w:p>
        </w:tc>
        <w:tc>
          <w:tcPr>
            <w:tcW w:w="5103" w:type="dxa"/>
            <w:tcBorders>
              <w:top w:val="single" w:sz="4" w:space="0" w:color="auto"/>
              <w:left w:val="nil"/>
              <w:bottom w:val="single" w:sz="4" w:space="0" w:color="auto"/>
              <w:right w:val="single" w:sz="4" w:space="0" w:color="auto"/>
            </w:tcBorders>
          </w:tcPr>
          <w:p>
            <w:pPr>
              <w:spacing w:line="240" w:lineRule="exact"/>
            </w:pPr>
            <w:r>
              <w:t>Прочистка и промывка радиаторов отопления весом до 160 кг внутри здания</w:t>
            </w:r>
          </w:p>
        </w:tc>
        <w:tc>
          <w:tcPr>
            <w:tcW w:w="4394" w:type="dxa"/>
            <w:tcBorders>
              <w:top w:val="single" w:sz="4" w:space="0" w:color="auto"/>
              <w:left w:val="nil"/>
              <w:bottom w:val="single" w:sz="4" w:space="0" w:color="auto"/>
              <w:right w:val="single" w:sz="4" w:space="0" w:color="auto"/>
            </w:tcBorders>
            <w:vAlign w:val="center"/>
          </w:tcPr>
          <w:p>
            <w:pPr>
              <w:spacing w:line="240" w:lineRule="exact"/>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851" w:type="dxa"/>
            <w:tcBorders>
              <w:top w:val="single" w:sz="4" w:space="0" w:color="auto"/>
              <w:left w:val="single" w:sz="4" w:space="0" w:color="auto"/>
              <w:bottom w:val="single" w:sz="4" w:space="0" w:color="auto"/>
              <w:right w:val="single" w:sz="4" w:space="0" w:color="auto"/>
            </w:tcBorders>
          </w:tcPr>
          <w:p>
            <w:pPr>
              <w:spacing w:line="240" w:lineRule="exact"/>
              <w:jc w:val="center"/>
              <w:rPr>
                <w:color w:val="000000"/>
              </w:rPr>
            </w:pPr>
            <w:r>
              <w:rPr>
                <w:color w:val="000000"/>
              </w:rPr>
              <w:t>1.4.</w:t>
            </w:r>
          </w:p>
        </w:tc>
        <w:tc>
          <w:tcPr>
            <w:tcW w:w="5103" w:type="dxa"/>
            <w:tcBorders>
              <w:top w:val="single" w:sz="4" w:space="0" w:color="auto"/>
              <w:left w:val="nil"/>
              <w:bottom w:val="single" w:sz="4" w:space="0" w:color="auto"/>
              <w:right w:val="single" w:sz="4" w:space="0" w:color="auto"/>
            </w:tcBorders>
          </w:tcPr>
          <w:p>
            <w:pPr>
              <w:spacing w:line="240" w:lineRule="exact"/>
            </w:pPr>
            <w:r>
              <w:t>Прочистка и промывка радиаторов отопления весом до 80 кг внутри здания</w:t>
            </w:r>
          </w:p>
        </w:tc>
        <w:tc>
          <w:tcPr>
            <w:tcW w:w="4394" w:type="dxa"/>
            <w:tcBorders>
              <w:top w:val="single" w:sz="4" w:space="0" w:color="auto"/>
              <w:left w:val="nil"/>
              <w:bottom w:val="single" w:sz="4" w:space="0" w:color="auto"/>
              <w:right w:val="single" w:sz="4" w:space="0" w:color="auto"/>
            </w:tcBorders>
            <w:vAlign w:val="center"/>
          </w:tcPr>
          <w:p>
            <w:pPr>
              <w:spacing w:line="240" w:lineRule="exact"/>
            </w:pPr>
            <w:r>
              <w:t>4 пр.</w:t>
            </w:r>
          </w:p>
        </w:tc>
      </w:tr>
    </w:tbl>
    <w:p>
      <w:pPr>
        <w:autoSpaceDE w:val="0"/>
        <w:autoSpaceDN w:val="0"/>
        <w:adjustRightInd w:val="0"/>
        <w:spacing w:line="240" w:lineRule="exact"/>
        <w:ind w:firstLine="539"/>
        <w:jc w:val="center"/>
        <w:rPr>
          <w:bCs/>
          <w:lang w:eastAsia="en-US"/>
        </w:rPr>
      </w:pPr>
    </w:p>
    <w:p>
      <w:pPr>
        <w:jc w:val="center"/>
      </w:pPr>
      <w:r>
        <w:rPr>
          <w:b/>
        </w:rPr>
        <w:t>Перечень систем отопления, подлежащих промывке и гидравлическим испытаниям, место оказания (адрес) услуг:</w:t>
      </w:r>
    </w:p>
    <w:tbl>
      <w:tblPr>
        <w:tblpPr w:leftFromText="180" w:rightFromText="180" w:vertAnchor="text" w:horzAnchor="margin" w:tblpX="108" w:tblpY="250"/>
        <w:tblW w:w="1017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709"/>
        <w:gridCol w:w="2377"/>
        <w:gridCol w:w="3543"/>
        <w:gridCol w:w="3544"/>
      </w:tblGrid>
      <w:tr>
        <w:trPr>
          <w:trHeight w:val="554"/>
        </w:trPr>
        <w:tc>
          <w:tcPr>
            <w:tcW w:w="709" w:type="dxa"/>
            <w:tcBorders>
              <w:top w:val="single" w:sz="4" w:space="0" w:color="auto"/>
              <w:left w:val="single" w:sz="4" w:space="0" w:color="auto"/>
              <w:bottom w:val="single" w:sz="6" w:space="0" w:color="auto"/>
              <w:right w:val="single" w:sz="6" w:space="0" w:color="auto"/>
            </w:tcBorders>
            <w:hideMark/>
          </w:tcPr>
          <w:p>
            <w:pPr>
              <w:snapToGrid w:val="0"/>
              <w:spacing w:line="240" w:lineRule="exact"/>
              <w:jc w:val="center"/>
              <w:rPr>
                <w:rFonts w:eastAsia="MS Mincho"/>
                <w:b/>
                <w:color w:val="000000"/>
              </w:rPr>
            </w:pPr>
            <w:r>
              <w:rPr>
                <w:b/>
                <w:color w:val="000000"/>
              </w:rPr>
              <w:t xml:space="preserve">№ </w:t>
            </w:r>
            <w:proofErr w:type="gramStart"/>
            <w:r>
              <w:rPr>
                <w:b/>
                <w:color w:val="000000"/>
              </w:rPr>
              <w:t>п</w:t>
            </w:r>
            <w:proofErr w:type="gramEnd"/>
            <w:r>
              <w:rPr>
                <w:b/>
                <w:color w:val="000000"/>
                <w:lang w:val="en-US"/>
              </w:rPr>
              <w:t>/</w:t>
            </w:r>
            <w:r>
              <w:rPr>
                <w:b/>
                <w:color w:val="000000"/>
              </w:rPr>
              <w:t>п</w:t>
            </w:r>
          </w:p>
        </w:tc>
        <w:tc>
          <w:tcPr>
            <w:tcW w:w="2377" w:type="dxa"/>
            <w:tcBorders>
              <w:top w:val="single" w:sz="4" w:space="0" w:color="auto"/>
              <w:left w:val="single" w:sz="6" w:space="0" w:color="auto"/>
              <w:bottom w:val="single" w:sz="6" w:space="0" w:color="auto"/>
              <w:right w:val="single" w:sz="6" w:space="0" w:color="auto"/>
            </w:tcBorders>
            <w:hideMark/>
          </w:tcPr>
          <w:p>
            <w:pPr>
              <w:snapToGrid w:val="0"/>
              <w:spacing w:line="240" w:lineRule="exact"/>
              <w:jc w:val="center"/>
              <w:rPr>
                <w:rFonts w:eastAsia="MS Mincho"/>
                <w:b/>
                <w:color w:val="000000"/>
              </w:rPr>
            </w:pPr>
            <w:r>
              <w:rPr>
                <w:b/>
                <w:color w:val="000000"/>
              </w:rPr>
              <w:t>Наименование системы отопления</w:t>
            </w:r>
          </w:p>
        </w:tc>
        <w:tc>
          <w:tcPr>
            <w:tcW w:w="3543" w:type="dxa"/>
            <w:tcBorders>
              <w:top w:val="single" w:sz="4" w:space="0" w:color="auto"/>
              <w:left w:val="single" w:sz="6" w:space="0" w:color="auto"/>
              <w:bottom w:val="single" w:sz="6" w:space="0" w:color="auto"/>
              <w:right w:val="single" w:sz="6" w:space="0" w:color="auto"/>
            </w:tcBorders>
            <w:hideMark/>
          </w:tcPr>
          <w:p>
            <w:pPr>
              <w:tabs>
                <w:tab w:val="num" w:pos="72"/>
              </w:tabs>
              <w:snapToGrid w:val="0"/>
              <w:spacing w:line="240" w:lineRule="exact"/>
              <w:ind w:left="72"/>
              <w:jc w:val="center"/>
              <w:rPr>
                <w:rFonts w:eastAsia="MS Mincho"/>
                <w:b/>
              </w:rPr>
            </w:pPr>
            <w:r>
              <w:rPr>
                <w:rFonts w:eastAsia="MS Mincho"/>
                <w:b/>
              </w:rPr>
              <w:t>Место оказания (адрес) услуг</w:t>
            </w:r>
          </w:p>
        </w:tc>
        <w:tc>
          <w:tcPr>
            <w:tcW w:w="3544" w:type="dxa"/>
            <w:tcBorders>
              <w:top w:val="single" w:sz="4" w:space="0" w:color="auto"/>
              <w:left w:val="single" w:sz="6" w:space="0" w:color="auto"/>
              <w:bottom w:val="single" w:sz="6" w:space="0" w:color="auto"/>
              <w:right w:val="single" w:sz="6" w:space="0" w:color="auto"/>
            </w:tcBorders>
            <w:hideMark/>
          </w:tcPr>
          <w:p>
            <w:pPr>
              <w:tabs>
                <w:tab w:val="num" w:pos="72"/>
              </w:tabs>
              <w:snapToGrid w:val="0"/>
              <w:spacing w:line="240" w:lineRule="exact"/>
              <w:ind w:left="72"/>
              <w:jc w:val="center"/>
              <w:rPr>
                <w:rFonts w:eastAsia="MS Mincho"/>
                <w:b/>
              </w:rPr>
            </w:pPr>
            <w:r>
              <w:rPr>
                <w:rFonts w:eastAsia="MS Mincho"/>
                <w:b/>
              </w:rPr>
              <w:t>Состав системы отопления</w:t>
            </w:r>
          </w:p>
        </w:tc>
      </w:tr>
      <w:tr>
        <w:trPr>
          <w:trHeight w:val="685"/>
        </w:trPr>
        <w:tc>
          <w:tcPr>
            <w:tcW w:w="709" w:type="dxa"/>
            <w:tcBorders>
              <w:top w:val="single" w:sz="6" w:space="0" w:color="auto"/>
              <w:left w:val="single" w:sz="4" w:space="0" w:color="auto"/>
              <w:bottom w:val="single" w:sz="6" w:space="0" w:color="auto"/>
              <w:right w:val="single" w:sz="6" w:space="0" w:color="auto"/>
            </w:tcBorders>
          </w:tcPr>
          <w:p>
            <w:pPr>
              <w:snapToGrid w:val="0"/>
              <w:spacing w:line="240" w:lineRule="exact"/>
              <w:jc w:val="center"/>
              <w:rPr>
                <w:rFonts w:eastAsia="MS Mincho"/>
              </w:rPr>
            </w:pPr>
            <w:r>
              <w:t>1.</w:t>
            </w:r>
          </w:p>
          <w:p>
            <w:pPr>
              <w:snapToGrid w:val="0"/>
              <w:spacing w:line="240" w:lineRule="exact"/>
              <w:rPr>
                <w:rFonts w:eastAsia="MS Mincho"/>
              </w:rPr>
            </w:pPr>
          </w:p>
        </w:tc>
        <w:tc>
          <w:tcPr>
            <w:tcW w:w="2377" w:type="dxa"/>
            <w:tcBorders>
              <w:top w:val="single" w:sz="6" w:space="0" w:color="auto"/>
              <w:left w:val="single" w:sz="6" w:space="0" w:color="auto"/>
              <w:bottom w:val="single" w:sz="6" w:space="0" w:color="auto"/>
              <w:right w:val="single" w:sz="6" w:space="0" w:color="auto"/>
            </w:tcBorders>
          </w:tcPr>
          <w:p>
            <w:pPr>
              <w:spacing w:line="240" w:lineRule="exact"/>
              <w:rPr>
                <w:color w:val="000000"/>
              </w:rPr>
            </w:pPr>
            <w:r>
              <w:rPr>
                <w:color w:val="000000"/>
              </w:rPr>
              <w:t>Система отопления здания</w:t>
            </w:r>
          </w:p>
          <w:p>
            <w:pPr>
              <w:spacing w:line="240" w:lineRule="exact"/>
              <w:rPr>
                <w:color w:val="000000"/>
              </w:rPr>
            </w:pPr>
          </w:p>
        </w:tc>
        <w:tc>
          <w:tcPr>
            <w:tcW w:w="3543" w:type="dxa"/>
            <w:tcBorders>
              <w:top w:val="single" w:sz="6" w:space="0" w:color="auto"/>
              <w:left w:val="single" w:sz="6" w:space="0" w:color="auto"/>
              <w:bottom w:val="single" w:sz="6" w:space="0" w:color="auto"/>
              <w:right w:val="single" w:sz="6" w:space="0" w:color="auto"/>
            </w:tcBorders>
            <w:hideMark/>
          </w:tcPr>
          <w:p>
            <w:pPr>
              <w:spacing w:line="240" w:lineRule="exact"/>
              <w:rPr>
                <w:color w:val="000000"/>
              </w:rPr>
            </w:pPr>
            <w:r>
              <w:rPr>
                <w:color w:val="000000"/>
              </w:rPr>
              <w:t xml:space="preserve">- г. Магадан, ул. </w:t>
            </w:r>
            <w:proofErr w:type="gramStart"/>
            <w:r>
              <w:rPr>
                <w:color w:val="000000"/>
              </w:rPr>
              <w:t>Пролетарская</w:t>
            </w:r>
            <w:proofErr w:type="gramEnd"/>
            <w:r>
              <w:rPr>
                <w:color w:val="000000"/>
              </w:rPr>
              <w:t>, д. 39;</w:t>
            </w:r>
          </w:p>
          <w:p>
            <w:pPr>
              <w:spacing w:line="240" w:lineRule="exact"/>
              <w:rPr>
                <w:color w:val="000000"/>
              </w:rPr>
            </w:pPr>
            <w:r>
              <w:rPr>
                <w:color w:val="000000"/>
              </w:rPr>
              <w:t>-г. Магадан ул. Пушкина, д. 11/11</w:t>
            </w:r>
          </w:p>
        </w:tc>
        <w:tc>
          <w:tcPr>
            <w:tcW w:w="3544" w:type="dxa"/>
            <w:tcBorders>
              <w:top w:val="single" w:sz="6" w:space="0" w:color="auto"/>
              <w:left w:val="single" w:sz="6" w:space="0" w:color="auto"/>
              <w:bottom w:val="single" w:sz="6" w:space="0" w:color="auto"/>
              <w:right w:val="single" w:sz="6" w:space="0" w:color="auto"/>
            </w:tcBorders>
            <w:hideMark/>
          </w:tcPr>
          <w:p>
            <w:pPr>
              <w:tabs>
                <w:tab w:val="num" w:pos="72"/>
              </w:tabs>
              <w:autoSpaceDE w:val="0"/>
              <w:autoSpaceDN w:val="0"/>
              <w:adjustRightInd w:val="0"/>
              <w:spacing w:line="240" w:lineRule="exact"/>
            </w:pPr>
            <w:r>
              <w:t>Отопительных приборов –  200 штук.</w:t>
            </w:r>
          </w:p>
          <w:p>
            <w:pPr>
              <w:tabs>
                <w:tab w:val="num" w:pos="72"/>
              </w:tabs>
              <w:autoSpaceDE w:val="0"/>
              <w:autoSpaceDN w:val="0"/>
              <w:adjustRightInd w:val="0"/>
              <w:spacing w:line="240" w:lineRule="exact"/>
            </w:pPr>
            <w:r>
              <w:t>Стояков, разводящих трубопроводов:</w:t>
            </w:r>
          </w:p>
          <w:p>
            <w:pPr>
              <w:tabs>
                <w:tab w:val="num" w:pos="72"/>
              </w:tabs>
              <w:autoSpaceDE w:val="0"/>
              <w:autoSpaceDN w:val="0"/>
              <w:adjustRightInd w:val="0"/>
              <w:spacing w:line="240" w:lineRule="exact"/>
            </w:pPr>
            <w:r>
              <w:t xml:space="preserve">- диаметром до 50 мм – 140 </w:t>
            </w:r>
            <w:proofErr w:type="spellStart"/>
            <w:r>
              <w:t>пог</w:t>
            </w:r>
            <w:proofErr w:type="spellEnd"/>
            <w:r>
              <w:t>. м.;</w:t>
            </w:r>
          </w:p>
        </w:tc>
      </w:tr>
    </w:tbl>
    <w:p>
      <w:pPr>
        <w:autoSpaceDE w:val="0"/>
        <w:autoSpaceDN w:val="0"/>
        <w:adjustRightInd w:val="0"/>
        <w:ind w:firstLine="709"/>
        <w:jc w:val="center"/>
        <w:rPr>
          <w:rFonts w:eastAsia="Calibri"/>
          <w:b/>
          <w:bCs/>
        </w:rPr>
      </w:pPr>
    </w:p>
    <w:p>
      <w:pPr>
        <w:autoSpaceDE w:val="0"/>
        <w:autoSpaceDN w:val="0"/>
        <w:adjustRightInd w:val="0"/>
        <w:outlineLvl w:val="0"/>
        <w:rPr>
          <w:rFonts w:eastAsia="Calibri"/>
        </w:rPr>
      </w:pPr>
      <w:r>
        <w:rPr>
          <w:rFonts w:eastAsia="Calibri"/>
          <w:b/>
          <w:bCs/>
        </w:rPr>
        <w:t xml:space="preserve">           3. Порядок и условия оказания услуг</w:t>
      </w:r>
    </w:p>
    <w:p>
      <w:pPr>
        <w:autoSpaceDE w:val="0"/>
        <w:autoSpaceDN w:val="0"/>
        <w:adjustRightInd w:val="0"/>
        <w:ind w:firstLine="709"/>
        <w:jc w:val="both"/>
      </w:pPr>
      <w:r>
        <w:t xml:space="preserve">1. Услуги оказываются силами и за счет средств Исполнителя в режиме деятельности Заказчика. </w:t>
      </w:r>
    </w:p>
    <w:p>
      <w:pPr>
        <w:ind w:firstLine="709"/>
        <w:jc w:val="both"/>
      </w:pPr>
      <w:r>
        <w:t>2. До начала оказания услуг Исполнитель должен предоставить Заказчику приказ о назначении представителя, ответственного за оказание услуг.</w:t>
      </w:r>
    </w:p>
    <w:p>
      <w:pPr>
        <w:ind w:firstLine="709"/>
        <w:jc w:val="both"/>
      </w:pPr>
      <w:r>
        <w:lastRenderedPageBreak/>
        <w:t>3. Оказание услуг должно осуществляться при постоянном присутствии представителя Исполнителя, ответственного за оказание услуг.</w:t>
      </w:r>
    </w:p>
    <w:p>
      <w:pPr>
        <w:autoSpaceDE w:val="0"/>
        <w:autoSpaceDN w:val="0"/>
        <w:adjustRightInd w:val="0"/>
        <w:ind w:firstLine="709"/>
        <w:jc w:val="both"/>
      </w:pPr>
      <w:r>
        <w:t>4. Исполнитель осуществляет обеспечение специалистов, выполняющих услуги при оказании Услуг, инструментами, оборудованием (технологическим и испытательным), средствами измерения, расходными материалами, необходимыми для оказания Услуг.</w:t>
      </w:r>
    </w:p>
    <w:p>
      <w:pPr>
        <w:ind w:firstLine="709"/>
        <w:jc w:val="both"/>
      </w:pPr>
      <w:r>
        <w:t>Персонал Исполнителя, непосредственно участвующий в оказании услуг по Контракту, предоставляет Заказчику в трехдневный срок после заключения Контракта копии всех документов, подтверждающих его квалификацию и право заниматься данной деятельностью.</w:t>
      </w:r>
    </w:p>
    <w:p>
      <w:pPr>
        <w:ind w:firstLine="709"/>
        <w:jc w:val="both"/>
      </w:pPr>
      <w:r>
        <w:t xml:space="preserve">Исполнитель обязан иметь собственное оборудование, необходимое для производства услуг по Контракту. Оборудование должно быть годным к производству услуг и поверенным в соответствующих инстанциях. Заказчик имеет право явиться с инспекцией к Исполнителю с целью осмотра оборудования, используемого при оказании услуг по Контракту. </w:t>
      </w:r>
    </w:p>
    <w:p>
      <w:pPr>
        <w:autoSpaceDE w:val="0"/>
        <w:autoSpaceDN w:val="0"/>
        <w:adjustRightInd w:val="0"/>
        <w:ind w:firstLine="709"/>
        <w:jc w:val="both"/>
      </w:pPr>
      <w:r>
        <w:t>Работы осуществляются в действующем учреждении без отселения. Выполнение работ не должно представлять угрозу жизни и здоровья посетителей</w:t>
      </w:r>
    </w:p>
    <w:p>
      <w:pPr>
        <w:ind w:firstLine="709"/>
        <w:jc w:val="both"/>
      </w:pPr>
      <w:r>
        <w:t xml:space="preserve">5. Исполнитель обязан после оказания услуг оформить в соответствии со СП 73.13330.2016 «Внутренние санитарно-технические системы зданий» и </w:t>
      </w:r>
      <w:proofErr w:type="gramStart"/>
      <w:r>
        <w:t>предоставить Заказчику следующие документы</w:t>
      </w:r>
      <w:proofErr w:type="gramEnd"/>
      <w:r>
        <w:t>:</w:t>
      </w:r>
    </w:p>
    <w:p>
      <w:pPr>
        <w:ind w:firstLine="709"/>
        <w:jc w:val="both"/>
      </w:pPr>
      <w:r>
        <w:t>- «Акт о промывке системы отопления»;</w:t>
      </w:r>
    </w:p>
    <w:p>
      <w:pPr>
        <w:ind w:firstLine="709"/>
        <w:jc w:val="both"/>
      </w:pPr>
      <w:r>
        <w:t>- «Акт гидростатического или манометрического испытания на герметичность системы отопления».</w:t>
      </w:r>
    </w:p>
    <w:p>
      <w:pPr>
        <w:autoSpaceDE w:val="0"/>
        <w:autoSpaceDN w:val="0"/>
        <w:adjustRightInd w:val="0"/>
        <w:jc w:val="both"/>
        <w:rPr>
          <w:rFonts w:eastAsia="Calibri"/>
          <w:b/>
        </w:rPr>
      </w:pPr>
      <w:r>
        <w:rPr>
          <w:rFonts w:eastAsia="Calibri"/>
          <w:b/>
        </w:rPr>
        <w:t xml:space="preserve">               Функциональные, технические, качественные, эксплуатационные характеристики объекта закупки </w:t>
      </w:r>
    </w:p>
    <w:p>
      <w:pPr>
        <w:tabs>
          <w:tab w:val="left" w:pos="0"/>
          <w:tab w:val="left" w:pos="993"/>
        </w:tabs>
        <w:ind w:firstLine="709"/>
        <w:jc w:val="both"/>
        <w:rPr>
          <w:b/>
        </w:rPr>
      </w:pPr>
      <w:r>
        <w:rPr>
          <w:b/>
          <w:kern w:val="28"/>
        </w:rPr>
        <w:t>Перечень нормативно-правовых документов, используемых Исполнителем при оказании Услуг:</w:t>
      </w:r>
    </w:p>
    <w:p>
      <w:pPr>
        <w:tabs>
          <w:tab w:val="left" w:pos="0"/>
        </w:tabs>
        <w:ind w:firstLine="709"/>
        <w:jc w:val="both"/>
        <w:rPr>
          <w:color w:val="000000"/>
        </w:rPr>
      </w:pPr>
      <w:r>
        <w:rPr>
          <w:color w:val="000000"/>
        </w:rPr>
        <w:t xml:space="preserve">1. Федеральный закон </w:t>
      </w:r>
      <w:r>
        <w:rPr>
          <w:bCs/>
          <w:color w:val="000000"/>
        </w:rPr>
        <w:t xml:space="preserve">от 27.12.2002 № 184-ФЗ </w:t>
      </w:r>
      <w:r>
        <w:rPr>
          <w:color w:val="000000"/>
        </w:rPr>
        <w:t>«О техническом регулировании».</w:t>
      </w:r>
    </w:p>
    <w:p>
      <w:pPr>
        <w:tabs>
          <w:tab w:val="left" w:pos="0"/>
        </w:tabs>
        <w:ind w:firstLine="709"/>
        <w:jc w:val="both"/>
      </w:pPr>
      <w:r>
        <w:t>2. Федеральный закон от 22.07.2008 №123-ФЗ «Технический регламент о требованиях пожарной безопасности».</w:t>
      </w:r>
    </w:p>
    <w:p>
      <w:pPr>
        <w:tabs>
          <w:tab w:val="left" w:pos="0"/>
        </w:tabs>
        <w:ind w:firstLine="709"/>
        <w:jc w:val="both"/>
      </w:pPr>
      <w:r>
        <w:t xml:space="preserve">3. Правила технической эксплуатации объектов теплоснабжения и </w:t>
      </w:r>
      <w:proofErr w:type="spellStart"/>
      <w:r>
        <w:t>теплопотребляющих</w:t>
      </w:r>
      <w:proofErr w:type="spellEnd"/>
      <w:r>
        <w:t xml:space="preserve"> установок утверждены приказом Минэнерго РФ от 14.05.2025 № 511.</w:t>
      </w:r>
    </w:p>
    <w:p>
      <w:pPr>
        <w:tabs>
          <w:tab w:val="left" w:pos="0"/>
        </w:tabs>
        <w:ind w:firstLine="709"/>
        <w:jc w:val="both"/>
      </w:pPr>
      <w:r>
        <w:t>4. Правила по охране труда при эксплуатации электроустановок, утвержденные приказом Министерства труда и социальной защиты РФ от 15.12.2020 № 903н.</w:t>
      </w:r>
    </w:p>
    <w:p>
      <w:pPr>
        <w:tabs>
          <w:tab w:val="left" w:pos="0"/>
        </w:tabs>
        <w:ind w:firstLine="709"/>
        <w:jc w:val="both"/>
      </w:pPr>
      <w:r>
        <w:t>5. СП 73.13330.2016 «Внутренние санитарно-технические системы зданий».</w:t>
      </w:r>
    </w:p>
    <w:p>
      <w:pPr>
        <w:spacing w:line="240" w:lineRule="exact"/>
        <w:ind w:left="720"/>
        <w:contextualSpacing/>
        <w:rPr>
          <w:b/>
          <w:kern w:val="28"/>
        </w:rPr>
      </w:pPr>
    </w:p>
    <w:p>
      <w:pPr>
        <w:jc w:val="center"/>
        <w:rPr>
          <w:b/>
        </w:rPr>
      </w:pPr>
    </w:p>
    <w:p>
      <w:pPr>
        <w:jc w:val="center"/>
      </w:pPr>
    </w:p>
    <w:p>
      <w:r>
        <w:t>ЗАКАЗЧИК:                                                                      ИСПОЛНИТЕЛЬ:</w:t>
      </w:r>
    </w:p>
    <w:p>
      <w:pPr>
        <w:jc w:val="right"/>
      </w:pPr>
    </w:p>
    <w:p>
      <w:pPr>
        <w:jc w:val="right"/>
      </w:pPr>
    </w:p>
    <w:tbl>
      <w:tblPr>
        <w:tblW w:w="10451" w:type="dxa"/>
        <w:tblInd w:w="147" w:type="dxa"/>
        <w:tblLayout w:type="fixed"/>
        <w:tblLook w:val="0000" w:firstRow="0" w:lastRow="0" w:firstColumn="0" w:lastColumn="0" w:noHBand="0" w:noVBand="0"/>
      </w:tblPr>
      <w:tblGrid>
        <w:gridCol w:w="5206"/>
        <w:gridCol w:w="5245"/>
      </w:tblGrid>
      <w:tr>
        <w:trPr>
          <w:trHeight w:val="1314"/>
        </w:trPr>
        <w:tc>
          <w:tcPr>
            <w:tcW w:w="5206" w:type="dxa"/>
          </w:tcPr>
          <w:p>
            <w:pPr>
              <w:tabs>
                <w:tab w:val="left" w:pos="6120"/>
              </w:tabs>
              <w:ind w:right="-4"/>
            </w:pPr>
          </w:p>
          <w:p>
            <w:pPr>
              <w:tabs>
                <w:tab w:val="left" w:pos="6120"/>
              </w:tabs>
              <w:ind w:right="-4"/>
            </w:pPr>
          </w:p>
          <w:p>
            <w:pPr>
              <w:tabs>
                <w:tab w:val="left" w:pos="6120"/>
              </w:tabs>
              <w:ind w:right="-4"/>
            </w:pPr>
            <w:r>
              <w:t xml:space="preserve">__________________  </w:t>
            </w:r>
          </w:p>
          <w:p>
            <w:pPr>
              <w:tabs>
                <w:tab w:val="left" w:pos="6120"/>
              </w:tabs>
              <w:ind w:right="-4"/>
              <w:rPr>
                <w:i/>
              </w:rPr>
            </w:pPr>
            <w:r>
              <w:rPr>
                <w:i/>
              </w:rPr>
              <w:t>Подписано ЭЦП</w:t>
            </w:r>
          </w:p>
          <w:p>
            <w:pPr>
              <w:tabs>
                <w:tab w:val="left" w:pos="6120"/>
              </w:tabs>
              <w:ind w:right="-4"/>
              <w:rPr>
                <w:i/>
              </w:rPr>
            </w:pPr>
          </w:p>
          <w:p>
            <w:pPr>
              <w:tabs>
                <w:tab w:val="left" w:pos="6120"/>
              </w:tabs>
              <w:ind w:right="-4"/>
              <w:rPr>
                <w:i/>
              </w:rPr>
            </w:pPr>
          </w:p>
          <w:p>
            <w:pPr>
              <w:tabs>
                <w:tab w:val="left" w:pos="6120"/>
              </w:tabs>
              <w:ind w:right="-4"/>
              <w:rPr>
                <w:i/>
              </w:rPr>
            </w:pPr>
          </w:p>
          <w:p>
            <w:pPr>
              <w:tabs>
                <w:tab w:val="left" w:pos="6120"/>
              </w:tabs>
              <w:ind w:right="-4"/>
              <w:rPr>
                <w:iCs/>
              </w:rPr>
            </w:pPr>
          </w:p>
        </w:tc>
        <w:tc>
          <w:tcPr>
            <w:tcW w:w="5245" w:type="dxa"/>
          </w:tcPr>
          <w:p>
            <w:pPr>
              <w:rPr>
                <w:iCs/>
              </w:rPr>
            </w:pPr>
          </w:p>
          <w:p>
            <w:pPr>
              <w:rPr>
                <w:iCs/>
              </w:rPr>
            </w:pPr>
            <w:r>
              <w:rPr>
                <w:iCs/>
              </w:rPr>
              <w:t>_________________/_____/</w:t>
            </w:r>
          </w:p>
          <w:p>
            <w:pPr>
              <w:rPr>
                <w:iCs/>
              </w:rPr>
            </w:pPr>
            <w:r>
              <w:rPr>
                <w:i/>
              </w:rPr>
              <w:t>Подписано ЭЦП</w:t>
            </w:r>
          </w:p>
        </w:tc>
      </w:tr>
    </w:tbl>
    <w:p>
      <w:pPr>
        <w:rPr>
          <w:color w:val="FF0000"/>
        </w:rPr>
      </w:pPr>
    </w:p>
    <w:sectPr>
      <w:headerReference w:type="even" r:id="rId10"/>
      <w:headerReference w:type="default" r:id="rId11"/>
      <w:footerReference w:type="even" r:id="rId12"/>
      <w:footerReference w:type="default" r:id="rId13"/>
      <w:headerReference w:type="first" r:id="rId14"/>
      <w:pgSz w:w="11906" w:h="16838"/>
      <w:pgMar w:top="720" w:right="720" w:bottom="142" w:left="7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a4"/>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rPr>
      <w:t>9</w:t>
    </w:r>
    <w:r>
      <w:rPr>
        <w:rStyle w:val="a3"/>
      </w:rPr>
      <w:fldChar w:fldCharType="end"/>
    </w:r>
  </w:p>
  <w:p>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a4"/>
      <w:framePr w:wrap="auto" w:vAnchor="text" w:hAnchor="page" w:x="6202" w:y="-179"/>
      <w:rPr>
        <w:rStyle w:val="a3"/>
      </w:rPr>
    </w:pPr>
    <w:r>
      <w:rPr>
        <w:rStyle w:val="a3"/>
      </w:rPr>
      <w:fldChar w:fldCharType="begin"/>
    </w:r>
    <w:r>
      <w:rPr>
        <w:rStyle w:val="a3"/>
      </w:rPr>
      <w:instrText xml:space="preserve">PAGE  </w:instrText>
    </w:r>
    <w:r>
      <w:rPr>
        <w:rStyle w:val="a3"/>
      </w:rPr>
      <w:fldChar w:fldCharType="separate"/>
    </w:r>
    <w:r>
      <w:rPr>
        <w:rStyle w:val="a3"/>
      </w:rPr>
      <w:t>5</w:t>
    </w:r>
    <w:r>
      <w:rPr>
        <w:rStyle w:val="a3"/>
      </w:rPr>
      <w:fldChar w:fldCharType="end"/>
    </w:r>
  </w:p>
  <w:p>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a4"/>
    </w:pPr>
    <w:r>
      <w:rPr>
        <w:b/>
        <w:bCs/>
        <w:sz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201E5"/>
    <w:multiLevelType w:val="hybridMultilevel"/>
    <w:tmpl w:val="2762473E"/>
    <w:lvl w:ilvl="0" w:tplc="889A03F6">
      <w:start w:val="1"/>
      <w:numFmt w:val="decimal"/>
      <w:lvlText w:val="12.%1."/>
      <w:lvlJc w:val="left"/>
      <w:pPr>
        <w:ind w:left="1287" w:hanging="360"/>
      </w:pPr>
      <w:rPr>
        <w:rFonts w:eastAsia="Times New Roman" w:hint="default"/>
        <w:b w:val="0"/>
        <w:color w:val="auto"/>
        <w:sz w:val="24"/>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6231244"/>
    <w:multiLevelType w:val="hybridMultilevel"/>
    <w:tmpl w:val="009EEF52"/>
    <w:lvl w:ilvl="0" w:tplc="2C4E0EDC">
      <w:start w:val="1"/>
      <w:numFmt w:val="decimal"/>
      <w:lvlText w:val="13.%1."/>
      <w:lvlJc w:val="right"/>
      <w:pPr>
        <w:ind w:left="1070" w:hanging="360"/>
      </w:pPr>
      <w:rPr>
        <w:rFonts w:hint="default"/>
        <w:b w:val="0"/>
        <w:sz w:val="24"/>
        <w:szCs w:val="24"/>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nsid w:val="2A012BEF"/>
    <w:multiLevelType w:val="hybridMultilevel"/>
    <w:tmpl w:val="CF0A3E4E"/>
    <w:lvl w:ilvl="0" w:tplc="EA14AF86">
      <w:start w:val="1"/>
      <w:numFmt w:val="decimal"/>
      <w:lvlText w:val="11.%1."/>
      <w:lvlJc w:val="right"/>
      <w:pPr>
        <w:ind w:left="1428" w:hanging="360"/>
      </w:pPr>
      <w:rPr>
        <w:rFonts w:hint="default"/>
        <w:b w:val="0"/>
        <w:bCs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38920A95"/>
    <w:multiLevelType w:val="hybridMultilevel"/>
    <w:tmpl w:val="64360AF4"/>
    <w:lvl w:ilvl="0" w:tplc="C172EED4">
      <w:start w:val="1"/>
      <w:numFmt w:val="decimal"/>
      <w:lvlText w:val="10.%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396A5486"/>
    <w:multiLevelType w:val="hybridMultilevel"/>
    <w:tmpl w:val="0E3EB7A4"/>
    <w:lvl w:ilvl="0" w:tplc="07F23270">
      <w:start w:val="1"/>
      <w:numFmt w:val="decimal"/>
      <w:lvlText w:val="7.%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A4E1144"/>
    <w:multiLevelType w:val="hybridMultilevel"/>
    <w:tmpl w:val="B0E2783E"/>
    <w:lvl w:ilvl="0" w:tplc="55225432">
      <w:start w:val="1"/>
      <w:numFmt w:val="decimal"/>
      <w:lvlText w:val="9.%1."/>
      <w:lvlJc w:val="right"/>
      <w:pPr>
        <w:ind w:left="1070" w:hanging="360"/>
      </w:pPr>
      <w:rPr>
        <w:rFonts w:hint="default"/>
        <w:b w:val="0"/>
        <w:bCs w:val="0"/>
        <w:sz w:val="24"/>
        <w:szCs w:val="24"/>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6">
    <w:nsid w:val="41FC1131"/>
    <w:multiLevelType w:val="hybridMultilevel"/>
    <w:tmpl w:val="59BABF00"/>
    <w:lvl w:ilvl="0" w:tplc="10169276">
      <w:start w:val="1"/>
      <w:numFmt w:val="decimal"/>
      <w:lvlText w:val="8.%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4B87FED"/>
    <w:multiLevelType w:val="hybridMultilevel"/>
    <w:tmpl w:val="D69EF946"/>
    <w:lvl w:ilvl="0" w:tplc="6DDC3496">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4D685385"/>
    <w:multiLevelType w:val="hybridMultilevel"/>
    <w:tmpl w:val="B1268932"/>
    <w:lvl w:ilvl="0" w:tplc="165646F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3E4115E"/>
    <w:multiLevelType w:val="hybridMultilevel"/>
    <w:tmpl w:val="0FC678B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762425A4"/>
    <w:multiLevelType w:val="hybridMultilevel"/>
    <w:tmpl w:val="A6629906"/>
    <w:lvl w:ilvl="0" w:tplc="269CAECA">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3">
    <w:nsid w:val="779E459B"/>
    <w:multiLevelType w:val="hybridMultilevel"/>
    <w:tmpl w:val="39C0F01E"/>
    <w:lvl w:ilvl="0" w:tplc="AD8AFF8C">
      <w:start w:val="1"/>
      <w:numFmt w:val="decimal"/>
      <w:lvlText w:val="4.4.%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1"/>
  </w:num>
  <w:num w:numId="3">
    <w:abstractNumId w:val="5"/>
  </w:num>
  <w:num w:numId="4">
    <w:abstractNumId w:val="6"/>
  </w:num>
  <w:num w:numId="5">
    <w:abstractNumId w:val="2"/>
  </w:num>
  <w:num w:numId="6">
    <w:abstractNumId w:val="1"/>
  </w:num>
  <w:num w:numId="7">
    <w:abstractNumId w:val="0"/>
  </w:num>
  <w:num w:numId="8">
    <w:abstractNumId w:val="10"/>
  </w:num>
  <w:num w:numId="9">
    <w:abstractNumId w:val="12"/>
  </w:num>
  <w:num w:numId="10">
    <w:abstractNumId w:val="3"/>
  </w:num>
  <w:num w:numId="11">
    <w:abstractNumId w:val="4"/>
  </w:num>
  <w:num w:numId="12">
    <w:abstractNumId w:val="13"/>
  </w:num>
  <w:num w:numId="13">
    <w:abstractNumId w:val="7"/>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sz w:val="24"/>
      <w:szCs w:val="24"/>
    </w:rPr>
  </w:style>
  <w:style w:type="paragraph" w:styleId="3">
    <w:name w:val="heading 3"/>
    <w:basedOn w:val="a"/>
    <w:next w:val="a"/>
    <w:link w:val="30"/>
    <w:uiPriority w:val="9"/>
    <w:semiHidden/>
    <w:unhideWhenUsed/>
    <w:qFormat/>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Pr>
      <w:rFonts w:ascii="Cambria" w:eastAsia="Times New Roman" w:hAnsi="Cambria" w:cs="Times New Roman"/>
      <w:b/>
      <w:bCs/>
      <w:color w:val="4F81BD"/>
      <w:sz w:val="24"/>
      <w:szCs w:val="24"/>
      <w:lang w:eastAsia="ru-RU"/>
    </w:rPr>
  </w:style>
  <w:style w:type="character" w:styleId="a3">
    <w:name w:val="page number"/>
    <w:basedOn w:val="a0"/>
    <w:rPr>
      <w:rFonts w:ascii="Times New Roman" w:hAnsi="Times New Roman" w:cs="Times New Roman"/>
    </w:rPr>
  </w:style>
  <w:style w:type="paragraph" w:customStyle="1" w:styleId="ConsPlusNormal">
    <w:name w:val="ConsPlusNormal"/>
    <w:link w:val="ConsPlusNormal0"/>
    <w:uiPriority w:val="99"/>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rPr>
      <w:rFonts w:ascii="Arial" w:eastAsia="Times New Roman" w:hAnsi="Arial" w:cs="Times New Roman"/>
      <w:noProof/>
      <w:sz w:val="24"/>
      <w:szCs w:val="24"/>
      <w:lang w:eastAsia="ru-RU"/>
    </w:rPr>
  </w:style>
  <w:style w:type="paragraph" w:styleId="a6">
    <w:name w:val="footer"/>
    <w:basedOn w:val="a"/>
    <w:link w:val="a7"/>
    <w:uiPriority w:val="99"/>
    <w:pPr>
      <w:tabs>
        <w:tab w:val="center" w:pos="4153"/>
        <w:tab w:val="right" w:pos="8306"/>
      </w:tabs>
      <w:spacing w:after="60"/>
      <w:jc w:val="both"/>
    </w:pPr>
    <w:rPr>
      <w:noProof/>
    </w:rPr>
  </w:style>
  <w:style w:type="character" w:customStyle="1" w:styleId="a7">
    <w:name w:val="Нижний колонтитул Знак"/>
    <w:basedOn w:val="a0"/>
    <w:link w:val="a6"/>
    <w:uiPriority w:val="99"/>
    <w:rPr>
      <w:rFonts w:ascii="Times New Roman" w:eastAsia="Times New Roman" w:hAnsi="Times New Roman" w:cs="Times New Roman"/>
      <w:noProof/>
      <w:sz w:val="24"/>
      <w:szCs w:val="24"/>
      <w:lang w:eastAsia="ru-RU"/>
    </w:rPr>
  </w:style>
  <w:style w:type="paragraph" w:styleId="a8">
    <w:name w:val="Normal (Web)"/>
    <w:basedOn w:val="a"/>
    <w:uiPriority w:val="99"/>
    <w:pPr>
      <w:spacing w:before="100" w:beforeAutospacing="1" w:after="100" w:afterAutospacing="1"/>
    </w:pPr>
  </w:style>
  <w:style w:type="paragraph" w:styleId="a9">
    <w:name w:val="Body Text Indent"/>
    <w:basedOn w:val="a"/>
    <w:link w:val="1"/>
    <w:pPr>
      <w:spacing w:after="120" w:line="480" w:lineRule="auto"/>
    </w:pPr>
  </w:style>
  <w:style w:type="character" w:customStyle="1" w:styleId="aa">
    <w:name w:val="Основной текст с отступом Знак"/>
    <w:basedOn w:val="a0"/>
    <w:uiPriority w:val="99"/>
    <w:semiHidden/>
    <w:rPr>
      <w:rFonts w:ascii="Times New Roman" w:eastAsia="Times New Roman" w:hAnsi="Times New Roman" w:cs="Times New Roman"/>
      <w:sz w:val="24"/>
      <w:szCs w:val="24"/>
      <w:lang w:eastAsia="ru-RU"/>
    </w:rPr>
  </w:style>
  <w:style w:type="character" w:customStyle="1" w:styleId="1">
    <w:name w:val="Основной текст с отступом Знак1"/>
    <w:link w:val="a9"/>
    <w:rPr>
      <w:rFonts w:ascii="Times New Roman" w:eastAsia="Times New Roman" w:hAnsi="Times New Roman" w:cs="Times New Roman"/>
      <w:sz w:val="24"/>
      <w:szCs w:val="24"/>
      <w:lang w:eastAsia="ru-RU"/>
    </w:rPr>
  </w:style>
  <w:style w:type="paragraph" w:customStyle="1" w:styleId="10">
    <w:name w:val="Текст1"/>
    <w:basedOn w:val="a"/>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34"/>
    <w:qFormat/>
    <w:pPr>
      <w:ind w:left="720"/>
      <w:contextualSpacing/>
    </w:pPr>
    <w:rPr>
      <w:sz w:val="20"/>
      <w:szCs w:val="20"/>
    </w:rPr>
  </w:style>
  <w:style w:type="paragraph" w:styleId="ad">
    <w:name w:val="Body Text"/>
    <w:basedOn w:val="a"/>
    <w:link w:val="ae"/>
    <w:uiPriority w:val="99"/>
    <w:semiHidden/>
    <w:unhideWhenUsed/>
    <w:pPr>
      <w:spacing w:after="120"/>
    </w:pPr>
  </w:style>
  <w:style w:type="character" w:customStyle="1" w:styleId="ae">
    <w:name w:val="Основной текст Знак"/>
    <w:basedOn w:val="a0"/>
    <w:link w:val="ad"/>
    <w:uiPriority w:val="99"/>
    <w:semiHidden/>
    <w:rPr>
      <w:rFonts w:ascii="Times New Roman" w:eastAsia="Times New Roman" w:hAnsi="Times New Roman" w:cs="Times New Roman"/>
      <w:sz w:val="24"/>
      <w:szCs w:val="24"/>
      <w:lang w:eastAsia="ru-RU"/>
    </w:rPr>
  </w:style>
  <w:style w:type="paragraph" w:customStyle="1" w:styleId="ConsNormal">
    <w:name w:val="ConsNormal"/>
    <w:link w:val="ConsNormal0"/>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Pr>
      <w:rFonts w:ascii="Consultant" w:eastAsia="Arial" w:hAnsi="Consultant"/>
      <w:sz w:val="22"/>
      <w:szCs w:val="22"/>
      <w:lang w:eastAsia="ar-SA" w:bidi="ar-SA"/>
    </w:rPr>
  </w:style>
  <w:style w:type="paragraph" w:customStyle="1" w:styleId="11">
    <w:name w:val="заголовок 11"/>
    <w:basedOn w:val="a"/>
    <w:next w:val="a"/>
    <w:uiPriority w:val="99"/>
    <w:pPr>
      <w:keepNext/>
      <w:snapToGrid w:val="0"/>
      <w:jc w:val="center"/>
    </w:pPr>
    <w:rPr>
      <w:rFonts w:eastAsia="Calibri"/>
    </w:rPr>
  </w:style>
  <w:style w:type="paragraph" w:customStyle="1" w:styleId="Heading">
    <w:name w:val="Heading"/>
    <w:pPr>
      <w:autoSpaceDE w:val="0"/>
      <w:autoSpaceDN w:val="0"/>
      <w:adjustRightInd w:val="0"/>
    </w:pPr>
    <w:rPr>
      <w:rFonts w:ascii="Arial" w:eastAsia="Times New Roman" w:hAnsi="Arial" w:cs="Arial"/>
      <w:b/>
      <w:bCs/>
      <w:sz w:val="22"/>
      <w:szCs w:val="22"/>
    </w:rPr>
  </w:style>
  <w:style w:type="paragraph" w:customStyle="1" w:styleId="ConsNonformat">
    <w:name w:val="ConsNonformat"/>
    <w:pPr>
      <w:widowControl w:val="0"/>
    </w:pPr>
    <w:rPr>
      <w:rFonts w:ascii="Courier New" w:eastAsia="Times New Roman" w:hAnsi="Courier New"/>
      <w:snapToGrid w:val="0"/>
    </w:rPr>
  </w:style>
  <w:style w:type="character" w:customStyle="1" w:styleId="ConsPlusNormal0">
    <w:name w:val="ConsPlusNormal Знак"/>
    <w:link w:val="ConsPlusNormal"/>
    <w:uiPriority w:val="99"/>
    <w:rPr>
      <w:rFonts w:ascii="Arial" w:eastAsia="Times New Roman" w:hAnsi="Arial" w:cs="Arial"/>
      <w:sz w:val="22"/>
      <w:szCs w:val="22"/>
      <w:lang w:eastAsia="ru-RU" w:bidi="ar-SA"/>
    </w:rPr>
  </w:style>
  <w:style w:type="paragraph" w:customStyle="1" w:styleId="ListParagraph1">
    <w:name w:val="List Paragraph1"/>
    <w:basedOn w:val="a"/>
    <w:uiPriority w:val="99"/>
    <w:pPr>
      <w:spacing w:after="200" w:line="276" w:lineRule="auto"/>
      <w:ind w:left="720"/>
    </w:pPr>
    <w:rPr>
      <w:rFonts w:ascii="Calibri" w:hAnsi="Calibri"/>
      <w:sz w:val="22"/>
      <w:szCs w:val="22"/>
      <w:lang w:eastAsia="en-US"/>
    </w:rPr>
  </w:style>
  <w:style w:type="paragraph" w:customStyle="1" w:styleId="12">
    <w:name w:val="Абзац списка1"/>
    <w:basedOn w:val="a"/>
    <w:pPr>
      <w:spacing w:after="200" w:line="276" w:lineRule="auto"/>
      <w:ind w:left="720"/>
    </w:pPr>
    <w:rPr>
      <w:rFonts w:ascii="Calibri" w:hAnsi="Calibri"/>
      <w:sz w:val="22"/>
      <w:szCs w:val="22"/>
      <w:lang w:eastAsia="en-US"/>
    </w:rPr>
  </w:style>
  <w:style w:type="paragraph" w:customStyle="1" w:styleId="TextNormal">
    <w:name w:val="Text Normal"/>
    <w:basedOn w:val="a"/>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pPr>
      <w:suppressAutoHyphens/>
      <w:spacing w:before="104" w:after="104"/>
      <w:ind w:left="104" w:right="104"/>
    </w:pPr>
    <w:rPr>
      <w:lang w:eastAsia="ar-SA"/>
    </w:rPr>
  </w:style>
  <w:style w:type="paragraph" w:customStyle="1" w:styleId="31">
    <w:name w:val="Абзац списка3"/>
    <w:basedOn w:val="a"/>
    <w:uiPriority w:val="99"/>
    <w:pPr>
      <w:suppressAutoHyphens/>
      <w:ind w:left="720"/>
    </w:pPr>
    <w:rPr>
      <w:rFonts w:eastAsia="Calibri"/>
      <w:lang w:eastAsia="ar-SA"/>
    </w:rPr>
  </w:style>
  <w:style w:type="paragraph" w:styleId="af">
    <w:name w:val="Plain Text"/>
    <w:basedOn w:val="a"/>
    <w:link w:val="af0"/>
    <w:rPr>
      <w:rFonts w:ascii="Courier New" w:hAnsi="Courier New"/>
      <w:sz w:val="20"/>
      <w:szCs w:val="20"/>
    </w:rPr>
  </w:style>
  <w:style w:type="character" w:customStyle="1" w:styleId="af0">
    <w:name w:val="Текст Знак"/>
    <w:basedOn w:val="a0"/>
    <w:link w:val="af"/>
    <w:rPr>
      <w:rFonts w:ascii="Courier New" w:eastAsia="Times New Roman" w:hAnsi="Courier New" w:cs="Times New Roman"/>
      <w:sz w:val="20"/>
      <w:szCs w:val="20"/>
      <w:lang w:eastAsia="ru-RU"/>
    </w:rPr>
  </w:style>
  <w:style w:type="paragraph" w:customStyle="1" w:styleId="ConsPlusTitle">
    <w:name w:val="ConsPlusTitle"/>
    <w:uiPriority w:val="99"/>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Pr>
      <w:color w:val="0000FF" w:themeColor="hyperlink"/>
      <w:u w:val="single"/>
    </w:rPr>
  </w:style>
  <w:style w:type="paragraph" w:styleId="af2">
    <w:name w:val="Balloon Text"/>
    <w:basedOn w:val="a"/>
    <w:link w:val="af3"/>
    <w:uiPriority w:val="99"/>
    <w:semiHidden/>
    <w:unhideWhenUsed/>
    <w:rPr>
      <w:rFonts w:ascii="Segoe UI" w:hAnsi="Segoe UI" w:cs="Segoe UI"/>
      <w:sz w:val="18"/>
      <w:szCs w:val="18"/>
    </w:rPr>
  </w:style>
  <w:style w:type="character" w:customStyle="1" w:styleId="af3">
    <w:name w:val="Текст выноски Знак"/>
    <w:basedOn w:val="a0"/>
    <w:link w:val="af2"/>
    <w:uiPriority w:val="99"/>
    <w:semiHidden/>
    <w:rPr>
      <w:rFonts w:ascii="Segoe UI" w:eastAsia="Times New Roman" w:hAnsi="Segoe UI" w:cs="Segoe UI"/>
      <w:sz w:val="18"/>
      <w:szCs w:val="18"/>
    </w:rPr>
  </w:style>
  <w:style w:type="character" w:customStyle="1" w:styleId="ac">
    <w:name w:val="Абзац списка Знак"/>
    <w:link w:val="ab"/>
    <w:uiPriority w:val="34"/>
    <w:locked/>
    <w:rPr>
      <w:rFonts w:ascii="Times New Roman" w:eastAsia="Times New Roman" w:hAnsi="Times New Roman"/>
    </w:rPr>
  </w:style>
  <w:style w:type="paragraph" w:styleId="af4">
    <w:name w:val="footnote text"/>
    <w:basedOn w:val="a"/>
    <w:link w:val="af5"/>
    <w:uiPriority w:val="99"/>
    <w:unhideWhenUsed/>
    <w:rPr>
      <w:sz w:val="20"/>
      <w:szCs w:val="20"/>
    </w:rPr>
  </w:style>
  <w:style w:type="character" w:customStyle="1" w:styleId="af5">
    <w:name w:val="Текст сноски Знак"/>
    <w:basedOn w:val="a0"/>
    <w:link w:val="af4"/>
    <w:uiPriority w:val="99"/>
    <w:rPr>
      <w:rFonts w:ascii="Times New Roman" w:eastAsia="Times New Roman" w:hAnsi="Times New Roman"/>
    </w:rPr>
  </w:style>
  <w:style w:type="character" w:styleId="af6">
    <w:name w:val="footnote reference"/>
    <w:basedOn w:val="a0"/>
    <w:uiPriority w:val="99"/>
    <w:semiHidden/>
    <w:unhideWhenUsed/>
    <w:rPr>
      <w:vertAlign w:val="superscript"/>
    </w:rPr>
  </w:style>
  <w:style w:type="character" w:customStyle="1" w:styleId="markedcontent">
    <w:name w:val="markedcontent"/>
    <w:basedOn w:val="a0"/>
  </w:style>
  <w:style w:type="table" w:styleId="af7">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pytarget">
    <w:name w:val="copy_target"/>
    <w:basedOn w:val="a0"/>
  </w:style>
  <w:style w:type="character" w:customStyle="1" w:styleId="has-copy">
    <w:name w:val="has-copy"/>
    <w:basedOn w:val="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201116">
      <w:bodyDiv w:val="1"/>
      <w:marLeft w:val="0"/>
      <w:marRight w:val="0"/>
      <w:marTop w:val="0"/>
      <w:marBottom w:val="0"/>
      <w:divBdr>
        <w:top w:val="none" w:sz="0" w:space="0" w:color="auto"/>
        <w:left w:val="none" w:sz="0" w:space="0" w:color="auto"/>
        <w:bottom w:val="none" w:sz="0" w:space="0" w:color="auto"/>
        <w:right w:val="none" w:sz="0" w:space="0" w:color="auto"/>
      </w:divBdr>
    </w:div>
    <w:div w:id="186214718">
      <w:bodyDiv w:val="1"/>
      <w:marLeft w:val="0"/>
      <w:marRight w:val="0"/>
      <w:marTop w:val="0"/>
      <w:marBottom w:val="0"/>
      <w:divBdr>
        <w:top w:val="none" w:sz="0" w:space="0" w:color="auto"/>
        <w:left w:val="none" w:sz="0" w:space="0" w:color="auto"/>
        <w:bottom w:val="none" w:sz="0" w:space="0" w:color="auto"/>
        <w:right w:val="none" w:sz="0" w:space="0" w:color="auto"/>
      </w:divBdr>
    </w:div>
    <w:div w:id="259947379">
      <w:bodyDiv w:val="1"/>
      <w:marLeft w:val="0"/>
      <w:marRight w:val="0"/>
      <w:marTop w:val="0"/>
      <w:marBottom w:val="0"/>
      <w:divBdr>
        <w:top w:val="none" w:sz="0" w:space="0" w:color="auto"/>
        <w:left w:val="none" w:sz="0" w:space="0" w:color="auto"/>
        <w:bottom w:val="none" w:sz="0" w:space="0" w:color="auto"/>
        <w:right w:val="none" w:sz="0" w:space="0" w:color="auto"/>
      </w:divBdr>
    </w:div>
    <w:div w:id="377433583">
      <w:bodyDiv w:val="1"/>
      <w:marLeft w:val="0"/>
      <w:marRight w:val="0"/>
      <w:marTop w:val="0"/>
      <w:marBottom w:val="0"/>
      <w:divBdr>
        <w:top w:val="none" w:sz="0" w:space="0" w:color="auto"/>
        <w:left w:val="none" w:sz="0" w:space="0" w:color="auto"/>
        <w:bottom w:val="none" w:sz="0" w:space="0" w:color="auto"/>
        <w:right w:val="none" w:sz="0" w:space="0" w:color="auto"/>
      </w:divBdr>
    </w:div>
    <w:div w:id="691801425">
      <w:bodyDiv w:val="1"/>
      <w:marLeft w:val="0"/>
      <w:marRight w:val="0"/>
      <w:marTop w:val="0"/>
      <w:marBottom w:val="0"/>
      <w:divBdr>
        <w:top w:val="none" w:sz="0" w:space="0" w:color="auto"/>
        <w:left w:val="none" w:sz="0" w:space="0" w:color="auto"/>
        <w:bottom w:val="none" w:sz="0" w:space="0" w:color="auto"/>
        <w:right w:val="none" w:sz="0" w:space="0" w:color="auto"/>
      </w:divBdr>
    </w:div>
    <w:div w:id="897057072">
      <w:bodyDiv w:val="1"/>
      <w:marLeft w:val="0"/>
      <w:marRight w:val="0"/>
      <w:marTop w:val="0"/>
      <w:marBottom w:val="0"/>
      <w:divBdr>
        <w:top w:val="none" w:sz="0" w:space="0" w:color="auto"/>
        <w:left w:val="none" w:sz="0" w:space="0" w:color="auto"/>
        <w:bottom w:val="none" w:sz="0" w:space="0" w:color="auto"/>
        <w:right w:val="none" w:sz="0" w:space="0" w:color="auto"/>
      </w:divBdr>
    </w:div>
    <w:div w:id="914437017">
      <w:bodyDiv w:val="1"/>
      <w:marLeft w:val="0"/>
      <w:marRight w:val="0"/>
      <w:marTop w:val="0"/>
      <w:marBottom w:val="0"/>
      <w:divBdr>
        <w:top w:val="none" w:sz="0" w:space="0" w:color="auto"/>
        <w:left w:val="none" w:sz="0" w:space="0" w:color="auto"/>
        <w:bottom w:val="none" w:sz="0" w:space="0" w:color="auto"/>
        <w:right w:val="none" w:sz="0" w:space="0" w:color="auto"/>
      </w:divBdr>
    </w:div>
    <w:div w:id="922644099">
      <w:bodyDiv w:val="1"/>
      <w:marLeft w:val="0"/>
      <w:marRight w:val="0"/>
      <w:marTop w:val="0"/>
      <w:marBottom w:val="0"/>
      <w:divBdr>
        <w:top w:val="none" w:sz="0" w:space="0" w:color="auto"/>
        <w:left w:val="none" w:sz="0" w:space="0" w:color="auto"/>
        <w:bottom w:val="none" w:sz="0" w:space="0" w:color="auto"/>
        <w:right w:val="none" w:sz="0" w:space="0" w:color="auto"/>
      </w:divBdr>
    </w:div>
    <w:div w:id="980187241">
      <w:bodyDiv w:val="1"/>
      <w:marLeft w:val="0"/>
      <w:marRight w:val="0"/>
      <w:marTop w:val="0"/>
      <w:marBottom w:val="0"/>
      <w:divBdr>
        <w:top w:val="none" w:sz="0" w:space="0" w:color="auto"/>
        <w:left w:val="none" w:sz="0" w:space="0" w:color="auto"/>
        <w:bottom w:val="none" w:sz="0" w:space="0" w:color="auto"/>
        <w:right w:val="none" w:sz="0" w:space="0" w:color="auto"/>
      </w:divBdr>
    </w:div>
    <w:div w:id="1050499650">
      <w:bodyDiv w:val="1"/>
      <w:marLeft w:val="0"/>
      <w:marRight w:val="0"/>
      <w:marTop w:val="0"/>
      <w:marBottom w:val="0"/>
      <w:divBdr>
        <w:top w:val="none" w:sz="0" w:space="0" w:color="auto"/>
        <w:left w:val="none" w:sz="0" w:space="0" w:color="auto"/>
        <w:bottom w:val="none" w:sz="0" w:space="0" w:color="auto"/>
        <w:right w:val="none" w:sz="0" w:space="0" w:color="auto"/>
      </w:divBdr>
    </w:div>
    <w:div w:id="1140417051">
      <w:bodyDiv w:val="1"/>
      <w:marLeft w:val="0"/>
      <w:marRight w:val="0"/>
      <w:marTop w:val="0"/>
      <w:marBottom w:val="0"/>
      <w:divBdr>
        <w:top w:val="none" w:sz="0" w:space="0" w:color="auto"/>
        <w:left w:val="none" w:sz="0" w:space="0" w:color="auto"/>
        <w:bottom w:val="none" w:sz="0" w:space="0" w:color="auto"/>
        <w:right w:val="none" w:sz="0" w:space="0" w:color="auto"/>
      </w:divBdr>
    </w:div>
    <w:div w:id="1183396426">
      <w:bodyDiv w:val="1"/>
      <w:marLeft w:val="0"/>
      <w:marRight w:val="0"/>
      <w:marTop w:val="0"/>
      <w:marBottom w:val="0"/>
      <w:divBdr>
        <w:top w:val="none" w:sz="0" w:space="0" w:color="auto"/>
        <w:left w:val="none" w:sz="0" w:space="0" w:color="auto"/>
        <w:bottom w:val="none" w:sz="0" w:space="0" w:color="auto"/>
        <w:right w:val="none" w:sz="0" w:space="0" w:color="auto"/>
      </w:divBdr>
    </w:div>
    <w:div w:id="1255045126">
      <w:bodyDiv w:val="1"/>
      <w:marLeft w:val="0"/>
      <w:marRight w:val="0"/>
      <w:marTop w:val="0"/>
      <w:marBottom w:val="0"/>
      <w:divBdr>
        <w:top w:val="none" w:sz="0" w:space="0" w:color="auto"/>
        <w:left w:val="none" w:sz="0" w:space="0" w:color="auto"/>
        <w:bottom w:val="none" w:sz="0" w:space="0" w:color="auto"/>
        <w:right w:val="none" w:sz="0" w:space="0" w:color="auto"/>
      </w:divBdr>
    </w:div>
    <w:div w:id="1377513106">
      <w:bodyDiv w:val="1"/>
      <w:marLeft w:val="0"/>
      <w:marRight w:val="0"/>
      <w:marTop w:val="0"/>
      <w:marBottom w:val="0"/>
      <w:divBdr>
        <w:top w:val="none" w:sz="0" w:space="0" w:color="auto"/>
        <w:left w:val="none" w:sz="0" w:space="0" w:color="auto"/>
        <w:bottom w:val="none" w:sz="0" w:space="0" w:color="auto"/>
        <w:right w:val="none" w:sz="0" w:space="0" w:color="auto"/>
      </w:divBdr>
    </w:div>
    <w:div w:id="1571035693">
      <w:bodyDiv w:val="1"/>
      <w:marLeft w:val="0"/>
      <w:marRight w:val="0"/>
      <w:marTop w:val="0"/>
      <w:marBottom w:val="0"/>
      <w:divBdr>
        <w:top w:val="none" w:sz="0" w:space="0" w:color="auto"/>
        <w:left w:val="none" w:sz="0" w:space="0" w:color="auto"/>
        <w:bottom w:val="none" w:sz="0" w:space="0" w:color="auto"/>
        <w:right w:val="none" w:sz="0" w:space="0" w:color="auto"/>
      </w:divBdr>
    </w:div>
    <w:div w:id="1603686158">
      <w:bodyDiv w:val="1"/>
      <w:marLeft w:val="0"/>
      <w:marRight w:val="0"/>
      <w:marTop w:val="0"/>
      <w:marBottom w:val="0"/>
      <w:divBdr>
        <w:top w:val="none" w:sz="0" w:space="0" w:color="auto"/>
        <w:left w:val="none" w:sz="0" w:space="0" w:color="auto"/>
        <w:bottom w:val="none" w:sz="0" w:space="0" w:color="auto"/>
        <w:right w:val="none" w:sz="0" w:space="0" w:color="auto"/>
      </w:divBdr>
    </w:div>
    <w:div w:id="1651665353">
      <w:bodyDiv w:val="1"/>
      <w:marLeft w:val="0"/>
      <w:marRight w:val="0"/>
      <w:marTop w:val="0"/>
      <w:marBottom w:val="0"/>
      <w:divBdr>
        <w:top w:val="none" w:sz="0" w:space="0" w:color="auto"/>
        <w:left w:val="none" w:sz="0" w:space="0" w:color="auto"/>
        <w:bottom w:val="none" w:sz="0" w:space="0" w:color="auto"/>
        <w:right w:val="none" w:sz="0" w:space="0" w:color="auto"/>
      </w:divBdr>
    </w:div>
    <w:div w:id="1809737860">
      <w:bodyDiv w:val="1"/>
      <w:marLeft w:val="0"/>
      <w:marRight w:val="0"/>
      <w:marTop w:val="0"/>
      <w:marBottom w:val="0"/>
      <w:divBdr>
        <w:top w:val="none" w:sz="0" w:space="0" w:color="auto"/>
        <w:left w:val="none" w:sz="0" w:space="0" w:color="auto"/>
        <w:bottom w:val="none" w:sz="0" w:space="0" w:color="auto"/>
        <w:right w:val="none" w:sz="0" w:space="0" w:color="auto"/>
      </w:divBdr>
    </w:div>
    <w:div w:id="1921017199">
      <w:bodyDiv w:val="1"/>
      <w:marLeft w:val="0"/>
      <w:marRight w:val="0"/>
      <w:marTop w:val="0"/>
      <w:marBottom w:val="0"/>
      <w:divBdr>
        <w:top w:val="none" w:sz="0" w:space="0" w:color="auto"/>
        <w:left w:val="none" w:sz="0" w:space="0" w:color="auto"/>
        <w:bottom w:val="none" w:sz="0" w:space="0" w:color="auto"/>
        <w:right w:val="none" w:sz="0" w:space="0" w:color="auto"/>
      </w:divBdr>
    </w:div>
    <w:div w:id="1968656982">
      <w:bodyDiv w:val="1"/>
      <w:marLeft w:val="0"/>
      <w:marRight w:val="0"/>
      <w:marTop w:val="0"/>
      <w:marBottom w:val="0"/>
      <w:divBdr>
        <w:top w:val="none" w:sz="0" w:space="0" w:color="auto"/>
        <w:left w:val="none" w:sz="0" w:space="0" w:color="auto"/>
        <w:bottom w:val="none" w:sz="0" w:space="0" w:color="auto"/>
        <w:right w:val="none" w:sz="0" w:space="0" w:color="auto"/>
      </w:divBdr>
    </w:div>
    <w:div w:id="1988705260">
      <w:bodyDiv w:val="1"/>
      <w:marLeft w:val="0"/>
      <w:marRight w:val="0"/>
      <w:marTop w:val="0"/>
      <w:marBottom w:val="0"/>
      <w:divBdr>
        <w:top w:val="none" w:sz="0" w:space="0" w:color="auto"/>
        <w:left w:val="none" w:sz="0" w:space="0" w:color="auto"/>
        <w:bottom w:val="none" w:sz="0" w:space="0" w:color="auto"/>
        <w:right w:val="none" w:sz="0" w:space="0" w:color="auto"/>
      </w:divBdr>
    </w:div>
    <w:div w:id="2066101065">
      <w:bodyDiv w:val="1"/>
      <w:marLeft w:val="0"/>
      <w:marRight w:val="0"/>
      <w:marTop w:val="0"/>
      <w:marBottom w:val="0"/>
      <w:divBdr>
        <w:top w:val="none" w:sz="0" w:space="0" w:color="auto"/>
        <w:left w:val="none" w:sz="0" w:space="0" w:color="auto"/>
        <w:bottom w:val="none" w:sz="0" w:space="0" w:color="auto"/>
        <w:right w:val="none" w:sz="0" w:space="0" w:color="auto"/>
      </w:divBdr>
    </w:div>
    <w:div w:id="209705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main?base=MLAW;n=129338;fld=134;dst=100180"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B553CC-9B33-412A-B24D-8659D1B59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334</TotalTime>
  <Pages>8</Pages>
  <Words>3458</Words>
  <Characters>19714</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23126</CharactersWithSpaces>
  <SharedDoc>false</SharedDoc>
  <HLinks>
    <vt:vector size="24" baseType="variant">
      <vt:variant>
        <vt:i4>196695</vt:i4>
      </vt:variant>
      <vt:variant>
        <vt:i4>9</vt:i4>
      </vt:variant>
      <vt:variant>
        <vt:i4>0</vt:i4>
      </vt:variant>
      <vt:variant>
        <vt:i4>5</vt:i4>
      </vt:variant>
      <vt:variant>
        <vt:lpwstr>consultantplus://offline/main?base=LAW;n=116659;fld=134;dst=1027</vt:lpwstr>
      </vt:variant>
      <vt:variant>
        <vt:lpwstr/>
      </vt:variant>
      <vt:variant>
        <vt:i4>7471225</vt:i4>
      </vt:variant>
      <vt:variant>
        <vt:i4>6</vt:i4>
      </vt:variant>
      <vt:variant>
        <vt:i4>0</vt:i4>
      </vt:variant>
      <vt:variant>
        <vt:i4>5</vt:i4>
      </vt:variant>
      <vt:variant>
        <vt:lpwstr>consultantplus://offline/main?base=MLAW;n=129338;fld=134;dst=100180</vt:lpwstr>
      </vt:variant>
      <vt:variant>
        <vt:lpwstr/>
      </vt:variant>
      <vt:variant>
        <vt:i4>7405680</vt:i4>
      </vt:variant>
      <vt:variant>
        <vt:i4>3</vt:i4>
      </vt:variant>
      <vt:variant>
        <vt:i4>0</vt:i4>
      </vt:variant>
      <vt:variant>
        <vt:i4>5</vt:i4>
      </vt:variant>
      <vt:variant>
        <vt:lpwstr>consultantplus://offline/main?base=LAW;n=116659;fld=134</vt:lpwstr>
      </vt:variant>
      <vt:variant>
        <vt:lpwstr/>
      </vt:variant>
      <vt:variant>
        <vt:i4>7798904</vt:i4>
      </vt:variant>
      <vt:variant>
        <vt:i4>0</vt:i4>
      </vt:variant>
      <vt:variant>
        <vt:i4>0</vt:i4>
      </vt:variant>
      <vt:variant>
        <vt:i4>5</vt:i4>
      </vt:variant>
      <vt:variant>
        <vt:lpwstr>consultantplus://offline/main?base=LAW;n=112770;fld=134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dc:creator>
  <cp:lastModifiedBy>Герасенкова </cp:lastModifiedBy>
  <cp:revision>4</cp:revision>
  <cp:lastPrinted>2021-09-10T06:54:00Z</cp:lastPrinted>
  <dcterms:created xsi:type="dcterms:W3CDTF">2026-08-27T04:54:00Z</dcterms:created>
  <dcterms:modified xsi:type="dcterms:W3CDTF">2026-09-01T00:41:00Z</dcterms:modified>
</cp:coreProperties>
</file>