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9EE6" w14:textId="77777777" w:rsidR="00217BB9" w:rsidRDefault="00000000">
      <w:pPr>
        <w:spacing w:after="0"/>
        <w:jc w:val="center"/>
        <w:rPr>
          <w:rFonts w:ascii="XO Thames" w:hAnsi="XO Thames" w:cs="Times New Roman"/>
          <w:b/>
        </w:rPr>
      </w:pPr>
      <w:r>
        <w:rPr>
          <w:rFonts w:ascii="XO Thames" w:hAnsi="XO Thames" w:cs="Times New Roman"/>
          <w:b/>
        </w:rPr>
        <w:t>Описание объекта закупки</w:t>
      </w:r>
    </w:p>
    <w:p w14:paraId="25F2B380" w14:textId="113F5B62" w:rsidR="00217BB9" w:rsidRDefault="00000000">
      <w:pPr>
        <w:spacing w:after="0"/>
        <w:jc w:val="center"/>
        <w:rPr>
          <w:rFonts w:ascii="XO Thames" w:hAnsi="XO Thames" w:cs="Times New Roman"/>
          <w:b/>
        </w:rPr>
      </w:pPr>
      <w:r>
        <w:rPr>
          <w:rFonts w:ascii="XO Thames" w:hAnsi="XO Thames" w:cs="Times New Roman"/>
          <w:b/>
        </w:rPr>
        <w:t xml:space="preserve">На поставку фотокамеры цифровой и фотографического оборудования </w:t>
      </w:r>
      <w:r>
        <w:rPr>
          <w:rFonts w:ascii="XO Thames" w:hAnsi="XO Thames" w:cs="Times New Roman"/>
          <w:b/>
        </w:rPr>
        <w:br/>
        <w:t>ФКУ ИК-</w:t>
      </w:r>
      <w:r w:rsidR="002B0E89">
        <w:rPr>
          <w:rFonts w:ascii="XO Thames" w:hAnsi="XO Thames" w:cs="Times New Roman"/>
          <w:b/>
        </w:rPr>
        <w:t>12</w:t>
      </w:r>
      <w:r>
        <w:rPr>
          <w:rFonts w:ascii="XO Thames" w:hAnsi="XO Thames" w:cs="Times New Roman"/>
          <w:b/>
        </w:rPr>
        <w:t xml:space="preserve"> УФСИН России по Удмуртской Республике</w:t>
      </w:r>
    </w:p>
    <w:p w14:paraId="6ADCF616" w14:textId="77777777" w:rsidR="00217BB9" w:rsidRDefault="00000000">
      <w:pPr>
        <w:pStyle w:val="1"/>
        <w:numPr>
          <w:ilvl w:val="0"/>
          <w:numId w:val="1"/>
        </w:numPr>
        <w:spacing w:before="0" w:after="0" w:line="240" w:lineRule="auto"/>
        <w:jc w:val="both"/>
        <w:rPr>
          <w:rFonts w:ascii="XO Thames" w:hAnsi="XO Thames"/>
          <w:i/>
          <w:sz w:val="22"/>
          <w:szCs w:val="22"/>
        </w:rPr>
      </w:pPr>
      <w:bookmarkStart w:id="0" w:name="_Toc441740188"/>
      <w:r>
        <w:rPr>
          <w:rFonts w:ascii="XO Thames" w:hAnsi="XO Thames"/>
          <w:i/>
          <w:sz w:val="22"/>
          <w:szCs w:val="22"/>
        </w:rPr>
        <w:t>Наименование и описание поставляемого товара:</w:t>
      </w:r>
      <w:bookmarkEnd w:id="0"/>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552"/>
        <w:gridCol w:w="2268"/>
        <w:gridCol w:w="1559"/>
        <w:gridCol w:w="567"/>
      </w:tblGrid>
      <w:tr w:rsidR="00217BB9" w14:paraId="5C174948" w14:textId="77777777">
        <w:trPr>
          <w:trHeight w:val="249"/>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39D999DC"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BF06E1A"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Наименование объекта закупки</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01BCCBD8"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Характеристики объекта закупки (показатели), позволяющие определить соответствие закупаемого товара, работы, услуги установленным заказчиком требованиям</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2E4BC44"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Кол-во</w:t>
            </w:r>
          </w:p>
        </w:tc>
      </w:tr>
      <w:tr w:rsidR="00217BB9" w14:paraId="7078A089" w14:textId="77777777">
        <w:trPr>
          <w:trHeight w:val="249"/>
        </w:trPr>
        <w:tc>
          <w:tcPr>
            <w:tcW w:w="568" w:type="dxa"/>
            <w:vMerge/>
            <w:tcBorders>
              <w:top w:val="single" w:sz="4" w:space="0" w:color="auto"/>
              <w:left w:val="single" w:sz="4" w:space="0" w:color="auto"/>
              <w:bottom w:val="single" w:sz="4" w:space="0" w:color="auto"/>
              <w:right w:val="single" w:sz="4" w:space="0" w:color="auto"/>
            </w:tcBorders>
            <w:vAlign w:val="center"/>
          </w:tcPr>
          <w:p w14:paraId="04633211"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C8460A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2D7D0CDC"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Наименование показателя</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1632944"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Вид и значение показателя</w:t>
            </w:r>
          </w:p>
        </w:tc>
        <w:tc>
          <w:tcPr>
            <w:tcW w:w="567" w:type="dxa"/>
            <w:vMerge/>
            <w:tcBorders>
              <w:top w:val="single" w:sz="4" w:space="0" w:color="auto"/>
              <w:left w:val="single" w:sz="4" w:space="0" w:color="auto"/>
              <w:bottom w:val="single" w:sz="4" w:space="0" w:color="auto"/>
              <w:right w:val="single" w:sz="4" w:space="0" w:color="auto"/>
            </w:tcBorders>
            <w:vAlign w:val="center"/>
          </w:tcPr>
          <w:p w14:paraId="4432EB4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23804C9A" w14:textId="77777777">
        <w:trPr>
          <w:trHeight w:val="249"/>
        </w:trPr>
        <w:tc>
          <w:tcPr>
            <w:tcW w:w="568" w:type="dxa"/>
            <w:vMerge/>
            <w:tcBorders>
              <w:top w:val="single" w:sz="4" w:space="0" w:color="auto"/>
              <w:left w:val="single" w:sz="4" w:space="0" w:color="auto"/>
              <w:bottom w:val="single" w:sz="4" w:space="0" w:color="auto"/>
              <w:right w:val="single" w:sz="4" w:space="0" w:color="auto"/>
            </w:tcBorders>
            <w:vAlign w:val="center"/>
          </w:tcPr>
          <w:p w14:paraId="5EB3AC3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DE3A5C2"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115AD826"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6522E705"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значения показателей,</w:t>
            </w:r>
          </w:p>
          <w:p w14:paraId="07059405"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которые не могут изменяться</w:t>
            </w:r>
          </w:p>
        </w:tc>
        <w:tc>
          <w:tcPr>
            <w:tcW w:w="1559" w:type="dxa"/>
            <w:tcBorders>
              <w:top w:val="single" w:sz="4" w:space="0" w:color="auto"/>
              <w:left w:val="single" w:sz="4" w:space="0" w:color="auto"/>
              <w:bottom w:val="single" w:sz="4" w:space="0" w:color="auto"/>
              <w:right w:val="single" w:sz="4" w:space="0" w:color="auto"/>
            </w:tcBorders>
            <w:vAlign w:val="center"/>
          </w:tcPr>
          <w:p w14:paraId="7C0C383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максимальные и (или) минимальные значения показателей</w:t>
            </w:r>
          </w:p>
        </w:tc>
        <w:tc>
          <w:tcPr>
            <w:tcW w:w="567" w:type="dxa"/>
            <w:vMerge/>
            <w:tcBorders>
              <w:top w:val="single" w:sz="4" w:space="0" w:color="auto"/>
              <w:left w:val="single" w:sz="4" w:space="0" w:color="auto"/>
              <w:bottom w:val="single" w:sz="4" w:space="0" w:color="auto"/>
              <w:right w:val="single" w:sz="4" w:space="0" w:color="auto"/>
            </w:tcBorders>
            <w:vAlign w:val="center"/>
          </w:tcPr>
          <w:p w14:paraId="7BD4885D"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4BE48C01" w14:textId="77777777">
        <w:trPr>
          <w:trHeight w:val="249"/>
        </w:trPr>
        <w:tc>
          <w:tcPr>
            <w:tcW w:w="568" w:type="dxa"/>
            <w:tcBorders>
              <w:top w:val="single" w:sz="4" w:space="0" w:color="auto"/>
              <w:left w:val="single" w:sz="4" w:space="0" w:color="auto"/>
              <w:bottom w:val="single" w:sz="4" w:space="0" w:color="auto"/>
              <w:right w:val="single" w:sz="4" w:space="0" w:color="auto"/>
            </w:tcBorders>
            <w:vAlign w:val="center"/>
          </w:tcPr>
          <w:p w14:paraId="0C076A51"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13866C03"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w:t>
            </w:r>
          </w:p>
        </w:tc>
        <w:tc>
          <w:tcPr>
            <w:tcW w:w="2552" w:type="dxa"/>
            <w:tcBorders>
              <w:top w:val="single" w:sz="4" w:space="0" w:color="auto"/>
              <w:left w:val="single" w:sz="4" w:space="0" w:color="auto"/>
              <w:bottom w:val="single" w:sz="4" w:space="0" w:color="auto"/>
              <w:right w:val="single" w:sz="4" w:space="0" w:color="auto"/>
            </w:tcBorders>
            <w:vAlign w:val="center"/>
          </w:tcPr>
          <w:p w14:paraId="26EA669D"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14:paraId="096F5F5E"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14:paraId="10AA53D2"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715E5B61"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6</w:t>
            </w:r>
          </w:p>
        </w:tc>
      </w:tr>
      <w:tr w:rsidR="00217BB9" w14:paraId="3689A5FA" w14:textId="77777777">
        <w:trPr>
          <w:trHeight w:val="166"/>
        </w:trPr>
        <w:tc>
          <w:tcPr>
            <w:tcW w:w="568" w:type="dxa"/>
            <w:vMerge w:val="restart"/>
            <w:tcBorders>
              <w:top w:val="single" w:sz="4" w:space="0" w:color="auto"/>
              <w:left w:val="single" w:sz="4" w:space="0" w:color="auto"/>
              <w:right w:val="single" w:sz="4" w:space="0" w:color="auto"/>
            </w:tcBorders>
            <w:vAlign w:val="center"/>
          </w:tcPr>
          <w:p w14:paraId="19DBCE45"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w:t>
            </w:r>
          </w:p>
        </w:tc>
        <w:tc>
          <w:tcPr>
            <w:tcW w:w="2268" w:type="dxa"/>
            <w:vMerge w:val="restart"/>
            <w:vAlign w:val="center"/>
          </w:tcPr>
          <w:p w14:paraId="2084E09F"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Фотокамера цифровая</w:t>
            </w:r>
          </w:p>
          <w:p w14:paraId="24A9E60A"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26.70.14.190-00000063</w:t>
            </w:r>
          </w:p>
        </w:tc>
        <w:tc>
          <w:tcPr>
            <w:tcW w:w="2552" w:type="dxa"/>
            <w:vAlign w:val="center"/>
          </w:tcPr>
          <w:p w14:paraId="24EAE2E7"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Cтабилизация изображения</w:t>
            </w:r>
          </w:p>
        </w:tc>
        <w:tc>
          <w:tcPr>
            <w:tcW w:w="2268" w:type="dxa"/>
            <w:vAlign w:val="center"/>
          </w:tcPr>
          <w:p w14:paraId="620F8684"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Оптическая</w:t>
            </w:r>
          </w:p>
        </w:tc>
        <w:tc>
          <w:tcPr>
            <w:tcW w:w="1559" w:type="dxa"/>
            <w:vAlign w:val="center"/>
          </w:tcPr>
          <w:p w14:paraId="08A8648D" w14:textId="77777777" w:rsidR="00217BB9" w:rsidRDefault="00217BB9">
            <w:pPr>
              <w:spacing w:after="0" w:line="240" w:lineRule="auto"/>
              <w:ind w:hanging="9"/>
              <w:jc w:val="center"/>
              <w:rPr>
                <w:rFonts w:ascii="Times New Roman" w:eastAsia="Times New Roman" w:hAnsi="Times New Roman" w:cs="Times New Roman"/>
                <w:i/>
                <w:sz w:val="20"/>
                <w:szCs w:val="20"/>
                <w:lang w:eastAsia="ru-RU"/>
              </w:rPr>
            </w:pPr>
          </w:p>
        </w:tc>
        <w:tc>
          <w:tcPr>
            <w:tcW w:w="567" w:type="dxa"/>
            <w:vMerge w:val="restart"/>
            <w:tcBorders>
              <w:top w:val="single" w:sz="4" w:space="0" w:color="auto"/>
              <w:left w:val="single" w:sz="4" w:space="0" w:color="auto"/>
              <w:right w:val="single" w:sz="4" w:space="0" w:color="auto"/>
            </w:tcBorders>
            <w:vAlign w:val="center"/>
          </w:tcPr>
          <w:p w14:paraId="3F262C98"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 шт.</w:t>
            </w:r>
          </w:p>
        </w:tc>
      </w:tr>
      <w:tr w:rsidR="00217BB9" w14:paraId="20C762B1" w14:textId="77777777">
        <w:trPr>
          <w:trHeight w:val="166"/>
        </w:trPr>
        <w:tc>
          <w:tcPr>
            <w:tcW w:w="568" w:type="dxa"/>
            <w:vMerge/>
            <w:tcBorders>
              <w:left w:val="single" w:sz="4" w:space="0" w:color="auto"/>
              <w:right w:val="single" w:sz="4" w:space="0" w:color="auto"/>
            </w:tcBorders>
            <w:vAlign w:val="center"/>
          </w:tcPr>
          <w:p w14:paraId="59B12ABB"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7CC129A3"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19674D06"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Наличие встроенной вспышки</w:t>
            </w:r>
          </w:p>
        </w:tc>
        <w:tc>
          <w:tcPr>
            <w:tcW w:w="2268" w:type="dxa"/>
            <w:vAlign w:val="center"/>
          </w:tcPr>
          <w:p w14:paraId="2B02ADEE"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Да</w:t>
            </w:r>
          </w:p>
        </w:tc>
        <w:tc>
          <w:tcPr>
            <w:tcW w:w="1559" w:type="dxa"/>
            <w:vAlign w:val="center"/>
          </w:tcPr>
          <w:p w14:paraId="20D759A1" w14:textId="77777777" w:rsidR="00217BB9" w:rsidRDefault="00217BB9">
            <w:pPr>
              <w:spacing w:after="0" w:line="240" w:lineRule="auto"/>
              <w:ind w:hanging="9"/>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00964AF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05A0BE39" w14:textId="77777777">
        <w:trPr>
          <w:trHeight w:val="166"/>
        </w:trPr>
        <w:tc>
          <w:tcPr>
            <w:tcW w:w="568" w:type="dxa"/>
            <w:vMerge/>
            <w:tcBorders>
              <w:left w:val="single" w:sz="4" w:space="0" w:color="auto"/>
              <w:right w:val="single" w:sz="4" w:space="0" w:color="auto"/>
            </w:tcBorders>
            <w:vAlign w:val="center"/>
          </w:tcPr>
          <w:p w14:paraId="1C21DC2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5A0847FB"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0ABE4F07"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Наличие разъема USB</w:t>
            </w:r>
          </w:p>
        </w:tc>
        <w:tc>
          <w:tcPr>
            <w:tcW w:w="2268" w:type="dxa"/>
            <w:vAlign w:val="center"/>
          </w:tcPr>
          <w:p w14:paraId="41EA6B73"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Да</w:t>
            </w:r>
          </w:p>
        </w:tc>
        <w:tc>
          <w:tcPr>
            <w:tcW w:w="1559" w:type="dxa"/>
            <w:vAlign w:val="center"/>
          </w:tcPr>
          <w:p w14:paraId="5929058D" w14:textId="77777777" w:rsidR="00217BB9" w:rsidRDefault="00217BB9">
            <w:pPr>
              <w:spacing w:after="0" w:line="240" w:lineRule="auto"/>
              <w:ind w:hanging="9"/>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15C6C5D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4F8097B8" w14:textId="77777777">
        <w:trPr>
          <w:trHeight w:val="70"/>
        </w:trPr>
        <w:tc>
          <w:tcPr>
            <w:tcW w:w="568" w:type="dxa"/>
            <w:vMerge/>
            <w:tcBorders>
              <w:left w:val="single" w:sz="4" w:space="0" w:color="auto"/>
              <w:right w:val="single" w:sz="4" w:space="0" w:color="auto"/>
            </w:tcBorders>
            <w:vAlign w:val="center"/>
          </w:tcPr>
          <w:p w14:paraId="02AE4084"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71EDB715"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vAlign w:val="center"/>
          </w:tcPr>
          <w:p w14:paraId="47958423"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Поддержка сменных объективов</w:t>
            </w:r>
          </w:p>
        </w:tc>
        <w:tc>
          <w:tcPr>
            <w:tcW w:w="2268" w:type="dxa"/>
            <w:vAlign w:val="center"/>
          </w:tcPr>
          <w:p w14:paraId="4DFB05A9"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Да</w:t>
            </w:r>
          </w:p>
        </w:tc>
        <w:tc>
          <w:tcPr>
            <w:tcW w:w="1559" w:type="dxa"/>
            <w:vAlign w:val="center"/>
          </w:tcPr>
          <w:p w14:paraId="3215012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6ADA306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08AE8EB8" w14:textId="77777777">
        <w:trPr>
          <w:trHeight w:val="70"/>
        </w:trPr>
        <w:tc>
          <w:tcPr>
            <w:tcW w:w="568" w:type="dxa"/>
            <w:vMerge/>
            <w:tcBorders>
              <w:left w:val="single" w:sz="4" w:space="0" w:color="auto"/>
              <w:right w:val="single" w:sz="4" w:space="0" w:color="auto"/>
            </w:tcBorders>
            <w:vAlign w:val="center"/>
          </w:tcPr>
          <w:p w14:paraId="13494AAF"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7DC2D112"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vAlign w:val="center"/>
          </w:tcPr>
          <w:p w14:paraId="35DB93E7"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Разрешение матрицы, Мпиксель</w:t>
            </w:r>
          </w:p>
        </w:tc>
        <w:tc>
          <w:tcPr>
            <w:tcW w:w="2268" w:type="dxa"/>
            <w:vAlign w:val="center"/>
          </w:tcPr>
          <w:p w14:paraId="43C5E234"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1559" w:type="dxa"/>
            <w:vAlign w:val="center"/>
          </w:tcPr>
          <w:p w14:paraId="1983C434" w14:textId="12DE9A61"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DA4FD2">
              <w:rPr>
                <w:rFonts w:ascii="Times New Roman" w:eastAsia="Times New Roman" w:hAnsi="Times New Roman" w:cs="Times New Roman"/>
                <w:i/>
                <w:sz w:val="20"/>
                <w:szCs w:val="20"/>
                <w:lang w:eastAsia="ru-RU"/>
              </w:rPr>
              <w:t>18.0</w:t>
            </w:r>
            <w:r>
              <w:rPr>
                <w:rFonts w:ascii="Times New Roman" w:eastAsia="Times New Roman" w:hAnsi="Times New Roman" w:cs="Times New Roman"/>
                <w:i/>
                <w:sz w:val="20"/>
                <w:szCs w:val="20"/>
                <w:lang w:eastAsia="ru-RU"/>
              </w:rPr>
              <w:t xml:space="preserve"> и  &lt; </w:t>
            </w:r>
            <w:r w:rsidR="00DA4FD2">
              <w:rPr>
                <w:rFonts w:ascii="Times New Roman" w:eastAsia="Times New Roman" w:hAnsi="Times New Roman" w:cs="Times New Roman"/>
                <w:i/>
                <w:sz w:val="20"/>
                <w:szCs w:val="20"/>
                <w:lang w:eastAsia="ru-RU"/>
              </w:rPr>
              <w:t>20</w:t>
            </w:r>
            <w:r>
              <w:rPr>
                <w:rFonts w:ascii="Times New Roman" w:eastAsia="Times New Roman" w:hAnsi="Times New Roman" w:cs="Times New Roman"/>
                <w:i/>
                <w:sz w:val="20"/>
                <w:szCs w:val="20"/>
                <w:lang w:eastAsia="ru-RU"/>
              </w:rPr>
              <w:t>.0</w:t>
            </w:r>
          </w:p>
        </w:tc>
        <w:tc>
          <w:tcPr>
            <w:tcW w:w="567" w:type="dxa"/>
            <w:vMerge/>
            <w:tcBorders>
              <w:left w:val="single" w:sz="4" w:space="0" w:color="auto"/>
              <w:right w:val="single" w:sz="4" w:space="0" w:color="auto"/>
            </w:tcBorders>
            <w:vAlign w:val="center"/>
          </w:tcPr>
          <w:p w14:paraId="6F0AB429"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6DD42CDE" w14:textId="77777777">
        <w:trPr>
          <w:trHeight w:val="70"/>
        </w:trPr>
        <w:tc>
          <w:tcPr>
            <w:tcW w:w="568" w:type="dxa"/>
            <w:vMerge/>
            <w:tcBorders>
              <w:left w:val="single" w:sz="4" w:space="0" w:color="auto"/>
              <w:right w:val="single" w:sz="4" w:space="0" w:color="auto"/>
            </w:tcBorders>
            <w:vAlign w:val="center"/>
          </w:tcPr>
          <w:p w14:paraId="2BA5EC3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17636C0C"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vAlign w:val="center"/>
          </w:tcPr>
          <w:p w14:paraId="5C34C413"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камеры</w:t>
            </w:r>
          </w:p>
        </w:tc>
        <w:tc>
          <w:tcPr>
            <w:tcW w:w="2268" w:type="dxa"/>
            <w:vAlign w:val="center"/>
          </w:tcPr>
          <w:p w14:paraId="6F53043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Зеркальная</w:t>
            </w:r>
          </w:p>
        </w:tc>
        <w:tc>
          <w:tcPr>
            <w:tcW w:w="1559" w:type="dxa"/>
            <w:vAlign w:val="center"/>
          </w:tcPr>
          <w:p w14:paraId="5ED485D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1A208D29"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1EB1EC68" w14:textId="77777777">
        <w:trPr>
          <w:trHeight w:val="70"/>
        </w:trPr>
        <w:tc>
          <w:tcPr>
            <w:tcW w:w="568" w:type="dxa"/>
            <w:vMerge/>
            <w:tcBorders>
              <w:left w:val="single" w:sz="4" w:space="0" w:color="auto"/>
              <w:bottom w:val="single" w:sz="4" w:space="0" w:color="auto"/>
              <w:right w:val="single" w:sz="4" w:space="0" w:color="auto"/>
            </w:tcBorders>
            <w:vAlign w:val="center"/>
          </w:tcPr>
          <w:p w14:paraId="7FCA2BB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left w:val="single" w:sz="4" w:space="0" w:color="auto"/>
              <w:bottom w:val="single" w:sz="4" w:space="0" w:color="auto"/>
            </w:tcBorders>
            <w:vAlign w:val="center"/>
          </w:tcPr>
          <w:p w14:paraId="09FC216A"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289AA4D1"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матрицы</w:t>
            </w:r>
          </w:p>
        </w:tc>
        <w:tc>
          <w:tcPr>
            <w:tcW w:w="2268" w:type="dxa"/>
            <w:tcBorders>
              <w:top w:val="single" w:sz="4" w:space="0" w:color="auto"/>
              <w:left w:val="single" w:sz="4" w:space="0" w:color="auto"/>
              <w:bottom w:val="single" w:sz="4" w:space="0" w:color="auto"/>
              <w:right w:val="single" w:sz="4" w:space="0" w:color="auto"/>
            </w:tcBorders>
            <w:vAlign w:val="center"/>
          </w:tcPr>
          <w:p w14:paraId="4FB1C07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CMOS</w:t>
            </w:r>
          </w:p>
        </w:tc>
        <w:tc>
          <w:tcPr>
            <w:tcW w:w="1559" w:type="dxa"/>
            <w:tcBorders>
              <w:top w:val="single" w:sz="4" w:space="0" w:color="auto"/>
              <w:left w:val="single" w:sz="4" w:space="0" w:color="auto"/>
              <w:bottom w:val="single" w:sz="4" w:space="0" w:color="auto"/>
              <w:right w:val="single" w:sz="4" w:space="0" w:color="auto"/>
            </w:tcBorders>
            <w:vAlign w:val="center"/>
          </w:tcPr>
          <w:p w14:paraId="713072B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bottom w:val="single" w:sz="4" w:space="0" w:color="auto"/>
              <w:right w:val="single" w:sz="4" w:space="0" w:color="auto"/>
            </w:tcBorders>
            <w:vAlign w:val="center"/>
          </w:tcPr>
          <w:p w14:paraId="6AAD8AC7"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34DF7921" w14:textId="77777777">
        <w:trPr>
          <w:trHeight w:val="70"/>
        </w:trPr>
        <w:tc>
          <w:tcPr>
            <w:tcW w:w="568" w:type="dxa"/>
            <w:vMerge/>
            <w:tcBorders>
              <w:left w:val="single" w:sz="4" w:space="0" w:color="auto"/>
              <w:bottom w:val="single" w:sz="4" w:space="0" w:color="auto"/>
              <w:right w:val="single" w:sz="4" w:space="0" w:color="auto"/>
            </w:tcBorders>
            <w:vAlign w:val="center"/>
          </w:tcPr>
          <w:p w14:paraId="2AC70BC7"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left w:val="single" w:sz="4" w:space="0" w:color="auto"/>
              <w:bottom w:val="single" w:sz="4" w:space="0" w:color="auto"/>
            </w:tcBorders>
            <w:vAlign w:val="center"/>
          </w:tcPr>
          <w:p w14:paraId="311B9B66"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0B25642F"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Формат матрицы</w:t>
            </w:r>
          </w:p>
        </w:tc>
        <w:tc>
          <w:tcPr>
            <w:tcW w:w="2268" w:type="dxa"/>
            <w:tcBorders>
              <w:top w:val="single" w:sz="4" w:space="0" w:color="auto"/>
              <w:left w:val="single" w:sz="4" w:space="0" w:color="auto"/>
              <w:bottom w:val="single" w:sz="4" w:space="0" w:color="auto"/>
              <w:right w:val="single" w:sz="4" w:space="0" w:color="auto"/>
            </w:tcBorders>
            <w:vAlign w:val="center"/>
          </w:tcPr>
          <w:p w14:paraId="34812788"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APS-C</w:t>
            </w:r>
          </w:p>
        </w:tc>
        <w:tc>
          <w:tcPr>
            <w:tcW w:w="1559" w:type="dxa"/>
            <w:tcBorders>
              <w:top w:val="single" w:sz="4" w:space="0" w:color="auto"/>
              <w:left w:val="single" w:sz="4" w:space="0" w:color="auto"/>
              <w:bottom w:val="single" w:sz="4" w:space="0" w:color="auto"/>
              <w:right w:val="single" w:sz="4" w:space="0" w:color="auto"/>
            </w:tcBorders>
            <w:vAlign w:val="center"/>
          </w:tcPr>
          <w:p w14:paraId="59D658AF"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bottom w:val="single" w:sz="4" w:space="0" w:color="auto"/>
              <w:right w:val="single" w:sz="4" w:space="0" w:color="auto"/>
            </w:tcBorders>
            <w:vAlign w:val="center"/>
          </w:tcPr>
          <w:p w14:paraId="0F1507F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0432C1" w14:paraId="0961564F" w14:textId="77777777">
        <w:trPr>
          <w:trHeight w:val="70"/>
        </w:trPr>
        <w:tc>
          <w:tcPr>
            <w:tcW w:w="568" w:type="dxa"/>
            <w:tcBorders>
              <w:left w:val="single" w:sz="4" w:space="0" w:color="auto"/>
              <w:bottom w:val="single" w:sz="4" w:space="0" w:color="auto"/>
              <w:right w:val="single" w:sz="4" w:space="0" w:color="auto"/>
            </w:tcBorders>
            <w:vAlign w:val="center"/>
          </w:tcPr>
          <w:p w14:paraId="45052F4B" w14:textId="77777777" w:rsidR="000432C1" w:rsidRDefault="000432C1">
            <w:pPr>
              <w:spacing w:after="0" w:line="240" w:lineRule="auto"/>
              <w:jc w:val="center"/>
              <w:rPr>
                <w:rFonts w:ascii="Times New Roman" w:eastAsia="Times New Roman" w:hAnsi="Times New Roman" w:cs="Times New Roman"/>
                <w:i/>
                <w:sz w:val="20"/>
                <w:szCs w:val="20"/>
                <w:lang w:eastAsia="ru-RU"/>
              </w:rPr>
            </w:pPr>
          </w:p>
        </w:tc>
        <w:tc>
          <w:tcPr>
            <w:tcW w:w="2268" w:type="dxa"/>
            <w:tcBorders>
              <w:left w:val="single" w:sz="4" w:space="0" w:color="auto"/>
              <w:bottom w:val="single" w:sz="4" w:space="0" w:color="auto"/>
            </w:tcBorders>
            <w:vAlign w:val="center"/>
          </w:tcPr>
          <w:p w14:paraId="72F434DF" w14:textId="77777777" w:rsidR="000432C1" w:rsidRDefault="000432C1">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1D9D4D0B" w14:textId="2E558C21" w:rsidR="000432C1" w:rsidRDefault="000432C1">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Объектив</w:t>
            </w:r>
          </w:p>
        </w:tc>
        <w:tc>
          <w:tcPr>
            <w:tcW w:w="2268" w:type="dxa"/>
            <w:tcBorders>
              <w:top w:val="single" w:sz="4" w:space="0" w:color="auto"/>
              <w:left w:val="single" w:sz="4" w:space="0" w:color="auto"/>
              <w:bottom w:val="single" w:sz="4" w:space="0" w:color="auto"/>
              <w:right w:val="single" w:sz="4" w:space="0" w:color="auto"/>
            </w:tcBorders>
            <w:vAlign w:val="center"/>
          </w:tcPr>
          <w:p w14:paraId="36A1668E" w14:textId="7CEA695C" w:rsidR="000432C1" w:rsidRDefault="000432C1">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Наличие</w:t>
            </w:r>
          </w:p>
        </w:tc>
        <w:tc>
          <w:tcPr>
            <w:tcW w:w="1559" w:type="dxa"/>
            <w:tcBorders>
              <w:top w:val="single" w:sz="4" w:space="0" w:color="auto"/>
              <w:left w:val="single" w:sz="4" w:space="0" w:color="auto"/>
              <w:bottom w:val="single" w:sz="4" w:space="0" w:color="auto"/>
              <w:right w:val="single" w:sz="4" w:space="0" w:color="auto"/>
            </w:tcBorders>
            <w:vAlign w:val="center"/>
          </w:tcPr>
          <w:p w14:paraId="68E81AF8" w14:textId="77777777" w:rsidR="000432C1" w:rsidRDefault="000432C1">
            <w:pPr>
              <w:spacing w:after="0" w:line="240" w:lineRule="auto"/>
              <w:jc w:val="center"/>
              <w:rPr>
                <w:rFonts w:ascii="Times New Roman" w:eastAsia="Times New Roman" w:hAnsi="Times New Roman" w:cs="Times New Roman"/>
                <w:i/>
                <w:sz w:val="20"/>
                <w:szCs w:val="20"/>
                <w:lang w:eastAsia="ru-RU"/>
              </w:rPr>
            </w:pPr>
          </w:p>
        </w:tc>
        <w:tc>
          <w:tcPr>
            <w:tcW w:w="567" w:type="dxa"/>
            <w:tcBorders>
              <w:left w:val="single" w:sz="4" w:space="0" w:color="auto"/>
              <w:bottom w:val="single" w:sz="4" w:space="0" w:color="auto"/>
              <w:right w:val="single" w:sz="4" w:space="0" w:color="auto"/>
            </w:tcBorders>
            <w:vAlign w:val="center"/>
          </w:tcPr>
          <w:p w14:paraId="2B5F7D94" w14:textId="77777777" w:rsidR="000432C1" w:rsidRDefault="000432C1">
            <w:pPr>
              <w:spacing w:after="0" w:line="240" w:lineRule="auto"/>
              <w:jc w:val="center"/>
              <w:rPr>
                <w:rFonts w:ascii="Times New Roman" w:eastAsia="Times New Roman" w:hAnsi="Times New Roman" w:cs="Times New Roman"/>
                <w:i/>
                <w:sz w:val="20"/>
                <w:szCs w:val="20"/>
                <w:lang w:eastAsia="ru-RU"/>
              </w:rPr>
            </w:pPr>
          </w:p>
        </w:tc>
      </w:tr>
      <w:tr w:rsidR="00217BB9" w14:paraId="3ECE0945" w14:textId="77777777">
        <w:trPr>
          <w:trHeight w:val="70"/>
        </w:trPr>
        <w:tc>
          <w:tcPr>
            <w:tcW w:w="568" w:type="dxa"/>
            <w:vMerge w:val="restart"/>
            <w:tcBorders>
              <w:top w:val="single" w:sz="4" w:space="0" w:color="auto"/>
              <w:left w:val="single" w:sz="4" w:space="0" w:color="auto"/>
              <w:right w:val="single" w:sz="4" w:space="0" w:color="auto"/>
            </w:tcBorders>
            <w:vAlign w:val="center"/>
          </w:tcPr>
          <w:p w14:paraId="7C36BE2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w:t>
            </w:r>
          </w:p>
        </w:tc>
        <w:tc>
          <w:tcPr>
            <w:tcW w:w="2268" w:type="dxa"/>
            <w:vMerge w:val="restart"/>
            <w:vAlign w:val="center"/>
          </w:tcPr>
          <w:p w14:paraId="5B28DB58"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Штатив для фотографического оборудования</w:t>
            </w:r>
          </w:p>
          <w:p w14:paraId="4973936A"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26.70.19.000-00000004</w:t>
            </w:r>
          </w:p>
        </w:tc>
        <w:tc>
          <w:tcPr>
            <w:tcW w:w="2552" w:type="dxa"/>
            <w:vAlign w:val="center"/>
          </w:tcPr>
          <w:p w14:paraId="71EB182E"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Вид оборудования</w:t>
            </w:r>
          </w:p>
        </w:tc>
        <w:tc>
          <w:tcPr>
            <w:tcW w:w="2268" w:type="dxa"/>
            <w:vAlign w:val="center"/>
          </w:tcPr>
          <w:p w14:paraId="630B9246"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Штатив для фотокамеры</w:t>
            </w:r>
          </w:p>
        </w:tc>
        <w:tc>
          <w:tcPr>
            <w:tcW w:w="1559" w:type="dxa"/>
            <w:tcBorders>
              <w:top w:val="single" w:sz="4" w:space="0" w:color="auto"/>
              <w:left w:val="single" w:sz="4" w:space="0" w:color="auto"/>
              <w:bottom w:val="single" w:sz="4" w:space="0" w:color="auto"/>
              <w:right w:val="single" w:sz="4" w:space="0" w:color="auto"/>
            </w:tcBorders>
            <w:vAlign w:val="center"/>
          </w:tcPr>
          <w:p w14:paraId="4DF7611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val="restart"/>
            <w:tcBorders>
              <w:top w:val="single" w:sz="4" w:space="0" w:color="auto"/>
              <w:left w:val="single" w:sz="4" w:space="0" w:color="auto"/>
              <w:right w:val="single" w:sz="4" w:space="0" w:color="auto"/>
            </w:tcBorders>
            <w:vAlign w:val="center"/>
          </w:tcPr>
          <w:p w14:paraId="2655A600"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 шт.</w:t>
            </w:r>
          </w:p>
        </w:tc>
      </w:tr>
      <w:tr w:rsidR="00217BB9" w14:paraId="4D2C859E" w14:textId="77777777">
        <w:trPr>
          <w:trHeight w:val="70"/>
        </w:trPr>
        <w:tc>
          <w:tcPr>
            <w:tcW w:w="568" w:type="dxa"/>
            <w:vMerge/>
            <w:tcBorders>
              <w:left w:val="single" w:sz="4" w:space="0" w:color="auto"/>
              <w:right w:val="single" w:sz="4" w:space="0" w:color="auto"/>
            </w:tcBorders>
            <w:vAlign w:val="center"/>
          </w:tcPr>
          <w:p w14:paraId="0146698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054BCC4C"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47E92812"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Конструкция штатива</w:t>
            </w:r>
          </w:p>
        </w:tc>
        <w:tc>
          <w:tcPr>
            <w:tcW w:w="2268" w:type="dxa"/>
            <w:vAlign w:val="center"/>
          </w:tcPr>
          <w:p w14:paraId="56B3232C"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Трипод</w:t>
            </w:r>
          </w:p>
        </w:tc>
        <w:tc>
          <w:tcPr>
            <w:tcW w:w="1559" w:type="dxa"/>
            <w:vAlign w:val="center"/>
          </w:tcPr>
          <w:p w14:paraId="31592767" w14:textId="77777777" w:rsidR="00217BB9" w:rsidRDefault="00217BB9">
            <w:pPr>
              <w:spacing w:after="0" w:line="240" w:lineRule="auto"/>
              <w:ind w:right="-108"/>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44495AC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44723274" w14:textId="77777777">
        <w:trPr>
          <w:trHeight w:val="70"/>
        </w:trPr>
        <w:tc>
          <w:tcPr>
            <w:tcW w:w="568" w:type="dxa"/>
            <w:vMerge/>
            <w:tcBorders>
              <w:left w:val="single" w:sz="4" w:space="0" w:color="auto"/>
              <w:right w:val="single" w:sz="4" w:space="0" w:color="auto"/>
            </w:tcBorders>
            <w:vAlign w:val="center"/>
          </w:tcPr>
          <w:p w14:paraId="400EEBD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177B8BF4"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79B4BD1E"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головки штатива</w:t>
            </w:r>
          </w:p>
        </w:tc>
        <w:tc>
          <w:tcPr>
            <w:tcW w:w="2268" w:type="dxa"/>
            <w:vAlign w:val="center"/>
          </w:tcPr>
          <w:p w14:paraId="25C831EB"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Шаровая</w:t>
            </w:r>
          </w:p>
        </w:tc>
        <w:tc>
          <w:tcPr>
            <w:tcW w:w="1559" w:type="dxa"/>
            <w:vAlign w:val="center"/>
          </w:tcPr>
          <w:p w14:paraId="0C2FCE54" w14:textId="77777777" w:rsidR="00217BB9" w:rsidRDefault="00217BB9">
            <w:pPr>
              <w:spacing w:after="0" w:line="240" w:lineRule="auto"/>
              <w:ind w:right="-108"/>
              <w:jc w:val="center"/>
              <w:rPr>
                <w:rFonts w:ascii="Times New Roman" w:eastAsia="Times New Roman" w:hAnsi="Times New Roman" w:cs="Times New Roman"/>
                <w:i/>
                <w:sz w:val="20"/>
                <w:szCs w:val="20"/>
                <w:lang w:eastAsia="ru-RU"/>
              </w:rPr>
            </w:pPr>
          </w:p>
        </w:tc>
        <w:tc>
          <w:tcPr>
            <w:tcW w:w="567" w:type="dxa"/>
            <w:vMerge/>
            <w:tcBorders>
              <w:left w:val="single" w:sz="4" w:space="0" w:color="auto"/>
              <w:right w:val="single" w:sz="4" w:space="0" w:color="auto"/>
            </w:tcBorders>
            <w:vAlign w:val="center"/>
          </w:tcPr>
          <w:p w14:paraId="210B2AB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1CDB67A1" w14:textId="77777777">
        <w:trPr>
          <w:trHeight w:val="70"/>
        </w:trPr>
        <w:tc>
          <w:tcPr>
            <w:tcW w:w="568" w:type="dxa"/>
            <w:vMerge/>
            <w:tcBorders>
              <w:left w:val="single" w:sz="4" w:space="0" w:color="auto"/>
              <w:bottom w:val="single" w:sz="4" w:space="0" w:color="auto"/>
              <w:right w:val="single" w:sz="4" w:space="0" w:color="auto"/>
            </w:tcBorders>
            <w:vAlign w:val="center"/>
          </w:tcPr>
          <w:p w14:paraId="6C0657AA"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vAlign w:val="center"/>
          </w:tcPr>
          <w:p w14:paraId="4A5E188E"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552" w:type="dxa"/>
            <w:vAlign w:val="center"/>
          </w:tcPr>
          <w:p w14:paraId="16E0ECE9"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исполнения</w:t>
            </w:r>
          </w:p>
        </w:tc>
        <w:tc>
          <w:tcPr>
            <w:tcW w:w="2268" w:type="dxa"/>
            <w:vAlign w:val="center"/>
          </w:tcPr>
          <w:p w14:paraId="4DED5AA5"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Напольный</w:t>
            </w:r>
          </w:p>
        </w:tc>
        <w:tc>
          <w:tcPr>
            <w:tcW w:w="1559" w:type="dxa"/>
            <w:tcBorders>
              <w:top w:val="single" w:sz="4" w:space="0" w:color="auto"/>
              <w:left w:val="single" w:sz="4" w:space="0" w:color="auto"/>
              <w:bottom w:val="single" w:sz="4" w:space="0" w:color="auto"/>
              <w:right w:val="single" w:sz="4" w:space="0" w:color="auto"/>
            </w:tcBorders>
            <w:vAlign w:val="center"/>
          </w:tcPr>
          <w:p w14:paraId="25BB4808"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567" w:type="dxa"/>
            <w:vMerge/>
            <w:tcBorders>
              <w:left w:val="single" w:sz="4" w:space="0" w:color="auto"/>
              <w:bottom w:val="single" w:sz="4" w:space="0" w:color="auto"/>
              <w:right w:val="single" w:sz="4" w:space="0" w:color="auto"/>
            </w:tcBorders>
            <w:vAlign w:val="center"/>
          </w:tcPr>
          <w:p w14:paraId="1CC71773"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18770FED" w14:textId="77777777">
        <w:trPr>
          <w:trHeight w:val="70"/>
        </w:trPr>
        <w:tc>
          <w:tcPr>
            <w:tcW w:w="568" w:type="dxa"/>
            <w:vMerge w:val="restart"/>
            <w:tcBorders>
              <w:top w:val="single" w:sz="4" w:space="0" w:color="auto"/>
              <w:left w:val="single" w:sz="4" w:space="0" w:color="auto"/>
              <w:right w:val="single" w:sz="4" w:space="0" w:color="auto"/>
            </w:tcBorders>
            <w:vAlign w:val="center"/>
          </w:tcPr>
          <w:p w14:paraId="28233E97"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w:t>
            </w:r>
          </w:p>
        </w:tc>
        <w:tc>
          <w:tcPr>
            <w:tcW w:w="2268" w:type="dxa"/>
            <w:vMerge w:val="restart"/>
            <w:vAlign w:val="center"/>
          </w:tcPr>
          <w:p w14:paraId="6B24FC0C"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Карта флеш памяти</w:t>
            </w:r>
          </w:p>
          <w:p w14:paraId="04E6465C"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26.20.21.120-00000005</w:t>
            </w:r>
          </w:p>
        </w:tc>
        <w:tc>
          <w:tcPr>
            <w:tcW w:w="2552" w:type="dxa"/>
            <w:vAlign w:val="center"/>
          </w:tcPr>
          <w:p w14:paraId="1125DD6A"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Объем памяти, Гигабайт</w:t>
            </w:r>
          </w:p>
        </w:tc>
        <w:tc>
          <w:tcPr>
            <w:tcW w:w="2268" w:type="dxa"/>
            <w:vAlign w:val="center"/>
          </w:tcPr>
          <w:p w14:paraId="74ABE281" w14:textId="77777777" w:rsidR="00217BB9" w:rsidRDefault="00217BB9">
            <w:pPr>
              <w:spacing w:after="0" w:line="240" w:lineRule="auto"/>
              <w:ind w:right="-108"/>
              <w:jc w:val="center"/>
              <w:rPr>
                <w:rFonts w:ascii="Times New Roman" w:eastAsia="Times New Roman" w:hAnsi="Times New Roman" w:cs="Times New Roman"/>
                <w:i/>
                <w:sz w:val="20"/>
                <w:szCs w:val="20"/>
                <w:lang w:eastAsia="ru-RU"/>
              </w:rPr>
            </w:pPr>
          </w:p>
        </w:tc>
        <w:tc>
          <w:tcPr>
            <w:tcW w:w="1559" w:type="dxa"/>
            <w:vAlign w:val="center"/>
          </w:tcPr>
          <w:p w14:paraId="011D5525"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64.0</w:t>
            </w:r>
          </w:p>
        </w:tc>
        <w:tc>
          <w:tcPr>
            <w:tcW w:w="567" w:type="dxa"/>
            <w:vMerge w:val="restart"/>
            <w:tcBorders>
              <w:top w:val="single" w:sz="4" w:space="0" w:color="auto"/>
              <w:left w:val="single" w:sz="4" w:space="0" w:color="auto"/>
              <w:right w:val="single" w:sz="4" w:space="0" w:color="auto"/>
            </w:tcBorders>
            <w:vAlign w:val="center"/>
          </w:tcPr>
          <w:p w14:paraId="5D581DAB"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 шт.</w:t>
            </w:r>
          </w:p>
        </w:tc>
      </w:tr>
      <w:tr w:rsidR="00217BB9" w14:paraId="4634A952" w14:textId="77777777">
        <w:trPr>
          <w:trHeight w:val="70"/>
        </w:trPr>
        <w:tc>
          <w:tcPr>
            <w:tcW w:w="568" w:type="dxa"/>
            <w:vMerge/>
            <w:tcBorders>
              <w:left w:val="single" w:sz="4" w:space="0" w:color="auto"/>
              <w:right w:val="single" w:sz="4" w:space="0" w:color="auto"/>
            </w:tcBorders>
            <w:vAlign w:val="center"/>
          </w:tcPr>
          <w:p w14:paraId="2AAABE22"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left w:val="single" w:sz="4" w:space="0" w:color="auto"/>
            </w:tcBorders>
            <w:vAlign w:val="center"/>
          </w:tcPr>
          <w:p w14:paraId="734CD951"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6639F6C1"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Скорость записи, Мегабайт в секунду</w:t>
            </w:r>
          </w:p>
        </w:tc>
        <w:tc>
          <w:tcPr>
            <w:tcW w:w="2268" w:type="dxa"/>
            <w:tcBorders>
              <w:top w:val="single" w:sz="4" w:space="0" w:color="auto"/>
              <w:left w:val="single" w:sz="4" w:space="0" w:color="auto"/>
              <w:bottom w:val="single" w:sz="4" w:space="0" w:color="auto"/>
              <w:right w:val="single" w:sz="4" w:space="0" w:color="auto"/>
            </w:tcBorders>
            <w:vAlign w:val="center"/>
          </w:tcPr>
          <w:p w14:paraId="58BC2D8B" w14:textId="77777777" w:rsidR="00217BB9" w:rsidRDefault="00217BB9">
            <w:pPr>
              <w:spacing w:after="0" w:line="240" w:lineRule="auto"/>
              <w:ind w:right="-108"/>
              <w:jc w:val="center"/>
              <w:rPr>
                <w:rFonts w:ascii="Times New Roman" w:eastAsia="Times New Roman" w:hAnsi="Times New Roman" w:cs="Times New Roman"/>
                <w:i/>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62C08C2" w14:textId="77777777" w:rsidR="00217BB9" w:rsidRDefault="0000000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10.0</w:t>
            </w:r>
          </w:p>
        </w:tc>
        <w:tc>
          <w:tcPr>
            <w:tcW w:w="567" w:type="dxa"/>
            <w:vMerge/>
            <w:tcBorders>
              <w:left w:val="single" w:sz="4" w:space="0" w:color="auto"/>
              <w:right w:val="single" w:sz="4" w:space="0" w:color="auto"/>
            </w:tcBorders>
            <w:vAlign w:val="center"/>
          </w:tcPr>
          <w:p w14:paraId="2258DD75"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r>
      <w:tr w:rsidR="00217BB9" w14:paraId="3E55100B" w14:textId="77777777">
        <w:trPr>
          <w:trHeight w:val="70"/>
        </w:trPr>
        <w:tc>
          <w:tcPr>
            <w:tcW w:w="568" w:type="dxa"/>
            <w:vMerge/>
            <w:tcBorders>
              <w:left w:val="single" w:sz="4" w:space="0" w:color="auto"/>
              <w:right w:val="single" w:sz="4" w:space="0" w:color="auto"/>
            </w:tcBorders>
            <w:vAlign w:val="center"/>
          </w:tcPr>
          <w:p w14:paraId="6D508421" w14:textId="77777777" w:rsidR="00217BB9" w:rsidRDefault="00217BB9">
            <w:pPr>
              <w:spacing w:after="0" w:line="240" w:lineRule="auto"/>
              <w:jc w:val="center"/>
              <w:rPr>
                <w:rFonts w:ascii="Times New Roman" w:eastAsia="Times New Roman" w:hAnsi="Times New Roman" w:cs="Times New Roman"/>
                <w:i/>
                <w:sz w:val="20"/>
                <w:szCs w:val="20"/>
                <w:lang w:eastAsia="ru-RU"/>
              </w:rPr>
            </w:pPr>
          </w:p>
        </w:tc>
        <w:tc>
          <w:tcPr>
            <w:tcW w:w="2268" w:type="dxa"/>
            <w:vMerge/>
            <w:tcBorders>
              <w:left w:val="single" w:sz="4" w:space="0" w:color="auto"/>
            </w:tcBorders>
            <w:vAlign w:val="center"/>
          </w:tcPr>
          <w:p w14:paraId="44E9E1EB" w14:textId="77777777" w:rsidR="00217BB9" w:rsidRDefault="00217BB9">
            <w:pPr>
              <w:spacing w:after="0" w:line="240" w:lineRule="auto"/>
              <w:jc w:val="center"/>
              <w:rPr>
                <w:rFonts w:ascii="Times New Roman" w:eastAsia="Times New Roman" w:hAnsi="Times New Roman" w:cs="Times New Roman"/>
                <w:bCs/>
                <w:i/>
                <w:sz w:val="20"/>
                <w:szCs w:val="20"/>
                <w:lang w:eastAsia="ru-RU"/>
              </w:rPr>
            </w:pPr>
          </w:p>
        </w:tc>
        <w:tc>
          <w:tcPr>
            <w:tcW w:w="2552" w:type="dxa"/>
            <w:tcBorders>
              <w:top w:val="single" w:sz="4" w:space="0" w:color="auto"/>
              <w:bottom w:val="single" w:sz="4" w:space="0" w:color="auto"/>
              <w:right w:val="single" w:sz="4" w:space="0" w:color="auto"/>
            </w:tcBorders>
            <w:vAlign w:val="center"/>
          </w:tcPr>
          <w:p w14:paraId="5B8CDEFE" w14:textId="77777777" w:rsidR="00217BB9" w:rsidRDefault="00000000">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Тип карты</w:t>
            </w:r>
          </w:p>
        </w:tc>
        <w:tc>
          <w:tcPr>
            <w:tcW w:w="2268" w:type="dxa"/>
            <w:tcBorders>
              <w:top w:val="single" w:sz="4" w:space="0" w:color="auto"/>
              <w:left w:val="single" w:sz="4" w:space="0" w:color="auto"/>
              <w:bottom w:val="single" w:sz="4" w:space="0" w:color="auto"/>
              <w:right w:val="single" w:sz="4" w:space="0" w:color="auto"/>
            </w:tcBorders>
            <w:vAlign w:val="center"/>
          </w:tcPr>
          <w:p w14:paraId="4653A252" w14:textId="2EF59D7D" w:rsidR="00217BB9" w:rsidRDefault="000432C1">
            <w:pPr>
              <w:spacing w:after="0" w:line="240" w:lineRule="auto"/>
              <w:ind w:right="-108"/>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MicroSDHC</w:t>
            </w:r>
            <w:r>
              <w:rPr>
                <w:rFonts w:ascii="Times New Roman" w:eastAsia="Times New Roman" w:hAnsi="Times New Roman" w:cs="Times New Roman"/>
                <w:i/>
                <w:sz w:val="20"/>
                <w:szCs w:val="20"/>
                <w:lang w:eastAsia="ru-RU"/>
              </w:rPr>
              <w:tab/>
            </w:r>
          </w:p>
          <w:p w14:paraId="1186FAC9" w14:textId="77777777" w:rsidR="00217BB9" w:rsidRDefault="00000000">
            <w:pPr>
              <w:spacing w:after="0" w:line="240" w:lineRule="auto"/>
              <w:ind w:right="-108"/>
              <w:jc w:val="center"/>
              <w:rPr>
                <w:rFonts w:ascii="Times New Roman" w:eastAsia="Times New Roman" w:hAnsi="Times New Roman" w:cs="Times New Roman"/>
                <w:i/>
                <w:sz w:val="20"/>
                <w:szCs w:val="20"/>
                <w:lang w:val="en-US" w:eastAsia="ru-RU"/>
              </w:rPr>
            </w:pPr>
            <w:r>
              <w:rPr>
                <w:rFonts w:ascii="Times New Roman" w:eastAsia="Times New Roman" w:hAnsi="Times New Roman" w:cs="Times New Roman"/>
                <w:i/>
                <w:sz w:val="20"/>
                <w:szCs w:val="20"/>
                <w:lang w:eastAsia="ru-RU"/>
              </w:rPr>
              <w:t>MicroSDXC</w:t>
            </w:r>
          </w:p>
        </w:tc>
        <w:tc>
          <w:tcPr>
            <w:tcW w:w="1559" w:type="dxa"/>
            <w:tcBorders>
              <w:top w:val="single" w:sz="4" w:space="0" w:color="auto"/>
              <w:left w:val="single" w:sz="4" w:space="0" w:color="auto"/>
              <w:bottom w:val="single" w:sz="4" w:space="0" w:color="auto"/>
              <w:right w:val="single" w:sz="4" w:space="0" w:color="auto"/>
            </w:tcBorders>
            <w:vAlign w:val="center"/>
          </w:tcPr>
          <w:p w14:paraId="024FA014" w14:textId="77777777" w:rsidR="00217BB9" w:rsidRDefault="00217BB9">
            <w:pPr>
              <w:spacing w:after="0" w:line="240" w:lineRule="auto"/>
              <w:jc w:val="center"/>
              <w:rPr>
                <w:rFonts w:ascii="Times New Roman" w:eastAsia="Times New Roman" w:hAnsi="Times New Roman" w:cs="Times New Roman"/>
                <w:i/>
                <w:sz w:val="20"/>
                <w:szCs w:val="20"/>
                <w:lang w:val="en-US" w:eastAsia="ru-RU"/>
              </w:rPr>
            </w:pPr>
          </w:p>
        </w:tc>
        <w:tc>
          <w:tcPr>
            <w:tcW w:w="567" w:type="dxa"/>
            <w:vMerge/>
            <w:tcBorders>
              <w:left w:val="single" w:sz="4" w:space="0" w:color="auto"/>
              <w:right w:val="single" w:sz="4" w:space="0" w:color="auto"/>
            </w:tcBorders>
            <w:vAlign w:val="center"/>
          </w:tcPr>
          <w:p w14:paraId="43BCD570" w14:textId="77777777" w:rsidR="00217BB9" w:rsidRDefault="00217BB9">
            <w:pPr>
              <w:spacing w:after="0" w:line="240" w:lineRule="auto"/>
              <w:jc w:val="center"/>
              <w:rPr>
                <w:rFonts w:ascii="Times New Roman" w:eastAsia="Times New Roman" w:hAnsi="Times New Roman" w:cs="Times New Roman"/>
                <w:i/>
                <w:sz w:val="20"/>
                <w:szCs w:val="20"/>
                <w:lang w:val="en-US" w:eastAsia="ru-RU"/>
              </w:rPr>
            </w:pPr>
          </w:p>
        </w:tc>
      </w:tr>
    </w:tbl>
    <w:p w14:paraId="6055451E" w14:textId="77777777" w:rsidR="00217BB9" w:rsidRDefault="00000000">
      <w:pPr>
        <w:pStyle w:val="af9"/>
        <w:spacing w:after="0" w:line="240" w:lineRule="auto"/>
        <w:ind w:left="-567" w:firstLine="283"/>
        <w:jc w:val="both"/>
        <w:rPr>
          <w:rFonts w:ascii="XO Thames" w:hAnsi="XO Thames"/>
          <w:b/>
          <w:sz w:val="20"/>
          <w:szCs w:val="20"/>
        </w:rPr>
      </w:pPr>
      <w:r>
        <w:rPr>
          <w:rFonts w:ascii="XO Thames" w:hAnsi="XO Thames"/>
          <w:b/>
          <w:sz w:val="20"/>
          <w:szCs w:val="20"/>
        </w:rPr>
        <w:t>2. Условия поставки:</w:t>
      </w:r>
    </w:p>
    <w:p w14:paraId="424988E8" w14:textId="3965180E"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Поставка товара должна быть осуществлена в течение 1</w:t>
      </w:r>
      <w:r w:rsidR="002B0E89">
        <w:rPr>
          <w:rFonts w:ascii="XO Thames" w:hAnsi="XO Thames"/>
          <w:sz w:val="20"/>
          <w:szCs w:val="20"/>
        </w:rPr>
        <w:t>0</w:t>
      </w:r>
      <w:r>
        <w:rPr>
          <w:rFonts w:ascii="XO Thames" w:hAnsi="XO Thames"/>
          <w:sz w:val="20"/>
          <w:szCs w:val="20"/>
        </w:rPr>
        <w:t xml:space="preserve"> рабочих дней с момента заключения государственного контракта. Поставка товара осуществляется силами и средствами Поставщика с пн. по пт. с 9-00 ч. до 12-00 ч., с 13-00 ч. до 17-00 ч. (по местному времени МСК+1).</w:t>
      </w:r>
    </w:p>
    <w:p w14:paraId="1A161389" w14:textId="081F0209"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Поставка товара осуществляется путем его доставки на склад Заказчика, расположенный по адресу: Удмуртская Республика, </w:t>
      </w:r>
      <w:r w:rsidR="002B0E89">
        <w:rPr>
          <w:rFonts w:ascii="XO Thames" w:hAnsi="XO Thames"/>
          <w:sz w:val="20"/>
          <w:szCs w:val="20"/>
        </w:rPr>
        <w:t>г. Сарапул, ул 20 лет Победы, д. 27</w:t>
      </w:r>
      <w:r>
        <w:rPr>
          <w:rFonts w:ascii="XO Thames" w:hAnsi="XO Thames"/>
          <w:sz w:val="20"/>
          <w:szCs w:val="20"/>
        </w:rPr>
        <w:t>, ФКУ ИК-</w:t>
      </w:r>
      <w:r w:rsidR="002B0E89">
        <w:rPr>
          <w:rFonts w:ascii="XO Thames" w:hAnsi="XO Thames"/>
          <w:sz w:val="20"/>
          <w:szCs w:val="20"/>
        </w:rPr>
        <w:t>12</w:t>
      </w:r>
      <w:r>
        <w:rPr>
          <w:rFonts w:ascii="XO Thames" w:hAnsi="XO Thames"/>
          <w:sz w:val="20"/>
          <w:szCs w:val="20"/>
        </w:rPr>
        <w:t xml:space="preserve"> УФСИН России по Удмуртской Республике. Поставщик обязан уведомить Заказчика о дате поставки товара не позднее чем за 2 рабочих дня.</w:t>
      </w:r>
    </w:p>
    <w:p w14:paraId="5BF82DC8" w14:textId="77777777" w:rsidR="00217BB9" w:rsidRDefault="00000000">
      <w:pPr>
        <w:pStyle w:val="af9"/>
        <w:spacing w:after="0" w:line="240" w:lineRule="auto"/>
        <w:ind w:left="-567" w:firstLine="283"/>
        <w:jc w:val="both"/>
        <w:rPr>
          <w:rFonts w:ascii="XO Thames" w:hAnsi="XO Thames"/>
          <w:b/>
          <w:sz w:val="20"/>
          <w:szCs w:val="20"/>
        </w:rPr>
      </w:pPr>
      <w:r>
        <w:rPr>
          <w:rFonts w:ascii="XO Thames" w:hAnsi="XO Thames"/>
          <w:b/>
          <w:sz w:val="20"/>
          <w:szCs w:val="20"/>
        </w:rPr>
        <w:t>3.</w:t>
      </w:r>
      <w:r>
        <w:rPr>
          <w:rFonts w:ascii="XO Thames" w:hAnsi="XO Thames"/>
          <w:b/>
          <w:sz w:val="20"/>
          <w:szCs w:val="20"/>
        </w:rPr>
        <w:tab/>
        <w:t>Требования к товару:</w:t>
      </w:r>
    </w:p>
    <w:p w14:paraId="5B0148A4"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Поставляемый товар должен быть новым товаром (товаром, который не был в употреблении), без каких-либо ограничений (залог, запрет, арест и т.п.), допущенным к свободному обращению на территории Российской Федерации. </w:t>
      </w:r>
    </w:p>
    <w:p w14:paraId="5B4CA68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Товар должен соответствовать техническим и санитарным требованиям, а также нормам, стандартам, правилам, действующим на данном товарном рынке. Качество Товара должно подтверждаться прилагаемыми при поставке документами (сертификат соответствия (в случае обязательной сертификации) или декларация о соответствии) либо их копии, заверенные в установленном законодательством Российской Федерации порядке (при наличии).</w:t>
      </w:r>
    </w:p>
    <w:p w14:paraId="269C5E0F"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Товар должен быть упакован и маркирован в соответствии с действующим законодательством. Маркировка товара должна обеспечивать полную и однозначную идентификацию каждой единицы Товара при его приемке (в том числе текст на русском языке, рисунок и/или информационные знаки). Упаковка должна обеспечивать сохранность Товаров при транспортировке и погрузо-разгрузочных работах к конечному месту эксплуатации. </w:t>
      </w:r>
    </w:p>
    <w:p w14:paraId="57D12BF5"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Поставка товара должна осуществляться в таре и/или упаковке, обеспечивающей сохранность товара от повреждений при его погрузке-разгрузке, перевозке и длительном хранении в складском помещении. Упаковка </w:t>
      </w:r>
      <w:r>
        <w:rPr>
          <w:rFonts w:ascii="XO Thames" w:hAnsi="XO Thames"/>
          <w:sz w:val="20"/>
          <w:szCs w:val="20"/>
        </w:rPr>
        <w:lastRenderedPageBreak/>
        <w:t xml:space="preserve">(тара) товара и его комплектующих, транспортирование, хранение должно отвечать требованиям безопасности жизни, здоровья и охраны окружающей среды. </w:t>
      </w:r>
    </w:p>
    <w:p w14:paraId="0E902CED"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4C18282F"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Способ и условия транспортирования обеспечивает сохранность качества продукции и внешнего вида тары и устанавливается производителем. </w:t>
      </w:r>
    </w:p>
    <w:p w14:paraId="55CA73BB"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Безопасность поставляемого товара отвечают требованиям Федерального закона от 30.03.1999 № 52-ФЗ </w:t>
      </w:r>
      <w:r>
        <w:rPr>
          <w:rFonts w:ascii="XO Thames" w:hAnsi="XO Thames"/>
          <w:sz w:val="20"/>
          <w:szCs w:val="20"/>
        </w:rPr>
        <w:br/>
        <w:t>«О санитарно-эпидемиологическом благополучии населения».</w:t>
      </w:r>
    </w:p>
    <w:p w14:paraId="52C6B2E9" w14:textId="77777777" w:rsidR="00217BB9" w:rsidRDefault="00000000">
      <w:pPr>
        <w:pStyle w:val="af9"/>
        <w:spacing w:after="0" w:line="240" w:lineRule="auto"/>
        <w:ind w:left="-567" w:firstLine="283"/>
        <w:jc w:val="both"/>
        <w:rPr>
          <w:rFonts w:ascii="XO Thames" w:hAnsi="XO Thames"/>
          <w:b/>
          <w:sz w:val="20"/>
          <w:szCs w:val="20"/>
        </w:rPr>
      </w:pPr>
      <w:r>
        <w:rPr>
          <w:rFonts w:ascii="XO Thames" w:hAnsi="XO Thames"/>
          <w:b/>
          <w:sz w:val="20"/>
          <w:szCs w:val="20"/>
        </w:rPr>
        <w:t>4.</w:t>
      </w:r>
      <w:r>
        <w:rPr>
          <w:rFonts w:ascii="XO Thames" w:hAnsi="XO Thames"/>
          <w:b/>
          <w:sz w:val="20"/>
          <w:szCs w:val="20"/>
        </w:rPr>
        <w:tab/>
        <w:t>Требования к гарантийным обязательствам:</w:t>
      </w:r>
    </w:p>
    <w:p w14:paraId="2BCA76A7"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На поставляемый товар Поставщик предоставляет гарантию качества в соответствии с нормативными документами на данный вид товара, либо условиями гарантии изготовителя.</w:t>
      </w:r>
    </w:p>
    <w:p w14:paraId="1136AEA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Гарантийный срок на поставляемый товар должен составлять не менее 12 месяцев со дня подписания Сторонами документа о приемке поставленного товара. Гарантийный срок продлевается на срок устранения дефектов (поломок) товара. </w:t>
      </w:r>
    </w:p>
    <w:p w14:paraId="79D5EE5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Гарантийный срок производителя на поставляемый товар указывается в гарантийном талоне либо документе, его заменяющем. </w:t>
      </w:r>
    </w:p>
    <w:p w14:paraId="1F246A2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гарантийного срока, установленного производителем.</w:t>
      </w:r>
    </w:p>
    <w:p w14:paraId="5308193A"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Поставщик вместе с товаром передает Заказчику гарантийный талон либо документ, его заменяющий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Поставщика и производителя товара, ответственными за исполнение гарантийных обязательств. </w:t>
      </w:r>
    </w:p>
    <w:p w14:paraId="78BCAA79"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Срок устранения недостатков товара, выявленных в гарантийный период, либо его замены новым товаром не должен превышать 15 рабочих дней со дня передачи неисправного товара для доставки в сервисный центр специалистам Поставщика, либо со дня предоставления доступа к товару специалистам сервисного центра, прибывшим в место нахождения товара.  </w:t>
      </w:r>
    </w:p>
    <w:p w14:paraId="78E4CD14"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 указанный срок также входит время на:</w:t>
      </w:r>
    </w:p>
    <w:p w14:paraId="7C9C7278"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ремонт, замену товара;</w:t>
      </w:r>
    </w:p>
    <w:p w14:paraId="18E06FB0"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доставку отремонтированного, замененного товара Заказчику.</w:t>
      </w:r>
    </w:p>
    <w:p w14:paraId="752983C8"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Гарантийный ремонт может осуществляться в месте нахождения товара, с согласия Заказчика.</w:t>
      </w:r>
    </w:p>
    <w:p w14:paraId="54B18F7C"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Заказчик вправе предъявлять требования, связанные с ненадлежащим качеством поставленного товара, в течение установленного гарантийного срока. </w:t>
      </w:r>
    </w:p>
    <w:p w14:paraId="3ADA5D64"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 период гарантийного срока Поставщик обязуется за свой счет производить необходимый ремонт, устранение недостатков товара (поломка, брак и т.д.) в соответствии с требованиями гражданского законодательства Российской Федерации, либо осуществлять замену товара.</w:t>
      </w:r>
    </w:p>
    <w:p w14:paraId="663D9AE5"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Замена товара на новый осуществляется всегда, когда Поставщиком заявлено о невозможности ремонта товара и (или) превышены сроки осуществления ремонта товара, и (или) повторно выявлены недостатки одного и того же товара в пределах гарантийного срока.</w:t>
      </w:r>
    </w:p>
    <w:p w14:paraId="646C2DAA"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При выявлении Заказчиком недостатков поставленного товара составляется соответствующий акт. Для участия в составлении акта, фиксирующего недостатки (дефекты) поставленного товара, согласования порядка их устранения, представитель Поставщика обязан прибыть не позднее чем через 3 рабочих дня со дня получения уведомления.</w:t>
      </w:r>
    </w:p>
    <w:p w14:paraId="2520B0DF"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Ненаправление, неприбытие представителя Поставщика для составления акта, фиксирующего недостатки рассматривается сторонами как согласие Поставщика на составление данного акта без его участия. При этом составленный в данном случае акт признается сторонами как надлежащим образом оформленный.</w:t>
      </w:r>
    </w:p>
    <w:p w14:paraId="722E13E1"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Извещение Поставщика, направление акта, фиксирующего недостатки товара возможно с использованием электронной почты, указанной в реквизитах настоящего Контракта, путем направления электронной копии документа, с последующим направлением в адрес стороны оригинала документа. Получение указанной корреспонденции на адреса электронной почты признается сторонами как надлежащее извещение и уведомление об обстоятельствах.</w:t>
      </w:r>
    </w:p>
    <w:p w14:paraId="6CBD99C5"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Все затраты, включая, но не ограничиваясь, проведение экспертизы (диагностики) товара, доставку товара в место производства ремонта и обратно, стоимость запасных частей, упаковку, оплату работ несет Поставщик.</w:t>
      </w:r>
    </w:p>
    <w:p w14:paraId="40C0FE4C"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 случае наличия спора относительно причин возникновения недостатков товара, Поставщик вправе провести соответствующую экспертизу (диагностику) товара, при этом оплата экспертизы осуществляется за счет Поставщика. Поставщик обязан обеспечить присутствие представителя Заказчика при проведении экспертизы товара. Товар представляется на экспертизу Заказчиком и до ее начала Поставщику не передается.</w:t>
      </w:r>
    </w:p>
    <w:p w14:paraId="46E87A75"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14:paraId="5FAEB3F7" w14:textId="471807FB"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При неисполнении и(или) ненадлежащем исполнении Поставщиком гарантийных обязательств, </w:t>
      </w:r>
      <w:r w:rsidR="002B0E89">
        <w:rPr>
          <w:rFonts w:ascii="XO Thames" w:hAnsi="XO Thames"/>
          <w:sz w:val="20"/>
          <w:szCs w:val="20"/>
        </w:rPr>
        <w:t>как-то</w:t>
      </w:r>
      <w:r>
        <w:rPr>
          <w:rFonts w:ascii="XO Thames" w:hAnsi="XO Thames"/>
          <w:sz w:val="20"/>
          <w:szCs w:val="20"/>
        </w:rPr>
        <w:t>:</w:t>
      </w:r>
    </w:p>
    <w:p w14:paraId="4C3B0649"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lastRenderedPageBreak/>
        <w:t>- отказ Поставщика, производителя устранить недостатки товара;</w:t>
      </w:r>
    </w:p>
    <w:p w14:paraId="0F6D0C84"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значительное превышение сроков ремонта, замены товара (более чем 2 раза);</w:t>
      </w:r>
    </w:p>
    <w:p w14:paraId="6585F04E"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 xml:space="preserve">- повторное выявление недостатков одного и того же товара в пределах одного года, </w:t>
      </w:r>
    </w:p>
    <w:p w14:paraId="5E60BDB2"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Заказчик вправе устранить недостатки товара за свой счет с последующим отнесением понесенных затрат на Поставщика, а также удержать обеспечение исполнения гарантийных обязательств, предоставленное Поставщиком.</w:t>
      </w:r>
    </w:p>
    <w:p w14:paraId="405A3BF1"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К гарантийным случаям безоговорочно относится:</w:t>
      </w:r>
    </w:p>
    <w:p w14:paraId="60BA6411"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выход Товара из строя не по вине Заказчика;</w:t>
      </w:r>
    </w:p>
    <w:p w14:paraId="699DC002" w14:textId="77777777" w:rsidR="00217BB9" w:rsidRDefault="00000000">
      <w:pPr>
        <w:pStyle w:val="af9"/>
        <w:spacing w:after="0" w:line="240" w:lineRule="auto"/>
        <w:ind w:left="-567" w:firstLine="283"/>
        <w:jc w:val="both"/>
        <w:rPr>
          <w:rFonts w:ascii="XO Thames" w:hAnsi="XO Thames"/>
          <w:sz w:val="20"/>
          <w:szCs w:val="20"/>
        </w:rPr>
      </w:pPr>
      <w:r>
        <w:rPr>
          <w:rFonts w:ascii="XO Thames" w:hAnsi="XO Thames"/>
          <w:sz w:val="20"/>
          <w:szCs w:val="20"/>
        </w:rPr>
        <w:t>функционирование товара при утрате одной или нескольких из его функций не по вине Заказчика.</w:t>
      </w:r>
    </w:p>
    <w:p w14:paraId="63DBF2C7" w14:textId="77777777" w:rsidR="00217BB9" w:rsidRDefault="00000000">
      <w:pPr>
        <w:shd w:val="clear" w:color="auto" w:fill="FFFFFF"/>
        <w:tabs>
          <w:tab w:val="left" w:pos="34"/>
          <w:tab w:val="left" w:pos="600"/>
          <w:tab w:val="left" w:pos="1200"/>
        </w:tabs>
        <w:spacing w:after="0" w:line="240" w:lineRule="auto"/>
        <w:ind w:left="-567" w:firstLine="283"/>
        <w:jc w:val="both"/>
        <w:rPr>
          <w:rFonts w:ascii="XO Thames" w:hAnsi="XO Thames" w:cs="Times New Roman"/>
          <w:b/>
          <w:bCs/>
          <w:i/>
          <w:sz w:val="20"/>
        </w:rPr>
      </w:pPr>
      <w:r>
        <w:rPr>
          <w:rFonts w:ascii="XO Thames" w:hAnsi="XO Thames" w:cs="Times New Roman"/>
          <w:b/>
          <w:bCs/>
          <w:i/>
          <w:sz w:val="20"/>
        </w:rPr>
        <w:t>Сопроводительные документы.</w:t>
      </w:r>
    </w:p>
    <w:p w14:paraId="07FDA545" w14:textId="77777777" w:rsidR="00217BB9" w:rsidRDefault="00000000">
      <w:pPr>
        <w:tabs>
          <w:tab w:val="left" w:pos="426"/>
        </w:tabs>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ab/>
      </w:r>
      <w:r>
        <w:rPr>
          <w:rFonts w:ascii="XO Thames" w:hAnsi="XO Thames" w:cs="Times New Roman"/>
          <w:sz w:val="20"/>
          <w:lang w:eastAsia="ru-RU"/>
        </w:rPr>
        <w:tab/>
        <w:t xml:space="preserve">На поставляемый товар Поставщик обязан представить Заказчику следующие сопроводительные документы: </w:t>
      </w:r>
    </w:p>
    <w:p w14:paraId="28BA0DE7" w14:textId="77777777" w:rsidR="00217BB9" w:rsidRDefault="00000000">
      <w:pPr>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 xml:space="preserve">-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w:t>
      </w:r>
      <w:r>
        <w:rPr>
          <w:rFonts w:ascii="XO Thames" w:hAnsi="XO Thames" w:cs="Times New Roman"/>
          <w:sz w:val="20"/>
          <w:lang w:eastAsia="ru-RU"/>
        </w:rPr>
        <w:br/>
        <w:t>или его копия, заверенная в установленном законодательством Российской Федерации порядке (при наличии);</w:t>
      </w:r>
    </w:p>
    <w:p w14:paraId="04B4157D" w14:textId="77777777" w:rsidR="00217BB9" w:rsidRDefault="00000000">
      <w:pPr>
        <w:tabs>
          <w:tab w:val="left" w:pos="709"/>
        </w:tabs>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 Счет-фактуру, либо иной первичный учётный документ;</w:t>
      </w:r>
    </w:p>
    <w:p w14:paraId="0BA9033A" w14:textId="77777777" w:rsidR="00217BB9" w:rsidRDefault="00217BB9">
      <w:pPr>
        <w:tabs>
          <w:tab w:val="left" w:pos="709"/>
        </w:tabs>
        <w:spacing w:after="0" w:line="240" w:lineRule="auto"/>
        <w:ind w:left="-567" w:firstLine="283"/>
        <w:jc w:val="both"/>
        <w:rPr>
          <w:rFonts w:ascii="XO Thames" w:hAnsi="XO Thames" w:cs="Times New Roman"/>
          <w:sz w:val="20"/>
          <w:lang w:eastAsia="ru-RU"/>
        </w:rPr>
      </w:pPr>
    </w:p>
    <w:p w14:paraId="6DED7EFE" w14:textId="77777777" w:rsidR="00217BB9" w:rsidRDefault="00217BB9">
      <w:pPr>
        <w:tabs>
          <w:tab w:val="left" w:pos="709"/>
        </w:tabs>
        <w:spacing w:after="0" w:line="240" w:lineRule="auto"/>
        <w:ind w:left="-567" w:firstLine="283"/>
        <w:jc w:val="both"/>
        <w:rPr>
          <w:rFonts w:ascii="XO Thames" w:hAnsi="XO Thames" w:cs="Times New Roman"/>
          <w:sz w:val="20"/>
          <w:lang w:eastAsia="ru-RU"/>
        </w:rPr>
      </w:pPr>
    </w:p>
    <w:p w14:paraId="00706EAA" w14:textId="42A57DDD" w:rsidR="00217BB9" w:rsidRDefault="002B0E89">
      <w:pPr>
        <w:tabs>
          <w:tab w:val="left" w:pos="709"/>
        </w:tabs>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 xml:space="preserve">Начальник ОВРО </w:t>
      </w:r>
    </w:p>
    <w:p w14:paraId="0F2C3890" w14:textId="4CC538C0" w:rsidR="002B0E89" w:rsidRDefault="002B0E89" w:rsidP="002B0E89">
      <w:pPr>
        <w:tabs>
          <w:tab w:val="left" w:pos="709"/>
          <w:tab w:val="left" w:pos="6914"/>
        </w:tabs>
        <w:spacing w:after="0" w:line="240" w:lineRule="auto"/>
        <w:ind w:left="-567" w:firstLine="283"/>
        <w:jc w:val="both"/>
        <w:rPr>
          <w:rFonts w:ascii="XO Thames" w:hAnsi="XO Thames" w:cs="Times New Roman"/>
          <w:sz w:val="20"/>
          <w:lang w:eastAsia="ru-RU"/>
        </w:rPr>
      </w:pPr>
      <w:r>
        <w:rPr>
          <w:rFonts w:ascii="XO Thames" w:hAnsi="XO Thames" w:cs="Times New Roman"/>
          <w:sz w:val="20"/>
          <w:lang w:eastAsia="ru-RU"/>
        </w:rPr>
        <w:t>майор внутренней службы</w:t>
      </w:r>
      <w:r>
        <w:rPr>
          <w:rFonts w:ascii="XO Thames" w:hAnsi="XO Thames" w:cs="Times New Roman"/>
          <w:sz w:val="20"/>
          <w:lang w:eastAsia="ru-RU"/>
        </w:rPr>
        <w:tab/>
        <w:t xml:space="preserve">                      А.Ю. Калугина</w:t>
      </w:r>
    </w:p>
    <w:sectPr w:rsidR="002B0E89">
      <w:pgSz w:w="11906" w:h="16838"/>
      <w:pgMar w:top="1276"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9A98" w14:textId="77777777" w:rsidR="00FF22D5" w:rsidRDefault="00FF22D5">
      <w:pPr>
        <w:spacing w:after="0" w:line="240" w:lineRule="auto"/>
      </w:pPr>
      <w:r>
        <w:separator/>
      </w:r>
    </w:p>
  </w:endnote>
  <w:endnote w:type="continuationSeparator" w:id="0">
    <w:p w14:paraId="7D85FEAD" w14:textId="77777777" w:rsidR="00FF22D5" w:rsidRDefault="00FF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E7C7" w14:textId="77777777" w:rsidR="00FF22D5" w:rsidRDefault="00FF22D5">
      <w:pPr>
        <w:spacing w:after="0" w:line="240" w:lineRule="auto"/>
      </w:pPr>
      <w:r>
        <w:separator/>
      </w:r>
    </w:p>
  </w:footnote>
  <w:footnote w:type="continuationSeparator" w:id="0">
    <w:p w14:paraId="7455AD6E" w14:textId="77777777" w:rsidR="00FF22D5" w:rsidRDefault="00FF2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25B47"/>
    <w:multiLevelType w:val="hybridMultilevel"/>
    <w:tmpl w:val="1DE431AE"/>
    <w:lvl w:ilvl="0" w:tplc="5484AC0E">
      <w:start w:val="1"/>
      <w:numFmt w:val="decimal"/>
      <w:lvlText w:val="%1."/>
      <w:lvlJc w:val="left"/>
      <w:pPr>
        <w:ind w:left="720" w:hanging="360"/>
      </w:pPr>
      <w:rPr>
        <w:sz w:val="20"/>
        <w:szCs w:val="20"/>
      </w:rPr>
    </w:lvl>
    <w:lvl w:ilvl="1" w:tplc="2E66861A">
      <w:start w:val="1"/>
      <w:numFmt w:val="lowerLetter"/>
      <w:lvlText w:val="%2."/>
      <w:lvlJc w:val="left"/>
      <w:pPr>
        <w:ind w:left="1440" w:hanging="360"/>
      </w:pPr>
    </w:lvl>
    <w:lvl w:ilvl="2" w:tplc="20085618">
      <w:start w:val="1"/>
      <w:numFmt w:val="lowerRoman"/>
      <w:lvlText w:val="%3."/>
      <w:lvlJc w:val="right"/>
      <w:pPr>
        <w:ind w:left="2160" w:hanging="180"/>
      </w:pPr>
    </w:lvl>
    <w:lvl w:ilvl="3" w:tplc="3BAA34FA">
      <w:start w:val="1"/>
      <w:numFmt w:val="decimal"/>
      <w:lvlText w:val="%4."/>
      <w:lvlJc w:val="left"/>
      <w:pPr>
        <w:ind w:left="2880" w:hanging="360"/>
      </w:pPr>
    </w:lvl>
    <w:lvl w:ilvl="4" w:tplc="A7BC41B6">
      <w:start w:val="1"/>
      <w:numFmt w:val="lowerLetter"/>
      <w:lvlText w:val="%5."/>
      <w:lvlJc w:val="left"/>
      <w:pPr>
        <w:ind w:left="3600" w:hanging="360"/>
      </w:pPr>
    </w:lvl>
    <w:lvl w:ilvl="5" w:tplc="41DACF8A">
      <w:start w:val="1"/>
      <w:numFmt w:val="lowerRoman"/>
      <w:lvlText w:val="%6."/>
      <w:lvlJc w:val="right"/>
      <w:pPr>
        <w:ind w:left="4320" w:hanging="180"/>
      </w:pPr>
    </w:lvl>
    <w:lvl w:ilvl="6" w:tplc="948C6B60">
      <w:start w:val="1"/>
      <w:numFmt w:val="decimal"/>
      <w:lvlText w:val="%7."/>
      <w:lvlJc w:val="left"/>
      <w:pPr>
        <w:ind w:left="5040" w:hanging="360"/>
      </w:pPr>
    </w:lvl>
    <w:lvl w:ilvl="7" w:tplc="9D1E0A0C">
      <w:start w:val="1"/>
      <w:numFmt w:val="lowerLetter"/>
      <w:lvlText w:val="%8."/>
      <w:lvlJc w:val="left"/>
      <w:pPr>
        <w:ind w:left="5760" w:hanging="360"/>
      </w:pPr>
    </w:lvl>
    <w:lvl w:ilvl="8" w:tplc="DF8EE5F4">
      <w:start w:val="1"/>
      <w:numFmt w:val="lowerRoman"/>
      <w:lvlText w:val="%9."/>
      <w:lvlJc w:val="right"/>
      <w:pPr>
        <w:ind w:left="6480" w:hanging="180"/>
      </w:pPr>
    </w:lvl>
  </w:abstractNum>
  <w:num w:numId="1" w16cid:durableId="63872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B9"/>
    <w:rsid w:val="0001702A"/>
    <w:rsid w:val="000432C1"/>
    <w:rsid w:val="001A1852"/>
    <w:rsid w:val="00217BB9"/>
    <w:rsid w:val="002B0E89"/>
    <w:rsid w:val="005314C5"/>
    <w:rsid w:val="009A1917"/>
    <w:rsid w:val="009E63FD"/>
    <w:rsid w:val="00AA74A3"/>
    <w:rsid w:val="00DA4FD2"/>
    <w:rsid w:val="00FF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8C19"/>
  <w15:docId w15:val="{454F470B-7202-4D2A-918C-0572777D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spacing w:before="240" w:after="60" w:line="276" w:lineRule="auto"/>
      <w:outlineLvl w:val="0"/>
    </w:pPr>
    <w:rPr>
      <w:rFonts w:ascii="Arial" w:eastAsia="Times New Roman" w:hAnsi="Arial" w:cs="Times New Roman"/>
      <w:b/>
      <w:bCs/>
      <w:sz w:val="32"/>
      <w:szCs w:val="32"/>
      <w:lang w:eastAsia="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Pr>
      <w:rFonts w:ascii="Arial" w:eastAsia="Times New Roman" w:hAnsi="Arial" w:cs="Times New Roman"/>
      <w:b/>
      <w:bCs/>
      <w:sz w:val="32"/>
      <w:szCs w:val="32"/>
      <w:lang w:eastAsia="ar-SA"/>
    </w:rPr>
  </w:style>
  <w:style w:type="paragraph" w:styleId="af9">
    <w:name w:val="Body Text"/>
    <w:basedOn w:val="a"/>
    <w:link w:val="afa"/>
    <w:pPr>
      <w:spacing w:after="120" w:line="276" w:lineRule="auto"/>
    </w:pPr>
    <w:rPr>
      <w:rFonts w:ascii="Calibri" w:eastAsia="Times New Roman" w:hAnsi="Calibri" w:cs="Times New Roman"/>
      <w:lang w:eastAsia="ar-SA"/>
    </w:rPr>
  </w:style>
  <w:style w:type="character" w:customStyle="1" w:styleId="afa">
    <w:name w:val="Основной текст Знак"/>
    <w:basedOn w:val="a0"/>
    <w:link w:val="af9"/>
    <w:rPr>
      <w:rFonts w:ascii="Calibri" w:eastAsia="Times New Roman" w:hAnsi="Calibri" w:cs="Times New Roman"/>
      <w:lang w:eastAsia="ar-SA"/>
    </w:rPr>
  </w:style>
  <w:style w:type="paragraph" w:styleId="afb">
    <w:name w:val="No Spacing"/>
    <w:uiPriority w:val="1"/>
    <w:qFormat/>
    <w:pPr>
      <w:spacing w:after="0" w:line="240" w:lineRule="auto"/>
    </w:pPr>
    <w:rPr>
      <w:rFonts w:ascii="Calibri" w:eastAsia="Times New Roman" w:hAnsi="Calibri" w:cs="Times New Roman"/>
      <w:lang w:eastAsia="ru-RU"/>
    </w:rPr>
  </w:style>
  <w:style w:type="character" w:customStyle="1" w:styleId="blk">
    <w:name w:val="blk"/>
    <w:rPr>
      <w:rFonts w:cs="Times New Roman"/>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Pr>
      <w:rFonts w:ascii="Segoe UI" w:hAnsi="Segoe UI" w:cs="Segoe UI"/>
      <w:sz w:val="18"/>
      <w:szCs w:val="18"/>
    </w:rPr>
  </w:style>
  <w:style w:type="character" w:styleId="afe">
    <w:name w:val="Hyperlink"/>
    <w:basedOn w:val="a0"/>
    <w:uiPriority w:val="99"/>
    <w:unhideWhenUsed/>
    <w:rPr>
      <w:color w:val="0000FF"/>
      <w:u w:val="single"/>
    </w:rPr>
  </w:style>
  <w:style w:type="character" w:styleId="aff">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1371</Words>
  <Characters>7816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АТС</dc:creator>
  <cp:lastModifiedBy>Юрисконсульт</cp:lastModifiedBy>
  <cp:revision>4</cp:revision>
  <cp:lastPrinted>2026-05-25T14:35:00Z</cp:lastPrinted>
  <dcterms:created xsi:type="dcterms:W3CDTF">2026-05-25T14:35:00Z</dcterms:created>
  <dcterms:modified xsi:type="dcterms:W3CDTF">2026-05-28T10:32:00Z</dcterms:modified>
</cp:coreProperties>
</file>