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A8" w:rsidRDefault="00C1050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BA61A8" w:rsidRDefault="00C1050E">
      <w:pPr>
        <w:pStyle w:val="af1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 по утилизации медицинского оборудования</w:t>
      </w:r>
    </w:p>
    <w:p w:rsidR="00BA61A8" w:rsidRDefault="00C1050E">
      <w:pPr>
        <w:pStyle w:val="af1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Наименование предмета закупки</w:t>
      </w:r>
      <w:r>
        <w:rPr>
          <w:rFonts w:ascii="Times New Roman" w:hAnsi="Times New Roman"/>
        </w:rPr>
        <w:t xml:space="preserve">: оказание услуги по утилизации </w:t>
      </w:r>
      <w:r>
        <w:rPr>
          <w:rFonts w:ascii="Times New Roman" w:hAnsi="Times New Roman"/>
        </w:rPr>
        <w:t>оборудования</w:t>
      </w:r>
      <w:r>
        <w:rPr>
          <w:rFonts w:ascii="Times New Roman" w:hAnsi="Times New Roman"/>
          <w:color w:val="000000"/>
        </w:rPr>
        <w:t>.</w:t>
      </w:r>
    </w:p>
    <w:p w:rsidR="00BA61A8" w:rsidRDefault="00C1050E">
      <w:pPr>
        <w:pStyle w:val="af1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Цели оказываемых услуг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000000"/>
        </w:rPr>
        <w:t>утилизация утративших потреби</w:t>
      </w:r>
      <w:r>
        <w:rPr>
          <w:rFonts w:ascii="Times New Roman" w:hAnsi="Times New Roman"/>
          <w:color w:val="000000"/>
        </w:rPr>
        <w:t xml:space="preserve">тельские свойства, не подлежащие ремонту и восстановлению </w:t>
      </w:r>
      <w:r>
        <w:rPr>
          <w:rFonts w:ascii="Times New Roman" w:hAnsi="Times New Roman"/>
          <w:color w:val="000000"/>
        </w:rPr>
        <w:t>оборудования.</w:t>
      </w:r>
    </w:p>
    <w:p w:rsidR="00BA61A8" w:rsidRDefault="00C1050E">
      <w:pPr>
        <w:pStyle w:val="af1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Наименование и характеристики оказываемых услуг</w:t>
      </w:r>
      <w:r>
        <w:rPr>
          <w:rFonts w:ascii="Times New Roman" w:hAnsi="Times New Roman"/>
        </w:rPr>
        <w:t xml:space="preserve">: 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245"/>
        <w:gridCol w:w="1654"/>
        <w:gridCol w:w="4185"/>
      </w:tblGrid>
      <w:tr w:rsidR="00BA61A8">
        <w:trPr>
          <w:trHeight w:val="607"/>
        </w:trPr>
        <w:tc>
          <w:tcPr>
            <w:tcW w:w="743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45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54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185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</w:p>
        </w:tc>
      </w:tr>
      <w:tr w:rsidR="00BA61A8">
        <w:trPr>
          <w:trHeight w:val="3009"/>
        </w:trPr>
        <w:tc>
          <w:tcPr>
            <w:tcW w:w="743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45" w:type="dxa"/>
          </w:tcPr>
          <w:p w:rsidR="00BA61A8" w:rsidRDefault="00C1050E">
            <w:pPr>
              <w:pStyle w:val="af1"/>
              <w:tabs>
                <w:tab w:val="left" w:pos="0"/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утилизации </w:t>
            </w:r>
            <w:r>
              <w:rPr>
                <w:rFonts w:ascii="Times New Roman" w:hAnsi="Times New Roman"/>
              </w:rPr>
              <w:t>оборудования</w:t>
            </w:r>
          </w:p>
          <w:p w:rsidR="00BA61A8" w:rsidRDefault="00BA61A8" w:rsidP="005C52C7">
            <w:pPr>
              <w:tabs>
                <w:tab w:val="left" w:pos="963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BA61A8" w:rsidRDefault="00C1050E">
            <w:pPr>
              <w:tabs>
                <w:tab w:val="left" w:pos="9639"/>
              </w:tabs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4185" w:type="dxa"/>
          </w:tcPr>
          <w:p w:rsidR="00BA61A8" w:rsidRDefault="005C52C7">
            <w:pPr>
              <w:tabs>
                <w:tab w:val="left" w:pos="9639"/>
              </w:tabs>
              <w:spacing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утилизации </w:t>
            </w:r>
            <w:r w:rsidR="00C1050E">
              <w:rPr>
                <w:sz w:val="24"/>
                <w:szCs w:val="24"/>
              </w:rPr>
              <w:t xml:space="preserve"> оборудования  включает в себя:</w:t>
            </w:r>
          </w:p>
          <w:p w:rsidR="00BA61A8" w:rsidRDefault="00C1050E">
            <w:pPr>
              <w:tabs>
                <w:tab w:val="left" w:pos="9639"/>
              </w:tabs>
              <w:spacing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выезд специалиста Исполнителя </w:t>
            </w:r>
          </w:p>
          <w:p w:rsidR="00BA61A8" w:rsidRDefault="00C1050E">
            <w:pPr>
              <w:tabs>
                <w:tab w:val="left" w:pos="9639"/>
              </w:tabs>
              <w:spacing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и утилизация медицинского оборудования. </w:t>
            </w:r>
          </w:p>
          <w:p w:rsidR="00BA61A8" w:rsidRDefault="00C1050E">
            <w:pPr>
              <w:tabs>
                <w:tab w:val="left" w:pos="9639"/>
              </w:tabs>
              <w:spacing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актов утилизации основных средств</w:t>
            </w:r>
          </w:p>
        </w:tc>
      </w:tr>
    </w:tbl>
    <w:p w:rsidR="00BA61A8" w:rsidRDefault="00C1050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sz w:val="24"/>
          <w:szCs w:val="24"/>
        </w:rPr>
        <w:t>Место нахождения оборудования</w:t>
      </w:r>
      <w:r>
        <w:rPr>
          <w:sz w:val="24"/>
          <w:szCs w:val="24"/>
        </w:rPr>
        <w:t xml:space="preserve">: </w:t>
      </w:r>
    </w:p>
    <w:p w:rsidR="00BA61A8" w:rsidRDefault="00C1050E">
      <w:pPr>
        <w:jc w:val="both"/>
        <w:rPr>
          <w:szCs w:val="24"/>
        </w:rPr>
      </w:pPr>
      <w:r>
        <w:rPr>
          <w:sz w:val="22"/>
        </w:rPr>
        <w:t xml:space="preserve">1. </w:t>
      </w:r>
      <w:r>
        <w:rPr>
          <w:rFonts w:ascii="Times New Roman CYR" w:hAnsi="Times New Roman CYR" w:cs="Times New Roman CYR"/>
          <w:sz w:val="22"/>
        </w:rPr>
        <w:t xml:space="preserve">Университетская клиника, г. Нижний Новгород, 603155, Верхневолжская набережная, д.18/1, 603950, ул. Семашко, д.22, ул. </w:t>
      </w:r>
      <w:proofErr w:type="spellStart"/>
      <w:r>
        <w:rPr>
          <w:rFonts w:ascii="Times New Roman CYR" w:hAnsi="Times New Roman CYR" w:cs="Times New Roman CYR"/>
          <w:sz w:val="22"/>
        </w:rPr>
        <w:t>Невзоровых</w:t>
      </w:r>
      <w:proofErr w:type="spellEnd"/>
      <w:r>
        <w:rPr>
          <w:rFonts w:ascii="Times New Roman CYR" w:hAnsi="Times New Roman CYR" w:cs="Times New Roman CYR"/>
          <w:sz w:val="22"/>
        </w:rPr>
        <w:t>, 100</w:t>
      </w:r>
      <w:r>
        <w:rPr>
          <w:rFonts w:ascii="Times New Roman CYR" w:hAnsi="Times New Roman CYR" w:cs="Times New Roman CYR"/>
          <w:sz w:val="22"/>
        </w:rPr>
        <w:tab/>
      </w:r>
    </w:p>
    <w:p w:rsidR="00BA61A8" w:rsidRDefault="00C1050E">
      <w:pPr>
        <w:jc w:val="both"/>
      </w:pPr>
      <w:r>
        <w:rPr>
          <w:sz w:val="22"/>
        </w:rPr>
        <w:t xml:space="preserve">2. </w:t>
      </w:r>
      <w:r>
        <w:rPr>
          <w:rFonts w:ascii="Times New Roman CYR" w:hAnsi="Times New Roman CYR" w:cs="Times New Roman CYR"/>
          <w:sz w:val="22"/>
        </w:rPr>
        <w:t>Учебный корпус № 1, 603005, г. Нижний Новгород, пл. Минина и Пожарского, д. 10/1</w:t>
      </w:r>
    </w:p>
    <w:p w:rsidR="00BA61A8" w:rsidRDefault="00C1050E">
      <w:pPr>
        <w:jc w:val="both"/>
      </w:pPr>
      <w:r>
        <w:rPr>
          <w:sz w:val="22"/>
        </w:rPr>
        <w:t xml:space="preserve">3. </w:t>
      </w:r>
      <w:r>
        <w:rPr>
          <w:rFonts w:ascii="Times New Roman CYR" w:hAnsi="Times New Roman CYR" w:cs="Times New Roman CYR"/>
          <w:sz w:val="22"/>
        </w:rPr>
        <w:t>Учебный корпус № 4, 603093, г. Нижний Новгород, ул. Родионова, д. 190а;</w:t>
      </w:r>
    </w:p>
    <w:p w:rsidR="00BA61A8" w:rsidRDefault="00C1050E">
      <w:pPr>
        <w:jc w:val="both"/>
      </w:pPr>
      <w:r>
        <w:rPr>
          <w:sz w:val="22"/>
        </w:rPr>
        <w:t xml:space="preserve">4. </w:t>
      </w:r>
      <w:r>
        <w:rPr>
          <w:rFonts w:ascii="Times New Roman CYR" w:hAnsi="Times New Roman CYR" w:cs="Times New Roman CYR"/>
          <w:sz w:val="22"/>
        </w:rPr>
        <w:t>Ученый корпус № 5, 603000, г. Нижний Новгород, ул. Минина, д. 20а</w:t>
      </w:r>
    </w:p>
    <w:p w:rsidR="00BA61A8" w:rsidRDefault="00C1050E">
      <w:pPr>
        <w:jc w:val="both"/>
      </w:pPr>
      <w:r>
        <w:rPr>
          <w:sz w:val="22"/>
        </w:rPr>
        <w:t xml:space="preserve">5. </w:t>
      </w:r>
      <w:r>
        <w:rPr>
          <w:rFonts w:ascii="Times New Roman CYR" w:hAnsi="Times New Roman CYR" w:cs="Times New Roman CYR"/>
          <w:sz w:val="22"/>
        </w:rPr>
        <w:t>Учебный корпус № 7, 603000, г. Нижний Новгород, ул. Алексеевская, д. 8а/1;</w:t>
      </w:r>
    </w:p>
    <w:p w:rsidR="00BA61A8" w:rsidRDefault="00C1050E">
      <w:pPr>
        <w:jc w:val="both"/>
      </w:pPr>
      <w:r>
        <w:rPr>
          <w:sz w:val="22"/>
        </w:rPr>
        <w:t xml:space="preserve">6. </w:t>
      </w:r>
      <w:r>
        <w:rPr>
          <w:rFonts w:ascii="Times New Roman CYR" w:hAnsi="Times New Roman CYR" w:cs="Times New Roman CYR"/>
          <w:sz w:val="22"/>
        </w:rPr>
        <w:t>Учебный корпус № 8, 603005, г. Ниж</w:t>
      </w:r>
      <w:r>
        <w:rPr>
          <w:rFonts w:ascii="Times New Roman CYR" w:hAnsi="Times New Roman CYR" w:cs="Times New Roman CYR"/>
          <w:sz w:val="22"/>
        </w:rPr>
        <w:t>ний Новгород, ул. Алексеевская, д. 1;</w:t>
      </w:r>
    </w:p>
    <w:p w:rsidR="00BA61A8" w:rsidRDefault="00C1050E">
      <w:pPr>
        <w:jc w:val="both"/>
      </w:pPr>
      <w:r>
        <w:rPr>
          <w:sz w:val="22"/>
        </w:rPr>
        <w:t xml:space="preserve">7. </w:t>
      </w:r>
      <w:r>
        <w:rPr>
          <w:rFonts w:ascii="Times New Roman CYR" w:hAnsi="Times New Roman CYR" w:cs="Times New Roman CYR"/>
          <w:sz w:val="22"/>
        </w:rPr>
        <w:t>Общежитие № 1, г. Нижний Новгород  ул. Медицинская, д. 5а</w:t>
      </w:r>
    </w:p>
    <w:p w:rsidR="00BA61A8" w:rsidRDefault="00C1050E">
      <w:pPr>
        <w:jc w:val="both"/>
      </w:pPr>
      <w:r>
        <w:rPr>
          <w:sz w:val="22"/>
        </w:rPr>
        <w:t xml:space="preserve">8. </w:t>
      </w:r>
      <w:r>
        <w:rPr>
          <w:rFonts w:ascii="Times New Roman CYR" w:hAnsi="Times New Roman CYR" w:cs="Times New Roman CYR"/>
          <w:sz w:val="22"/>
        </w:rPr>
        <w:t>Общежитие №2, г. Нижний Новгород, пр. Гагарина, 68</w:t>
      </w:r>
    </w:p>
    <w:p w:rsidR="00BA61A8" w:rsidRDefault="00C1050E">
      <w:pPr>
        <w:jc w:val="both"/>
      </w:pPr>
      <w:r>
        <w:rPr>
          <w:sz w:val="22"/>
        </w:rPr>
        <w:t xml:space="preserve">9. </w:t>
      </w:r>
      <w:r>
        <w:rPr>
          <w:rFonts w:ascii="Times New Roman CYR" w:hAnsi="Times New Roman CYR" w:cs="Times New Roman CYR"/>
          <w:sz w:val="22"/>
        </w:rPr>
        <w:t>Общежитие №3, г. Нижний Новгород, ул. Медицинская, д. 5</w:t>
      </w:r>
    </w:p>
    <w:p w:rsidR="00BA61A8" w:rsidRDefault="00C1050E">
      <w:pPr>
        <w:jc w:val="both"/>
      </w:pPr>
      <w:r>
        <w:rPr>
          <w:sz w:val="22"/>
        </w:rPr>
        <w:t xml:space="preserve">10. </w:t>
      </w:r>
      <w:r>
        <w:rPr>
          <w:rFonts w:ascii="Times New Roman CYR" w:hAnsi="Times New Roman CYR" w:cs="Times New Roman CYR"/>
          <w:sz w:val="22"/>
        </w:rPr>
        <w:t>Общежитие №4, г. Нижний Новгород, ул. Ме</w:t>
      </w:r>
      <w:r>
        <w:rPr>
          <w:rFonts w:ascii="Times New Roman CYR" w:hAnsi="Times New Roman CYR" w:cs="Times New Roman CYR"/>
          <w:sz w:val="22"/>
        </w:rPr>
        <w:t>дицинская, д. За</w:t>
      </w:r>
    </w:p>
    <w:p w:rsidR="00BA61A8" w:rsidRDefault="00C1050E">
      <w:pPr>
        <w:jc w:val="both"/>
      </w:pPr>
      <w:r>
        <w:rPr>
          <w:sz w:val="22"/>
        </w:rPr>
        <w:t xml:space="preserve">11. </w:t>
      </w:r>
      <w:r>
        <w:rPr>
          <w:rFonts w:ascii="Times New Roman CYR" w:hAnsi="Times New Roman CYR" w:cs="Times New Roman CYR"/>
          <w:sz w:val="22"/>
        </w:rPr>
        <w:t>Общежитие №5, г. Нижний Новгород, пр. Гагарина, 68а</w:t>
      </w:r>
    </w:p>
    <w:p w:rsidR="00BA61A8" w:rsidRDefault="00C1050E">
      <w:pPr>
        <w:jc w:val="both"/>
      </w:pPr>
      <w:r>
        <w:rPr>
          <w:sz w:val="22"/>
        </w:rPr>
        <w:t xml:space="preserve">12. </w:t>
      </w:r>
      <w:r>
        <w:rPr>
          <w:rFonts w:ascii="Times New Roman CYR" w:hAnsi="Times New Roman CYR" w:cs="Times New Roman CYR"/>
          <w:sz w:val="22"/>
        </w:rPr>
        <w:t>Общежитие ИНМО, г. Нижний Новгород, ул. Медицинская, д. 5</w:t>
      </w:r>
    </w:p>
    <w:p w:rsidR="00BA61A8" w:rsidRDefault="00C1050E">
      <w:pPr>
        <w:jc w:val="both"/>
      </w:pPr>
      <w:r>
        <w:rPr>
          <w:sz w:val="22"/>
        </w:rPr>
        <w:t xml:space="preserve">13. </w:t>
      </w:r>
      <w:r>
        <w:rPr>
          <w:rFonts w:ascii="Times New Roman CYR" w:hAnsi="Times New Roman CYR" w:cs="Times New Roman CYR"/>
          <w:sz w:val="22"/>
        </w:rPr>
        <w:t>Центр общественного питания, г. Нижний Новгород, пр. Гагарина, д. 68</w:t>
      </w:r>
    </w:p>
    <w:p w:rsidR="00BA61A8" w:rsidRDefault="00C1050E">
      <w:pPr>
        <w:jc w:val="both"/>
      </w:pPr>
      <w:r>
        <w:rPr>
          <w:sz w:val="22"/>
        </w:rPr>
        <w:t xml:space="preserve">14. </w:t>
      </w:r>
      <w:r>
        <w:rPr>
          <w:rFonts w:ascii="Times New Roman CYR" w:hAnsi="Times New Roman CYR" w:cs="Times New Roman CYR"/>
          <w:sz w:val="22"/>
        </w:rPr>
        <w:t>Стоматологическая поликлиника, г. Нижний Нов</w:t>
      </w:r>
      <w:r>
        <w:rPr>
          <w:rFonts w:ascii="Times New Roman CYR" w:hAnsi="Times New Roman CYR" w:cs="Times New Roman CYR"/>
          <w:sz w:val="22"/>
        </w:rPr>
        <w:t>город, ул. Минина, д. 20а</w:t>
      </w:r>
    </w:p>
    <w:p w:rsidR="00BA61A8" w:rsidRDefault="00BA61A8">
      <w:pPr>
        <w:pStyle w:val="af9"/>
        <w:spacing w:after="0"/>
        <w:ind w:left="0" w:firstLine="709"/>
        <w:contextualSpacing/>
        <w:jc w:val="both"/>
        <w:rPr>
          <w:sz w:val="24"/>
          <w:szCs w:val="24"/>
        </w:rPr>
      </w:pPr>
    </w:p>
    <w:p w:rsidR="00BA61A8" w:rsidRDefault="00C1050E">
      <w:pPr>
        <w:pStyle w:val="af9"/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5. Срок оказания услуг</w:t>
      </w:r>
      <w:r>
        <w:rPr>
          <w:sz w:val="24"/>
          <w:szCs w:val="24"/>
        </w:rPr>
        <w:t>: в течение 10 рабочих дней с даты получения заявки Исполнителем.</w:t>
      </w:r>
    </w:p>
    <w:p w:rsidR="00BA61A8" w:rsidRDefault="00C1050E">
      <w:pPr>
        <w:pStyle w:val="af9"/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Место оказания услуг: </w:t>
      </w:r>
      <w:r>
        <w:rPr>
          <w:sz w:val="24"/>
          <w:szCs w:val="24"/>
        </w:rPr>
        <w:t>по месту нахождения Исполнителя.</w:t>
      </w:r>
    </w:p>
    <w:p w:rsidR="00BA61A8" w:rsidRDefault="00C1050E">
      <w:pPr>
        <w:pStyle w:val="af9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Результатом оказанных услуг по утилизации является Акт оказанных услуг, составленны</w:t>
      </w:r>
      <w:r>
        <w:rPr>
          <w:color w:val="000000"/>
          <w:sz w:val="24"/>
          <w:szCs w:val="24"/>
        </w:rPr>
        <w:t xml:space="preserve">й на основании подготовленных и оформленных надлежащим образом Актов утилизации основных средств. Акты утилизации составляются Исполнителем по каждой единице Оборудования Заказчика. </w:t>
      </w:r>
      <w:r>
        <w:rPr>
          <w:sz w:val="24"/>
          <w:szCs w:val="24"/>
        </w:rPr>
        <w:t>Датой завершения утилизации Оборудования считается дата подписания Акта ок</w:t>
      </w:r>
      <w:r>
        <w:rPr>
          <w:sz w:val="24"/>
          <w:szCs w:val="24"/>
        </w:rPr>
        <w:t>азанных услуг.</w:t>
      </w:r>
    </w:p>
    <w:p w:rsidR="00BA61A8" w:rsidRDefault="00C1050E">
      <w:pPr>
        <w:pStyle w:val="af9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оказании услуг Исполнитель передает Заказчику следующие документы:</w:t>
      </w:r>
    </w:p>
    <w:p w:rsidR="00BA61A8" w:rsidRDefault="00C105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Счет на оплату;</w:t>
      </w:r>
    </w:p>
    <w:p w:rsidR="00BA61A8" w:rsidRDefault="00C105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Акт оказания услуг по утилизации медицинского оборудования;</w:t>
      </w:r>
    </w:p>
    <w:p w:rsidR="00BA61A8" w:rsidRDefault="00C105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Счет-фактуру (в случае наличия);</w:t>
      </w:r>
    </w:p>
    <w:p w:rsidR="00BA61A8" w:rsidRDefault="00C105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Акт утилизации основных средств.</w:t>
      </w:r>
    </w:p>
    <w:p w:rsidR="00BA61A8" w:rsidRDefault="00C1050E">
      <w:pPr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Требования к составу, качеству и документации на оказанные услуги:</w:t>
      </w:r>
    </w:p>
    <w:p w:rsidR="00BA61A8" w:rsidRDefault="00C1050E">
      <w:pPr>
        <w:pStyle w:val="af7"/>
        <w:ind w:left="0" w:firstLine="709"/>
        <w:jc w:val="both"/>
      </w:pPr>
      <w:r>
        <w:t>Услуги оказываются в соответствии с действующим законодательством РФ.</w:t>
      </w:r>
    </w:p>
    <w:p w:rsidR="00BA61A8" w:rsidRDefault="00C1050E">
      <w:pPr>
        <w:pStyle w:val="af7"/>
        <w:ind w:left="0" w:firstLine="709"/>
        <w:jc w:val="both"/>
      </w:pPr>
      <w:r>
        <w:t>а) В соответствии с п.30 ч.1 ст. 12 Федерального закона от 04.05.2011 № 99-Фз «О лицензировании отдельных видов деят</w:t>
      </w:r>
      <w:r>
        <w:t>ельности» и Постановлением Правительства Российской Федерации от 26.12.2020 г.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</w:p>
    <w:p w:rsidR="00BA61A8" w:rsidRDefault="00C1050E">
      <w:pPr>
        <w:pStyle w:val="af7"/>
        <w:ind w:left="0" w:firstLine="709"/>
        <w:jc w:val="both"/>
      </w:pPr>
      <w:r>
        <w:t xml:space="preserve">Исполнитель должен иметь </w:t>
      </w:r>
      <w:r>
        <w:t xml:space="preserve">лицензию на деятельность по сбору, транспортировке, обработке, утилизации, обезвреживанию, размещению отходов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классов опасности. </w:t>
      </w:r>
    </w:p>
    <w:p w:rsidR="00BA61A8" w:rsidRDefault="00C1050E">
      <w:pPr>
        <w:pStyle w:val="af7"/>
        <w:ind w:left="0" w:firstLine="709"/>
        <w:jc w:val="both"/>
      </w:pPr>
      <w:r>
        <w:t>Перечень работ в составе лицензии:</w:t>
      </w:r>
    </w:p>
    <w:p w:rsidR="00BA61A8" w:rsidRDefault="00C1050E">
      <w:pPr>
        <w:pStyle w:val="af7"/>
        <w:ind w:left="0" w:firstLine="709"/>
        <w:jc w:val="both"/>
      </w:pPr>
      <w:r>
        <w:t xml:space="preserve">Сбор отходов </w:t>
      </w:r>
      <w:r>
        <w:rPr>
          <w:lang w:val="en-US"/>
        </w:rPr>
        <w:t>IV</w:t>
      </w:r>
      <w:r>
        <w:t xml:space="preserve"> класса опасности, транспортирование отходов </w:t>
      </w:r>
      <w:r>
        <w:rPr>
          <w:lang w:val="en-US"/>
        </w:rPr>
        <w:t>IV</w:t>
      </w:r>
      <w:r>
        <w:t xml:space="preserve"> класса опасности, обраб</w:t>
      </w:r>
      <w:r>
        <w:t xml:space="preserve">отка отходов </w:t>
      </w:r>
      <w:r>
        <w:rPr>
          <w:lang w:val="en-US"/>
        </w:rPr>
        <w:t>IV</w:t>
      </w:r>
      <w:r>
        <w:t xml:space="preserve"> класса опасности, утилизация отходов </w:t>
      </w:r>
      <w:r>
        <w:rPr>
          <w:lang w:val="en-US"/>
        </w:rPr>
        <w:t>IV</w:t>
      </w:r>
      <w:r>
        <w:t xml:space="preserve"> класса опасности, обезвреживание отходов </w:t>
      </w:r>
      <w:r>
        <w:rPr>
          <w:lang w:val="en-US"/>
        </w:rPr>
        <w:t>IV</w:t>
      </w:r>
      <w:r>
        <w:t xml:space="preserve"> класса опасности, размещение отходов </w:t>
      </w:r>
      <w:r>
        <w:rPr>
          <w:lang w:val="en-US"/>
        </w:rPr>
        <w:t>IV</w:t>
      </w:r>
      <w:r>
        <w:t xml:space="preserve"> класса опасности.</w:t>
      </w:r>
    </w:p>
    <w:p w:rsidR="00BA61A8" w:rsidRDefault="00C1050E">
      <w:pPr>
        <w:pStyle w:val="af7"/>
        <w:ind w:left="0" w:firstLine="709"/>
        <w:jc w:val="both"/>
      </w:pPr>
      <w:r>
        <w:t>б</w:t>
      </w:r>
      <w:r>
        <w:t>) Услуги включают транспортировку, обработку, утилизацию (обезвреживание при необходимости) компьютерной и оргтехники (далее - Оборудование);</w:t>
      </w:r>
    </w:p>
    <w:p w:rsidR="00BA61A8" w:rsidRDefault="00C1050E">
      <w:pPr>
        <w:pStyle w:val="af7"/>
        <w:ind w:left="0" w:firstLine="709"/>
        <w:jc w:val="both"/>
      </w:pPr>
      <w:r>
        <w:t>в) Оборудование, не требующее разборки, переработки, утилизации, вывозится и размещается Исполнителем своими силам</w:t>
      </w:r>
      <w:r>
        <w:t>и и средствами на санкционированный полигон твердых бытовых отходов. Оборудование, требующее разборки, переработки, утилизации, Исполнитель утилизирует в соответствии с действующим законодательством.</w:t>
      </w:r>
    </w:p>
    <w:p w:rsidR="00BA61A8" w:rsidRDefault="00C1050E">
      <w:pPr>
        <w:pStyle w:val="af7"/>
        <w:ind w:left="0" w:firstLine="709"/>
        <w:jc w:val="both"/>
      </w:pPr>
      <w:r>
        <w:t>г) Подлежащие утилизации оборудование и устройства перед</w:t>
      </w:r>
      <w:r>
        <w:t>аются Исполнителю по месту нахождения оборудования. Исполнитель осуществляет сбор и доставку оборудования собственными силами и средствами.</w:t>
      </w:r>
    </w:p>
    <w:p w:rsidR="00BA61A8" w:rsidRDefault="00C1050E">
      <w:pPr>
        <w:pStyle w:val="af7"/>
        <w:ind w:left="0" w:firstLine="709"/>
        <w:jc w:val="both"/>
      </w:pPr>
      <w:r>
        <w:t>д) По окончании оказания услуг по утилизации Исполнитель оформляет акт утилизации, подписывает его и направляет Зака</w:t>
      </w:r>
      <w:r>
        <w:t>зчику.</w:t>
      </w:r>
    </w:p>
    <w:p w:rsidR="00BA61A8" w:rsidRDefault="00BA61A8">
      <w:pPr>
        <w:pStyle w:val="af7"/>
        <w:ind w:left="0" w:firstLine="709"/>
        <w:jc w:val="both"/>
      </w:pPr>
    </w:p>
    <w:p w:rsidR="00BA61A8" w:rsidRDefault="00C1050E">
      <w:pPr>
        <w:pStyle w:val="111"/>
        <w:tabs>
          <w:tab w:val="left" w:pos="744"/>
        </w:tabs>
        <w:spacing w:before="31" w:line="277" w:lineRule="exact"/>
        <w:ind w:left="743"/>
        <w:jc w:val="both"/>
        <w:rPr>
          <w:b/>
          <w:sz w:val="24"/>
          <w:szCs w:val="24"/>
          <w:lang w:val="ru-RU" w:eastAsia="ru-RU"/>
        </w:rPr>
      </w:pPr>
      <w:r>
        <w:rPr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4142105</wp:posOffset>
                </wp:positionH>
                <wp:positionV relativeFrom="paragraph">
                  <wp:posOffset>191135</wp:posOffset>
                </wp:positionV>
                <wp:extent cx="13970" cy="248285"/>
                <wp:effectExtent l="0" t="0" r="5080" b="0"/>
                <wp:wrapNone/>
                <wp:docPr id="1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24828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style="position:absolute;mso-wrap-distance-left:9.0pt;mso-wrap-distance-top:0.0pt;mso-wrap-distance-right:9.0pt;mso-wrap-distance-bottom:0.0pt;z-index:-251660288;o:allowoverlap:true;o:allowincell:true;mso-position-horizontal-relative:page;margin-left:326.1pt;mso-position-horizontal:absolute;mso-position-vertical-relative:text;margin-top:15.0pt;mso-position-vertical:absolute;width:1.1pt;height:19.6pt;" coordsize="100000,100000" path="" fillcolor="#EBEBEB" stroked="f">
                <v:path textboxrect="0,0,0,0"/>
              </v:shape>
            </w:pict>
          </mc:Fallback>
        </mc:AlternateContent>
      </w:r>
      <w:r>
        <w:rPr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6005195</wp:posOffset>
                </wp:positionH>
                <wp:positionV relativeFrom="paragraph">
                  <wp:posOffset>180975</wp:posOffset>
                </wp:positionV>
                <wp:extent cx="22860" cy="264160"/>
                <wp:effectExtent l="0" t="0" r="0" b="2540"/>
                <wp:wrapNone/>
                <wp:docPr id="2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26416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-251661312;o:allowoverlap:true;o:allowincell:true;mso-position-horizontal-relative:page;margin-left:472.8pt;mso-position-horizontal:absolute;mso-position-vertical-relative:text;margin-top:14.2pt;mso-position-vertical:absolute;width:1.8pt;height:20.8pt;" coordsize="100000,100000" path="" fillcolor="#EBEBEB" stroked="f">
                <v:path textboxrect="0,0,0,0"/>
              </v:shape>
            </w:pict>
          </mc:Fallback>
        </mc:AlternateContent>
      </w:r>
      <w:r>
        <w:rPr>
          <w:b/>
          <w:sz w:val="24"/>
          <w:szCs w:val="24"/>
          <w:lang w:val="ru-RU" w:eastAsia="ru-RU"/>
        </w:rPr>
        <w:t>8. При оказании услуг Исполнитель обязан руководствоваться: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8470"/>
        </w:tabs>
        <w:spacing w:line="298" w:lineRule="exact"/>
        <w:ind w:left="119"/>
        <w:jc w:val="both"/>
      </w:pPr>
      <w:r>
        <w:t xml:space="preserve">Федеральным законом Российской• Федерации от 26.03.1998 № 41-ФЗ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6343650</wp:posOffset>
                </wp:positionH>
                <wp:positionV relativeFrom="paragraph">
                  <wp:posOffset>168275</wp:posOffset>
                </wp:positionV>
                <wp:extent cx="18415" cy="248285"/>
                <wp:effectExtent l="0" t="0" r="635" b="0"/>
                <wp:wrapNone/>
                <wp:docPr id="3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4828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style="position:absolute;mso-wrap-distance-left:9.0pt;mso-wrap-distance-top:0.0pt;mso-wrap-distance-right:9.0pt;mso-wrap-distance-bottom:0.0pt;z-index:-251662336;o:allowoverlap:true;o:allowincell:true;mso-position-horizontal-relative:page;margin-left:499.5pt;mso-position-horizontal:absolute;mso-position-vertical-relative:text;margin-top:13.2pt;mso-position-vertical:absolute;width:1.4pt;height:19.6pt;" coordsize="100000,100000" path="" fillcolor="#EBEBEB" stroked="f">
                <v:path textboxrect="0,0,0,0"/>
              </v:shape>
            </w:pict>
          </mc:Fallback>
        </mc:AlternateContent>
      </w:r>
      <w:r>
        <w:t>«О драгоценных металлах и драгоценных камнях»;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8470"/>
        </w:tabs>
        <w:spacing w:line="298" w:lineRule="exact"/>
        <w:ind w:left="119"/>
        <w:jc w:val="both"/>
      </w:pPr>
      <w:r>
        <w:t xml:space="preserve">Федеральным законом Российской Федерации от 24.06.1998 .№ .89-ФЗ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5226685</wp:posOffset>
                </wp:positionH>
                <wp:positionV relativeFrom="paragraph">
                  <wp:posOffset>169545</wp:posOffset>
                </wp:positionV>
                <wp:extent cx="13970" cy="248285"/>
                <wp:effectExtent l="0" t="0" r="5080" b="0"/>
                <wp:wrapNone/>
                <wp:docPr id="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24828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style="position:absolute;mso-wrap-distance-left:9.0pt;mso-wrap-distance-top:0.0pt;mso-wrap-distance-right:9.0pt;mso-wrap-distance-bottom:0.0pt;z-index:-251663360;o:allowoverlap:true;o:allowincell:true;mso-position-horizontal-relative:page;margin-left:411.5pt;mso-position-horizontal:absolute;mso-position-vertical-relative:text;margin-top:13.3pt;mso-position-vertical:absolute;width:1.1pt;height:19.6pt;" coordsize="100000,100000" path="" fillcolor="#EBEBEB" stroked="f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ragraph">
                  <wp:posOffset>169545</wp:posOffset>
                </wp:positionV>
                <wp:extent cx="13970" cy="248285"/>
                <wp:effectExtent l="0" t="0" r="5080" b="0"/>
                <wp:wrapNone/>
                <wp:docPr id="5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24828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1" style="position:absolute;mso-wrap-distance-left:9.0pt;mso-wrap-distance-top:0.0pt;mso-wrap-distance-right:9.0pt;mso-wrap-distance-bottom:0.0pt;z-index:-251664384;o:allowoverlap:true;o:allowincell:true;mso-position-horizontal-relative:page;margin-left:535.3pt;mso-position-horizontal:absolute;mso-position-vertical-relative:text;margin-top:13.3pt;mso-position-vertical:absolute;width:1.1pt;height:19.6pt;" coordsize="100000,100000" path="" fillcolor="#EBEBEB" stroked="f">
                <v:path textboxrect="0,0,0,0"/>
              </v:shape>
            </w:pict>
          </mc:Fallback>
        </mc:AlternateContent>
      </w:r>
      <w:r>
        <w:t>«Об отх</w:t>
      </w:r>
      <w:r>
        <w:t>одах производства и потреблении»;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10206"/>
        </w:tabs>
        <w:spacing w:line="316" w:lineRule="exact"/>
        <w:ind w:left="12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5699760</wp:posOffset>
                </wp:positionH>
                <wp:positionV relativeFrom="paragraph">
                  <wp:posOffset>173990</wp:posOffset>
                </wp:positionV>
                <wp:extent cx="22860" cy="240030"/>
                <wp:effectExtent l="0" t="0" r="0" b="7620"/>
                <wp:wrapNone/>
                <wp:docPr id="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1" style="position:absolute;mso-wrap-distance-left:9.0pt;mso-wrap-distance-top:0.0pt;mso-wrap-distance-right:9.0pt;mso-wrap-distance-bottom:0.0pt;z-index:-251665408;o:allowoverlap:true;o:allowincell:true;mso-position-horizontal-relative:page;margin-left:448.8pt;mso-position-horizontal:absolute;mso-position-vertical-relative:text;margin-top:13.7pt;mso-position-vertical:absolute;width:1.8pt;height:18.9pt;" coordsize="100000,100000" path="" fillcolor="#EBEBEB" stroked="f">
                <v:path textboxrect="0,0,0,0"/>
              </v:shape>
            </w:pict>
          </mc:Fallback>
        </mc:AlternateContent>
      </w:r>
      <w:r>
        <w:t xml:space="preserve">Федеральным законом Российской Федерации от·30 03.1999 №: 52-ФЗ «О </w:t>
      </w:r>
      <w:proofErr w:type="spellStart"/>
      <w:r>
        <w:t>санитарно</w:t>
      </w:r>
      <w:proofErr w:type="spellEnd"/>
      <w:r>
        <w:t xml:space="preserve"> </w:t>
      </w:r>
      <w:r>
        <w:lastRenderedPageBreak/>
        <w:t>эпидемиологическом благополучии населения»;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10206"/>
        </w:tabs>
        <w:spacing w:before="9" w:line="282" w:lineRule="exact"/>
        <w:ind w:left="133"/>
        <w:jc w:val="both"/>
      </w:pPr>
      <w:r>
        <w:t>Федеральным законом Российской Федерации от 10.01.2002 № 7-ФЗ «Об охране окружающей среды»;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10206"/>
        </w:tabs>
        <w:spacing w:before="9" w:line="282" w:lineRule="exact"/>
        <w:ind w:left="13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1405890</wp:posOffset>
                </wp:positionH>
                <wp:positionV relativeFrom="paragraph">
                  <wp:posOffset>188595</wp:posOffset>
                </wp:positionV>
                <wp:extent cx="13970" cy="240030"/>
                <wp:effectExtent l="0" t="0" r="5080" b="7620"/>
                <wp:wrapNone/>
                <wp:docPr id="7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1" style="position:absolute;mso-wrap-distance-left:9.0pt;mso-wrap-distance-top:0.0pt;mso-wrap-distance-right:9.0pt;mso-wrap-distance-bottom:0.0pt;z-index:-251666432;o:allowoverlap:true;o:allowincell:true;mso-position-horizontal-relative:page;margin-left:110.7pt;mso-position-horizontal:absolute;mso-position-vertical-relative:text;margin-top:14.8pt;mso-position-vertical:absolute;width:1.1pt;height:18.9pt;" coordsize="100000,100000" path="" fillcolor="#EBEBEB" stroked="f">
                <v:path textboxrect="0,0,0,0"/>
              </v:shape>
            </w:pict>
          </mc:Fallback>
        </mc:AlternateContent>
      </w:r>
      <w:r>
        <w:t>Федеральным законом Российской Федерации от 29 июля 2004 г. N 98 Ф-З «О коммерческой тайне»;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5315"/>
          <w:tab w:val="left" w:pos="7315"/>
          <w:tab w:val="left" w:pos="8498"/>
          <w:tab w:val="left" w:pos="10206"/>
        </w:tabs>
        <w:spacing w:before="9" w:line="302" w:lineRule="exact"/>
        <w:ind w:left="13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143510</wp:posOffset>
                </wp:positionV>
                <wp:extent cx="18415" cy="240030"/>
                <wp:effectExtent l="0" t="0" r="635" b="7620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o:spt="1" style="position:absolute;mso-wrap-distance-left:9.0pt;mso-wrap-distance-top:0.0pt;mso-wrap-distance-right:9.0pt;mso-wrap-distance-bottom:0.0pt;z-index:-251667456;o:allowoverlap:true;o:allowincell:true;mso-position-horizontal-relative:page;margin-left:230.8pt;mso-position-horizontal:absolute;mso-position-vertical-relative:text;margin-top:11.3pt;mso-position-vertical:absolute;width:1.4pt;height:18.9pt;" coordsize="100000,100000" path="" fillcolor="#EBEBEB" stroked="f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5622925</wp:posOffset>
                </wp:positionH>
                <wp:positionV relativeFrom="paragraph">
                  <wp:posOffset>143510</wp:posOffset>
                </wp:positionV>
                <wp:extent cx="13970" cy="240030"/>
                <wp:effectExtent l="0" t="0" r="5080" b="7620"/>
                <wp:wrapNone/>
                <wp:docPr id="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8" o:spid="_x0000_s8" o:spt="1" style="position:absolute;mso-wrap-distance-left:9.0pt;mso-wrap-distance-top:0.0pt;mso-wrap-distance-right:9.0pt;mso-wrap-distance-bottom:0.0pt;z-index:-251668480;o:allowoverlap:true;o:allowincell:true;mso-position-horizontal-relative:page;margin-left:442.8pt;mso-position-horizontal:absolute;mso-position-vertical-relative:text;margin-top:11.3pt;mso-position-vertical:absolute;width:1.1pt;height:18.9pt;" coordsize="100000,100000" path="" fillcolor="#EBEBEB" stroked="f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6374765</wp:posOffset>
                </wp:positionH>
                <wp:positionV relativeFrom="paragraph">
                  <wp:posOffset>143510</wp:posOffset>
                </wp:positionV>
                <wp:extent cx="18415" cy="240030"/>
                <wp:effectExtent l="0" t="0" r="635" b="7620"/>
                <wp:wrapNone/>
                <wp:docPr id="1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1" style="position:absolute;mso-wrap-distance-left:9.0pt;mso-wrap-distance-top:0.0pt;mso-wrap-distance-right:9.0pt;mso-wrap-distance-bottom:0.0pt;z-index:-251669504;o:allowoverlap:true;o:allowincell:true;mso-position-horizontal-relative:page;margin-left:501.9pt;mso-position-horizontal:absolute;mso-position-vertical-relative:text;margin-top:11.3pt;mso-position-vertical:absolute;width:1.4pt;height:18.9pt;" coordsize="100000,100000" path="" fillcolor="#EBEBEB" stroked="f">
                <v:path textboxrect="0,0,0,0"/>
              </v:shape>
            </w:pict>
          </mc:Fallback>
        </mc:AlternateContent>
      </w:r>
      <w:r>
        <w:t xml:space="preserve">Федеральным  законом  Российской  Федерации от 27 июля 2006. г N 152 ФЗ «О </w:t>
      </w:r>
      <w:proofErr w:type="spellStart"/>
      <w:r>
        <w:t>персональных·данных</w:t>
      </w:r>
      <w:proofErr w:type="spellEnd"/>
      <w:r>
        <w:t>»;·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5315"/>
          <w:tab w:val="left" w:pos="7315"/>
          <w:tab w:val="left" w:pos="8498"/>
          <w:tab w:val="left" w:pos="10206"/>
        </w:tabs>
        <w:spacing w:before="9" w:line="302" w:lineRule="exact"/>
        <w:ind w:left="133"/>
        <w:jc w:val="both"/>
      </w:pPr>
      <w:r>
        <w:t>Постановлением Правительства РФ № 731 от 28.09.2000 г «0б утве</w:t>
      </w:r>
      <w:r>
        <w:t>рждении правил учета и хранения драгоценных металлов, драгоценных камней и продукции из них, а так же ведения соответствующей отчетности»;</w:t>
      </w:r>
    </w:p>
    <w:p w:rsidR="00BA61A8" w:rsidRDefault="00C1050E">
      <w:pPr>
        <w:pStyle w:val="220"/>
        <w:tabs>
          <w:tab w:val="left" w:pos="873"/>
        </w:tabs>
        <w:spacing w:line="235" w:lineRule="auto"/>
        <w:ind w:left="-133" w:right="130"/>
        <w:jc w:val="both"/>
        <w:rPr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ragraph">
                  <wp:posOffset>564515</wp:posOffset>
                </wp:positionV>
                <wp:extent cx="18415" cy="231140"/>
                <wp:effectExtent l="0" t="0" r="635" b="0"/>
                <wp:wrapNone/>
                <wp:docPr id="1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3114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1" style="position:absolute;mso-wrap-distance-left:9.0pt;mso-wrap-distance-top:0.0pt;mso-wrap-distance-right:9.0pt;mso-wrap-distance-bottom:0.0pt;z-index:-251670528;o:allowoverlap:true;o:allowincell:true;mso-position-horizontal-relative:page;margin-left:435.9pt;mso-position-horizontal:absolute;mso-position-vertical-relative:text;margin-top:44.4pt;mso-position-vertical:absolute;width:1.4pt;height:18.2pt;" coordsize="100000,100000" path="" fillcolor="#EBEBEB" stroked="f">
                <v:path textboxrect="0,0,0,0"/>
              </v:shape>
            </w:pict>
          </mc:Fallback>
        </mc:AlternateContent>
      </w:r>
      <w:r>
        <w:rPr>
          <w:sz w:val="24"/>
          <w:szCs w:val="24"/>
          <w:lang w:val="ru-RU" w:eastAsia="ru-RU"/>
        </w:rPr>
        <w:t xml:space="preserve">     Постановлением Правительства  РФ от  25.06.1992 .№431 «О порядке сбора, приемки и переработки лома и· отходов, </w:t>
      </w:r>
      <w:r>
        <w:rPr>
          <w:sz w:val="24"/>
          <w:szCs w:val="24"/>
          <w:lang w:val="ru-RU" w:eastAsia="ru-RU"/>
        </w:rPr>
        <w:t>драгоценных 'металлов и драгоценных .камней»;</w:t>
      </w:r>
    </w:p>
    <w:p w:rsidR="00BA61A8" w:rsidRDefault="00C1050E">
      <w:pPr>
        <w:pStyle w:val="af7"/>
        <w:widowControl w:val="0"/>
        <w:numPr>
          <w:ilvl w:val="2"/>
          <w:numId w:val="3"/>
        </w:numPr>
        <w:tabs>
          <w:tab w:val="left" w:pos="839"/>
          <w:tab w:val="left" w:pos="5315"/>
          <w:tab w:val="left" w:pos="7315"/>
          <w:tab w:val="left" w:pos="8498"/>
          <w:tab w:val="left" w:pos="10206"/>
        </w:tabs>
        <w:spacing w:before="9" w:line="302" w:lineRule="exact"/>
        <w:ind w:left="133"/>
        <w:jc w:val="both"/>
      </w:pPr>
      <w:r>
        <w:t xml:space="preserve">  Инструкцией Министерства финансов Российской Федерации «О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176530</wp:posOffset>
                </wp:positionV>
                <wp:extent cx="18415" cy="240030"/>
                <wp:effectExtent l="0" t="0" r="635" b="7620"/>
                <wp:wrapNone/>
                <wp:docPr id="1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4003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1" style="position:absolute;mso-wrap-distance-left:9.0pt;mso-wrap-distance-top:0.0pt;mso-wrap-distance-right:9.0pt;mso-wrap-distance-bottom:0.0pt;z-index:-251671552;o:allowoverlap:true;o:allowincell:true;mso-position-horizontal-relative:page;margin-left:448.3pt;mso-position-horizontal:absolute;mso-position-vertical-relative:text;margin-top:13.9pt;mso-position-vertical:absolute;width:1.4pt;height:18.9pt;" coordsize="100000,100000" path="" fillcolor="#EBEBEB" stroked="f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ragraph">
                  <wp:posOffset>576580</wp:posOffset>
                </wp:positionV>
                <wp:extent cx="18415" cy="231140"/>
                <wp:effectExtent l="0" t="0" r="635" b="0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3114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1" style="position:absolute;mso-wrap-distance-left:9.0pt;mso-wrap-distance-top:0.0pt;mso-wrap-distance-right:9.0pt;mso-wrap-distance-bottom:0.0pt;z-index:-251672576;o:allowoverlap:true;o:allowincell:true;mso-position-horizontal-relative:page;margin-left:434.4pt;mso-position-horizontal:absolute;mso-position-vertical-relative:text;margin-top:45.4pt;mso-position-vertical:absolute;width:1.4pt;height:18.2pt;" coordsize="100000,100000" path="" fillcolor="#EBEBEB" stroked="f">
                <v:path textboxrect="0,0,0,0"/>
              </v:shape>
            </w:pict>
          </mc:Fallback>
        </mc:AlternateContent>
      </w:r>
      <w:r>
        <w:t xml:space="preserve"> порядке учета и хранения драгоценных металлов, драгоценных камней, продукции из них и ведения отчетности при их производстве, использовании и обраще</w:t>
      </w:r>
      <w:r>
        <w:t>нии», утвержденной приказом Министерства финансов Российской Федерации от 09.12.2016 г. № 231н.</w:t>
      </w:r>
    </w:p>
    <w:p w:rsidR="00BA61A8" w:rsidRDefault="00BA61A8">
      <w:pPr>
        <w:pStyle w:val="af7"/>
        <w:widowControl w:val="0"/>
        <w:tabs>
          <w:tab w:val="left" w:pos="839"/>
          <w:tab w:val="left" w:pos="5315"/>
          <w:tab w:val="left" w:pos="7315"/>
          <w:tab w:val="left" w:pos="8498"/>
          <w:tab w:val="left" w:pos="10206"/>
        </w:tabs>
        <w:spacing w:before="9" w:line="302" w:lineRule="exact"/>
        <w:ind w:left="743"/>
      </w:pPr>
    </w:p>
    <w:p w:rsidR="00BA61A8" w:rsidRDefault="00BA61A8">
      <w:pPr>
        <w:pStyle w:val="af7"/>
        <w:widowControl w:val="0"/>
        <w:tabs>
          <w:tab w:val="left" w:pos="839"/>
          <w:tab w:val="left" w:pos="5315"/>
          <w:tab w:val="left" w:pos="7315"/>
          <w:tab w:val="left" w:pos="8498"/>
          <w:tab w:val="left" w:pos="10206"/>
        </w:tabs>
        <w:spacing w:before="9" w:line="302" w:lineRule="exact"/>
        <w:ind w:left="743"/>
      </w:pPr>
    </w:p>
    <w:p w:rsidR="00BA61A8" w:rsidRDefault="00C1050E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Порядок оплаты: </w:t>
      </w:r>
      <w:r w:rsidR="005C52C7">
        <w:rPr>
          <w:rFonts w:eastAsia="Calibri"/>
          <w:sz w:val="24"/>
          <w:szCs w:val="24"/>
        </w:rPr>
        <w:t>в течение 7 (семи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) рабочих дней с даты подписания Сторонами  Акта </w:t>
      </w:r>
      <w:proofErr w:type="spellStart"/>
      <w:r>
        <w:rPr>
          <w:rFonts w:eastAsia="Calibri"/>
          <w:sz w:val="24"/>
          <w:szCs w:val="24"/>
        </w:rPr>
        <w:t>оказаннных</w:t>
      </w:r>
      <w:proofErr w:type="spellEnd"/>
      <w:r>
        <w:rPr>
          <w:rFonts w:eastAsia="Calibri"/>
          <w:sz w:val="24"/>
          <w:szCs w:val="24"/>
        </w:rPr>
        <w:t xml:space="preserve"> услуг по утилизации на основании предоставле</w:t>
      </w:r>
      <w:r>
        <w:rPr>
          <w:sz w:val="24"/>
          <w:szCs w:val="24"/>
        </w:rPr>
        <w:t>нного счета и/или счета-фактуры.</w:t>
      </w: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p w:rsidR="00BA61A8" w:rsidRDefault="00BA61A8">
      <w:pPr>
        <w:ind w:firstLine="709"/>
        <w:contextualSpacing/>
        <w:jc w:val="both"/>
        <w:rPr>
          <w:b/>
          <w:sz w:val="24"/>
          <w:szCs w:val="24"/>
        </w:rPr>
      </w:pPr>
    </w:p>
    <w:sectPr w:rsidR="00BA61A8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0E" w:rsidRDefault="00C1050E">
      <w:pPr>
        <w:spacing w:before="0" w:line="240" w:lineRule="auto"/>
      </w:pPr>
      <w:r>
        <w:separator/>
      </w:r>
    </w:p>
  </w:endnote>
  <w:endnote w:type="continuationSeparator" w:id="0">
    <w:p w:rsidR="00C1050E" w:rsidRDefault="00C105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0E" w:rsidRDefault="00C1050E">
      <w:pPr>
        <w:spacing w:before="0" w:line="240" w:lineRule="auto"/>
      </w:pPr>
      <w:r>
        <w:separator/>
      </w:r>
    </w:p>
  </w:footnote>
  <w:footnote w:type="continuationSeparator" w:id="0">
    <w:p w:rsidR="00C1050E" w:rsidRDefault="00C1050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26A5"/>
    <w:multiLevelType w:val="multilevel"/>
    <w:tmpl w:val="9C2239C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">
    <w:nsid w:val="62EC4CFC"/>
    <w:multiLevelType w:val="hybridMultilevel"/>
    <w:tmpl w:val="3C10C13C"/>
    <w:lvl w:ilvl="0" w:tplc="C20CDD5A">
      <w:start w:val="22"/>
      <w:numFmt w:val="decimal"/>
      <w:lvlText w:val="%1"/>
      <w:lvlJc w:val="left"/>
      <w:pPr>
        <w:ind w:left="877" w:hanging="555"/>
        <w:jc w:val="left"/>
      </w:pPr>
      <w:rPr>
        <w:rFonts w:hint="default"/>
        <w:spacing w:val="-1"/>
      </w:rPr>
    </w:lvl>
    <w:lvl w:ilvl="1" w:tplc="46102878">
      <w:start w:val="5"/>
      <w:numFmt w:val="decimal"/>
      <w:lvlText w:val="%2."/>
      <w:lvlJc w:val="left"/>
      <w:pPr>
        <w:ind w:left="743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D2D31"/>
        <w:sz w:val="25"/>
        <w:szCs w:val="25"/>
      </w:rPr>
    </w:lvl>
    <w:lvl w:ilvl="2" w:tplc="DF346F7E">
      <w:start w:val="1"/>
      <w:numFmt w:val="bullet"/>
      <w:lvlText w:val="-"/>
      <w:lvlJc w:val="left"/>
      <w:pPr>
        <w:ind w:left="339" w:hanging="197"/>
      </w:pPr>
      <w:rPr>
        <w:rFonts w:ascii="Times New Roman" w:eastAsia="Times New Roman" w:hAnsi="Times New Roman" w:cs="Times New Roman" w:hint="default"/>
      </w:rPr>
    </w:lvl>
    <w:lvl w:ilvl="3" w:tplc="CFD49940">
      <w:start w:val="1"/>
      <w:numFmt w:val="bullet"/>
      <w:lvlText w:val="•"/>
      <w:lvlJc w:val="left"/>
      <w:pPr>
        <w:ind w:left="1080" w:hanging="197"/>
      </w:pPr>
      <w:rPr>
        <w:rFonts w:hint="default"/>
      </w:rPr>
    </w:lvl>
    <w:lvl w:ilvl="4" w:tplc="B9E877D6">
      <w:start w:val="1"/>
      <w:numFmt w:val="bullet"/>
      <w:lvlText w:val="•"/>
      <w:lvlJc w:val="left"/>
      <w:pPr>
        <w:ind w:left="1639" w:hanging="197"/>
      </w:pPr>
      <w:rPr>
        <w:rFonts w:hint="default"/>
      </w:rPr>
    </w:lvl>
    <w:lvl w:ilvl="5" w:tplc="BCA466C6">
      <w:start w:val="1"/>
      <w:numFmt w:val="bullet"/>
      <w:lvlText w:val="•"/>
      <w:lvlJc w:val="left"/>
      <w:pPr>
        <w:ind w:left="2198" w:hanging="197"/>
      </w:pPr>
      <w:rPr>
        <w:rFonts w:hint="default"/>
      </w:rPr>
    </w:lvl>
    <w:lvl w:ilvl="6" w:tplc="1FFEDC08">
      <w:start w:val="1"/>
      <w:numFmt w:val="bullet"/>
      <w:lvlText w:val="•"/>
      <w:lvlJc w:val="left"/>
      <w:pPr>
        <w:ind w:left="2758" w:hanging="197"/>
      </w:pPr>
      <w:rPr>
        <w:rFonts w:hint="default"/>
      </w:rPr>
    </w:lvl>
    <w:lvl w:ilvl="7" w:tplc="BDF623C2">
      <w:start w:val="1"/>
      <w:numFmt w:val="bullet"/>
      <w:lvlText w:val="•"/>
      <w:lvlJc w:val="left"/>
      <w:pPr>
        <w:ind w:left="3317" w:hanging="197"/>
      </w:pPr>
      <w:rPr>
        <w:rFonts w:hint="default"/>
      </w:rPr>
    </w:lvl>
    <w:lvl w:ilvl="8" w:tplc="275A30F4">
      <w:start w:val="1"/>
      <w:numFmt w:val="bullet"/>
      <w:lvlText w:val="•"/>
      <w:lvlJc w:val="left"/>
      <w:pPr>
        <w:ind w:left="3876" w:hanging="19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A8"/>
    <w:rsid w:val="005C52C7"/>
    <w:rsid w:val="00BA61A8"/>
    <w:rsid w:val="00C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60" w:line="300" w:lineRule="auto"/>
      <w:jc w:val="center"/>
    </w:pPr>
    <w:rPr>
      <w:sz w:val="16"/>
      <w:szCs w:val="16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60" w:line="240" w:lineRule="auto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before="120" w:after="12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sz w:val="32"/>
      <w:szCs w:val="32"/>
    </w:rPr>
  </w:style>
  <w:style w:type="character" w:customStyle="1" w:styleId="110">
    <w:name w:val="Заголовок 1 Знак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Cambria" w:hAnsi="Cambria"/>
      <w:b/>
      <w:bCs/>
      <w:i/>
      <w:iCs/>
      <w:sz w:val="28"/>
      <w:szCs w:val="28"/>
    </w:rPr>
  </w:style>
  <w:style w:type="character" w:customStyle="1" w:styleId="210">
    <w:name w:val="Заголовок 2 Знак1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 w:cs="Times New Roman"/>
    </w:rPr>
  </w:style>
  <w:style w:type="paragraph" w:styleId="af">
    <w:name w:val="Title"/>
    <w:basedOn w:val="a"/>
    <w:link w:val="af0"/>
    <w:qFormat/>
    <w:pPr>
      <w:spacing w:before="240" w:after="60" w:line="240" w:lineRule="auto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Название Знак"/>
    <w:link w:val="af"/>
    <w:rPr>
      <w:rFonts w:ascii="Cambria" w:hAnsi="Cambria" w:cs="Times New Roman"/>
      <w:b/>
      <w:bCs/>
      <w:sz w:val="32"/>
      <w:szCs w:val="32"/>
    </w:rPr>
  </w:style>
  <w:style w:type="paragraph" w:styleId="af1">
    <w:name w:val="Subtitle"/>
    <w:basedOn w:val="a"/>
    <w:link w:val="af2"/>
    <w:qFormat/>
    <w:pPr>
      <w:spacing w:after="60" w:line="240" w:lineRule="auto"/>
      <w:outlineLvl w:val="1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11"/>
    <w:rPr>
      <w:rFonts w:ascii="Cambria" w:hAnsi="Cambria" w:cs="Times New Roman"/>
      <w:sz w:val="24"/>
      <w:szCs w:val="24"/>
    </w:rPr>
  </w:style>
  <w:style w:type="character" w:styleId="af3">
    <w:name w:val="Strong"/>
    <w:qFormat/>
    <w:rPr>
      <w:rFonts w:cs="Times New Roman"/>
      <w:b/>
      <w:bCs/>
    </w:rPr>
  </w:style>
  <w:style w:type="character" w:styleId="af4">
    <w:name w:val="Emphasis"/>
    <w:qFormat/>
    <w:rPr>
      <w:rFonts w:cs="Times New Roman"/>
      <w:i/>
      <w:iCs/>
    </w:rPr>
  </w:style>
  <w:style w:type="paragraph" w:styleId="af5">
    <w:name w:val="No Spacing"/>
    <w:uiPriority w:val="1"/>
    <w:qFormat/>
    <w:rPr>
      <w:rFonts w:ascii="Calibri" w:hAnsi="Calibri"/>
      <w:sz w:val="22"/>
      <w:szCs w:val="22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link w:val="af8"/>
    <w:uiPriority w:val="1"/>
    <w:qFormat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f8">
    <w:name w:val="Абзац списка Знак"/>
    <w:link w:val="af7"/>
    <w:uiPriority w:val="1"/>
    <w:qFormat/>
    <w:rPr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Pr>
      <w:sz w:val="16"/>
      <w:szCs w:val="16"/>
    </w:rPr>
  </w:style>
  <w:style w:type="paragraph" w:customStyle="1" w:styleId="111">
    <w:name w:val="Заголовок 11"/>
    <w:basedOn w:val="a"/>
    <w:uiPriority w:val="1"/>
    <w:qFormat/>
    <w:pPr>
      <w:spacing w:before="0" w:line="240" w:lineRule="auto"/>
      <w:ind w:left="130"/>
      <w:jc w:val="left"/>
      <w:outlineLvl w:val="1"/>
    </w:pPr>
    <w:rPr>
      <w:sz w:val="28"/>
      <w:szCs w:val="28"/>
      <w:lang w:val="en-US" w:eastAsia="en-US"/>
    </w:rPr>
  </w:style>
  <w:style w:type="paragraph" w:customStyle="1" w:styleId="220">
    <w:name w:val="Заголовок 22"/>
    <w:basedOn w:val="a"/>
    <w:uiPriority w:val="1"/>
    <w:qFormat/>
    <w:pPr>
      <w:spacing w:before="0" w:line="240" w:lineRule="auto"/>
      <w:ind w:left="131"/>
      <w:jc w:val="left"/>
      <w:outlineLvl w:val="2"/>
    </w:pPr>
    <w:rPr>
      <w:sz w:val="27"/>
      <w:szCs w:val="27"/>
      <w:lang w:val="en-US" w:eastAsia="en-US"/>
    </w:rPr>
  </w:style>
  <w:style w:type="paragraph" w:styleId="afb">
    <w:name w:val="header"/>
    <w:basedOn w:val="a"/>
    <w:link w:val="afc"/>
    <w:uiPriority w:val="99"/>
    <w:semiHidden/>
    <w:unhideWhenUsed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Pr>
      <w:sz w:val="16"/>
      <w:szCs w:val="16"/>
    </w:rPr>
  </w:style>
  <w:style w:type="paragraph" w:styleId="afd">
    <w:name w:val="foot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rPr>
      <w:sz w:val="16"/>
      <w:szCs w:val="16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60" w:line="300" w:lineRule="auto"/>
      <w:jc w:val="center"/>
    </w:pPr>
    <w:rPr>
      <w:sz w:val="16"/>
      <w:szCs w:val="16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60" w:line="240" w:lineRule="auto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before="120" w:after="12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sz w:val="32"/>
      <w:szCs w:val="32"/>
    </w:rPr>
  </w:style>
  <w:style w:type="character" w:customStyle="1" w:styleId="110">
    <w:name w:val="Заголовок 1 Знак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Cambria" w:hAnsi="Cambria"/>
      <w:b/>
      <w:bCs/>
      <w:i/>
      <w:iCs/>
      <w:sz w:val="28"/>
      <w:szCs w:val="28"/>
    </w:rPr>
  </w:style>
  <w:style w:type="character" w:customStyle="1" w:styleId="210">
    <w:name w:val="Заголовок 2 Знак1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 w:cs="Times New Roman"/>
    </w:rPr>
  </w:style>
  <w:style w:type="paragraph" w:styleId="af">
    <w:name w:val="Title"/>
    <w:basedOn w:val="a"/>
    <w:link w:val="af0"/>
    <w:qFormat/>
    <w:pPr>
      <w:spacing w:before="240" w:after="60" w:line="240" w:lineRule="auto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Название Знак"/>
    <w:link w:val="af"/>
    <w:rPr>
      <w:rFonts w:ascii="Cambria" w:hAnsi="Cambria" w:cs="Times New Roman"/>
      <w:b/>
      <w:bCs/>
      <w:sz w:val="32"/>
      <w:szCs w:val="32"/>
    </w:rPr>
  </w:style>
  <w:style w:type="paragraph" w:styleId="af1">
    <w:name w:val="Subtitle"/>
    <w:basedOn w:val="a"/>
    <w:link w:val="af2"/>
    <w:qFormat/>
    <w:pPr>
      <w:spacing w:after="60" w:line="240" w:lineRule="auto"/>
      <w:outlineLvl w:val="1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11"/>
    <w:rPr>
      <w:rFonts w:ascii="Cambria" w:hAnsi="Cambria" w:cs="Times New Roman"/>
      <w:sz w:val="24"/>
      <w:szCs w:val="24"/>
    </w:rPr>
  </w:style>
  <w:style w:type="character" w:styleId="af3">
    <w:name w:val="Strong"/>
    <w:qFormat/>
    <w:rPr>
      <w:rFonts w:cs="Times New Roman"/>
      <w:b/>
      <w:bCs/>
    </w:rPr>
  </w:style>
  <w:style w:type="character" w:styleId="af4">
    <w:name w:val="Emphasis"/>
    <w:qFormat/>
    <w:rPr>
      <w:rFonts w:cs="Times New Roman"/>
      <w:i/>
      <w:iCs/>
    </w:rPr>
  </w:style>
  <w:style w:type="paragraph" w:styleId="af5">
    <w:name w:val="No Spacing"/>
    <w:uiPriority w:val="1"/>
    <w:qFormat/>
    <w:rPr>
      <w:rFonts w:ascii="Calibri" w:hAnsi="Calibri"/>
      <w:sz w:val="22"/>
      <w:szCs w:val="22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link w:val="af8"/>
    <w:uiPriority w:val="1"/>
    <w:qFormat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f8">
    <w:name w:val="Абзац списка Знак"/>
    <w:link w:val="af7"/>
    <w:uiPriority w:val="1"/>
    <w:qFormat/>
    <w:rPr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Pr>
      <w:sz w:val="16"/>
      <w:szCs w:val="16"/>
    </w:rPr>
  </w:style>
  <w:style w:type="paragraph" w:customStyle="1" w:styleId="111">
    <w:name w:val="Заголовок 11"/>
    <w:basedOn w:val="a"/>
    <w:uiPriority w:val="1"/>
    <w:qFormat/>
    <w:pPr>
      <w:spacing w:before="0" w:line="240" w:lineRule="auto"/>
      <w:ind w:left="130"/>
      <w:jc w:val="left"/>
      <w:outlineLvl w:val="1"/>
    </w:pPr>
    <w:rPr>
      <w:sz w:val="28"/>
      <w:szCs w:val="28"/>
      <w:lang w:val="en-US" w:eastAsia="en-US"/>
    </w:rPr>
  </w:style>
  <w:style w:type="paragraph" w:customStyle="1" w:styleId="220">
    <w:name w:val="Заголовок 22"/>
    <w:basedOn w:val="a"/>
    <w:uiPriority w:val="1"/>
    <w:qFormat/>
    <w:pPr>
      <w:spacing w:before="0" w:line="240" w:lineRule="auto"/>
      <w:ind w:left="131"/>
      <w:jc w:val="left"/>
      <w:outlineLvl w:val="2"/>
    </w:pPr>
    <w:rPr>
      <w:sz w:val="27"/>
      <w:szCs w:val="27"/>
      <w:lang w:val="en-US" w:eastAsia="en-US"/>
    </w:rPr>
  </w:style>
  <w:style w:type="paragraph" w:styleId="afb">
    <w:name w:val="header"/>
    <w:basedOn w:val="a"/>
    <w:link w:val="afc"/>
    <w:uiPriority w:val="99"/>
    <w:semiHidden/>
    <w:unhideWhenUsed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Pr>
      <w:sz w:val="16"/>
      <w:szCs w:val="16"/>
    </w:rPr>
  </w:style>
  <w:style w:type="paragraph" w:styleId="afd">
    <w:name w:val="foot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rPr>
      <w:sz w:val="16"/>
      <w:szCs w:val="16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2747C21-A293-45D8-8C03-FE2E96C4F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соцзащиты населения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Жорова</dc:creator>
  <cp:lastModifiedBy>Корнеева Елена Григорьевна</cp:lastModifiedBy>
  <cp:revision>2</cp:revision>
  <dcterms:created xsi:type="dcterms:W3CDTF">2026-06-03T12:29:00Z</dcterms:created>
  <dcterms:modified xsi:type="dcterms:W3CDTF">2026-06-03T12:29:00Z</dcterms:modified>
</cp:coreProperties>
</file>