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bookmarkStart w:id="0" w:name="_Hlk197348719"/>
      <w:bookmarkStart w:id="1" w:name="_Hlk197348719"/>
      <w:bookmarkEnd w:id="1"/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Описание объекта закупки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оказание услуг по замене блока средства криптографической защиты информации (СКЗИ) тахографа на автомобиле .</w:t>
      </w:r>
    </w:p>
    <w:p>
      <w:pPr>
        <w:pStyle w:val="Normal"/>
        <w:spacing w:lineRule="auto" w:line="240" w:before="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567" w:hanging="567"/>
        <w:jc w:val="both"/>
        <w:rPr>
          <w:rFonts w:ascii="Times New Roman" w:hAnsi="Times New Roman"/>
          <w:b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</w:t>
        <w:tab/>
      </w:r>
      <w:r>
        <w:rPr>
          <w:rFonts w:ascii="Times New Roman" w:hAnsi="Times New Roman"/>
          <w:b/>
          <w:sz w:val="22"/>
          <w:szCs w:val="22"/>
        </w:rPr>
        <w:t>Объект закупки:</w:t>
      </w:r>
    </w:p>
    <w:p>
      <w:pPr>
        <w:pStyle w:val="Normal"/>
        <w:spacing w:lineRule="auto" w:line="240" w:before="0" w:after="0"/>
        <w:ind w:left="567" w:hanging="567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1.1.</w:t>
        <w:tab/>
        <w:t>Услуги по замене блока средства криптографической защиты информации (далее – блок СКЗИ) тахографа 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40" w:before="0" w:after="0"/>
        <w:ind w:left="567" w:hanging="567"/>
        <w:jc w:val="both"/>
        <w:rPr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2.</w:t>
        <w:tab/>
        <w:t>Наименование и объем оказываемых услуг</w:t>
      </w:r>
    </w:p>
    <w:tbl>
      <w:tblPr>
        <w:tblStyle w:val="a3"/>
        <w:tblW w:w="9628" w:type="dxa"/>
        <w:jc w:val="left"/>
        <w:tblInd w:w="5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0"/>
        <w:gridCol w:w="2756"/>
        <w:gridCol w:w="3910"/>
        <w:gridCol w:w="1173"/>
        <w:gridCol w:w="1289"/>
      </w:tblGrid>
      <w:tr>
        <w:trPr/>
        <w:tc>
          <w:tcPr>
            <w:tcW w:w="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27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Наименование</w:t>
            </w:r>
          </w:p>
        </w:tc>
        <w:tc>
          <w:tcPr>
            <w:tcW w:w="39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Код ОКПД2</w:t>
            </w:r>
          </w:p>
        </w:tc>
        <w:tc>
          <w:tcPr>
            <w:tcW w:w="11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Единица измерения</w:t>
            </w:r>
          </w:p>
        </w:tc>
        <w:tc>
          <w:tcPr>
            <w:tcW w:w="12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Количество (объем)</w:t>
            </w:r>
          </w:p>
        </w:tc>
      </w:tr>
      <w:tr>
        <w:trPr>
          <w:trHeight w:val="920" w:hRule="atLeast"/>
        </w:trPr>
        <w:tc>
          <w:tcPr>
            <w:tcW w:w="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1.</w:t>
            </w:r>
          </w:p>
        </w:tc>
        <w:tc>
          <w:tcPr>
            <w:tcW w:w="666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Комплекс услуг по активации блока СКЗИ « НКМ» тахографа,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ru-RU" w:bidi="ar-SA"/>
              </w:rPr>
              <w:t xml:space="preserve">включая обработку и ввод данных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ru-RU" w:bidi="ar-SA"/>
              </w:rPr>
              <w:t xml:space="preserve">-Монтаж тахографа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ru-RU" w:bidi="ar-SA"/>
              </w:rPr>
              <w:t xml:space="preserve">-Замена блока СКЗИ цифрового тахографа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ru-RU" w:bidi="ar-SA"/>
              </w:rPr>
              <w:t xml:space="preserve">-Блок СКЗИ тахографа </w:t>
            </w:r>
          </w:p>
        </w:tc>
        <w:tc>
          <w:tcPr>
            <w:tcW w:w="11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Условная единица</w:t>
            </w:r>
          </w:p>
        </w:tc>
        <w:tc>
          <w:tcPr>
            <w:tcW w:w="12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40" w:before="0" w:after="0"/>
        <w:ind w:left="567" w:hanging="567"/>
        <w:jc w:val="both"/>
        <w:rPr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3.</w:t>
        <w:tab/>
        <w:t>Порядок оказания услуг:</w:t>
      </w:r>
    </w:p>
    <w:p>
      <w:pPr>
        <w:pStyle w:val="Normal"/>
        <w:spacing w:lineRule="auto" w:line="240" w:before="0" w:after="0"/>
        <w:ind w:left="567" w:hanging="567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3.1.</w:t>
        <w:tab/>
        <w:t>Замена встроенного блока СКЗИ:</w:t>
      </w:r>
    </w:p>
    <w:p>
      <w:pPr>
        <w:pStyle w:val="Normal"/>
        <w:spacing w:lineRule="auto" w:line="240" w:before="0" w:after="0"/>
        <w:ind w:left="851" w:hanging="284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ab/>
        <w:t>демонтаж блока СКЗИ из тахографа и его дезактивация с соблюдением требований технической документации организаций-изготовителей блоков СКЗИ;</w:t>
      </w:r>
    </w:p>
    <w:p>
      <w:pPr>
        <w:pStyle w:val="Normal"/>
        <w:spacing w:lineRule="auto" w:line="240" w:before="0" w:after="0"/>
        <w:ind w:left="851" w:hanging="284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ab/>
        <w:t>установка в тахограф нового блока СКЗИ и его активация с соблюдением требований технической документации организаций-изготовителей блоков СКЗИ.</w:t>
      </w:r>
    </w:p>
    <w:p>
      <w:pPr>
        <w:pStyle w:val="Normal"/>
        <w:spacing w:lineRule="auto" w:line="240" w:before="0" w:after="0"/>
        <w:ind w:left="567" w:hanging="567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3.2.</w:t>
        <w:tab/>
        <w:t>Метрологическая поверка тахографа.</w:t>
      </w:r>
    </w:p>
    <w:p>
      <w:pPr>
        <w:pStyle w:val="Normal"/>
        <w:spacing w:lineRule="auto" w:line="240" w:before="0" w:after="0"/>
        <w:ind w:left="567" w:hanging="567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3.3.</w:t>
        <w:tab/>
        <w:t>Активация встроенного блока СКЗИ.</w:t>
      </w:r>
    </w:p>
    <w:p>
      <w:pPr>
        <w:pStyle w:val="Normal"/>
        <w:spacing w:lineRule="auto" w:line="240" w:before="0" w:after="0"/>
        <w:ind w:left="851" w:hanging="284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ab/>
        <w:t>активация блока СКЗИ тахографа осуществляется после аутентификации им карты мастерской;</w:t>
      </w:r>
    </w:p>
    <w:p>
      <w:pPr>
        <w:pStyle w:val="Normal"/>
        <w:spacing w:lineRule="auto" w:line="240" w:before="0" w:after="0"/>
        <w:ind w:left="851" w:hanging="284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ab/>
        <w:t>тахограф с неактивированным блоком СКЗИ тахографа записывает на карту мастерской данные, необходимые для создания квалифицированного сертификата ключа блока СКЗИ тахографа (далее – данные для создания сертификата ключа);</w:t>
      </w:r>
    </w:p>
    <w:p>
      <w:pPr>
        <w:pStyle w:val="Normal"/>
        <w:spacing w:lineRule="auto" w:line="240" w:before="0" w:after="0"/>
        <w:ind w:left="851" w:hanging="284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ab/>
        <w:t>мастерская направляет данные для создания сертификата ключа в аккредитованный удостоверяющий центр;</w:t>
      </w:r>
    </w:p>
    <w:p>
      <w:pPr>
        <w:pStyle w:val="Normal"/>
        <w:spacing w:lineRule="auto" w:line="240" w:before="0" w:after="0"/>
        <w:ind w:left="851" w:hanging="284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ab/>
        <w:t>мастерская, получив квалифицированный сертификат ключа блока СКЗИ тахографа, записывает его на карту мастерской;</w:t>
      </w:r>
    </w:p>
    <w:p>
      <w:pPr>
        <w:pStyle w:val="Normal"/>
        <w:spacing w:lineRule="auto" w:line="240" w:before="0" w:after="0"/>
        <w:ind w:left="851" w:hanging="284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ab/>
        <w:t>ввод квалифицированного сертификата ключа блока СКЗИ тахографа с карты мастерской в блок СКЗИ тахографа осуществляется путем ввода карты мастерской в тахограф, ввода PIN-кода и аутентификации карты мастерской блоком СКЗИ тахографа;</w:t>
      </w:r>
    </w:p>
    <w:p>
      <w:pPr>
        <w:pStyle w:val="Normal"/>
        <w:spacing w:lineRule="auto" w:line="240" w:before="0" w:after="0"/>
        <w:ind w:left="851" w:hanging="284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ab/>
        <w:t>проверка завершения загрузки квалифицированного сертификата ключа блока СКЗИ тахографа с карты мастерской в блок СКЗИ тахографа проводится путем взаимной аутентификации карты мастерской и блока СКЗИ тахографа;</w:t>
      </w:r>
    </w:p>
    <w:p>
      <w:pPr>
        <w:pStyle w:val="Normal"/>
        <w:spacing w:lineRule="auto" w:line="240" w:before="0" w:after="0"/>
        <w:ind w:left="851" w:hanging="284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ab/>
        <w:t>после загрузки в блок СКЗИ тахографа квалифицированного сертификата ключа блока СКЗИ тахографа осуществляется загрузка в блок СКЗИ тахографа идентификационных данных транспортного средства, а также установочных параметров, требующих сохранения в защищенном архиве блока СКЗИ тахографа;</w:t>
      </w:r>
    </w:p>
    <w:p>
      <w:pPr>
        <w:pStyle w:val="Normal"/>
        <w:spacing w:lineRule="auto" w:line="240" w:before="0" w:after="0"/>
        <w:ind w:left="851" w:hanging="284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ab/>
        <w:t>после загрузки в блок СКЗИ тахографа идентификационных данных транспортного средства и установочных параметров, требующих сохранения в защищенном архиве блока СКЗИ тахографа, активизация блока СКЗИ тахографа завершается, ключевая информация, загруженная в блок СКЗИ тахографа, с этого момента принадлежит владельцу транспортного средства;</w:t>
      </w:r>
    </w:p>
    <w:p>
      <w:pPr>
        <w:pStyle w:val="Normal"/>
        <w:spacing w:lineRule="auto" w:line="240" w:before="0" w:after="0"/>
        <w:ind w:left="851" w:hanging="284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ab/>
        <w:t>мастерская направляет сведения об активизированных тахографе, блоке СКЗИ тахографа и идентификационных данных транспортного средства, в том числе сведения об идентификационном (VIN) и государственных регистрационных (VRN) знаках, марке, модели и категории транспортного средства, для их внесения в соответствующие перечни.</w:t>
      </w:r>
    </w:p>
    <w:p>
      <w:pPr>
        <w:pStyle w:val="Normal"/>
        <w:spacing w:lineRule="auto" w:line="240" w:before="0" w:after="0"/>
        <w:ind w:left="567" w:hanging="567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3.4.</w:t>
        <w:tab/>
        <w:t>После активации блока СКЗИ тахографа Исполнитель вносит сведения о встраивании блока СКЗИ в тахограф в раздел восемь формуляра блока СКЗИ, скрепляет ее подписью работника мастерской.</w:t>
      </w:r>
    </w:p>
    <w:p>
      <w:pPr>
        <w:pStyle w:val="Normal"/>
        <w:spacing w:lineRule="auto" w:line="240" w:before="0" w:after="0"/>
        <w:ind w:left="567" w:hanging="567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3.5.</w:t>
        <w:tab/>
        <w:t>Калибровка тахографа с установленным и активированным блоком СКЗИ:</w:t>
      </w:r>
    </w:p>
    <w:p>
      <w:pPr>
        <w:pStyle w:val="Normal"/>
        <w:spacing w:lineRule="auto" w:line="240" w:before="0" w:after="0"/>
        <w:ind w:left="851" w:hanging="284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ab/>
        <w:t>после калибровки тахографа должно быть проведено испытание на соответствие установленного тахографа в сборе требованиям к точности измерений и регистрации данных;</w:t>
      </w:r>
    </w:p>
    <w:p>
      <w:pPr>
        <w:pStyle w:val="Normal"/>
        <w:spacing w:lineRule="auto" w:line="240" w:before="0" w:after="0"/>
        <w:ind w:left="851" w:hanging="284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ab/>
        <w:t>по окончании калибровки тахографа изготавливается Установочная табличка (калибровочная таблица), которая передается Заказчику для установки в кабине ТС в доступном для обозрения месте.</w:t>
      </w:r>
    </w:p>
    <w:p>
      <w:pPr>
        <w:pStyle w:val="Normal"/>
        <w:spacing w:lineRule="auto" w:line="240" w:before="0" w:after="0"/>
        <w:ind w:left="851" w:hanging="284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ab/>
        <w:t>по результатам калибровки тахографа Исполнитель оформляет Сертификат о калибровке тахографа на ТС Заказчика, оснащенное тахографом и производит опломбировку соединений тахографа.</w:t>
      </w:r>
    </w:p>
    <w:p>
      <w:pPr>
        <w:pStyle w:val="Normal"/>
        <w:spacing w:lineRule="auto" w:line="240" w:before="0" w:after="0"/>
        <w:ind w:left="567" w:hanging="567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3.6.</w:t>
        <w:tab/>
        <w:t>После замены, отработанный блок СКЗИ Исполнитель передает Заказчику.</w:t>
      </w:r>
    </w:p>
    <w:p>
      <w:pPr>
        <w:pStyle w:val="Normal"/>
        <w:spacing w:lineRule="auto" w:line="240" w:before="0" w:after="0"/>
        <w:ind w:left="567" w:hanging="567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3.7.</w:t>
        <w:tab/>
        <w:t>Исполнитель осуществляет изготовление карт водителя для тахографа.</w:t>
      </w:r>
    </w:p>
    <w:p>
      <w:pPr>
        <w:pStyle w:val="Normal"/>
        <w:spacing w:lineRule="auto" w:line="240" w:before="0" w:after="0"/>
        <w:ind w:left="851" w:hanging="284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ab/>
        <w:t>Модель карты должна быть включена в «Перечень сведений о моделях карт тахографа, устанавливаемого на транспортные средства, эксплуатируемые на территории Российской Федерации».</w:t>
      </w:r>
    </w:p>
    <w:p>
      <w:pPr>
        <w:pStyle w:val="Normal"/>
        <w:spacing w:lineRule="auto" w:line="240" w:before="0" w:after="0"/>
        <w:ind w:left="851" w:hanging="284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ab/>
        <w:t xml:space="preserve">Изготовляемые и поставляемые карты должны соответствовать требованиям, утвержденным Приказом Министерства транспорта Российской Федерации от 28.10.2020 № 440 «Об утверждении требований к тахографам, устанавливаемым на транспортные средства, категорий и видов транспортных средств, оснащаемых тахографами, правил использования, обслуживания и контроля работы тахографов, установленных на транспортные средства» (в редакции от 01.09.2022), ГОСТ Р ИСО/МЭК 7810-2015 «Карты идентификационные. Физические характеристики», ГОСТ Р ИСО/МЭК 10373-1-2010 – «Карты идентификационные. Методы испытаний. Часть 1. Общие характеристики».  </w:t>
      </w:r>
    </w:p>
    <w:p>
      <w:pPr>
        <w:pStyle w:val="Normal"/>
        <w:spacing w:lineRule="auto" w:line="240" w:before="0" w:after="0"/>
        <w:ind w:left="851" w:hanging="284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ab/>
        <w:t>Карты должны быть пригодны для использования с установленным блоком СКЗИ.</w:t>
      </w:r>
    </w:p>
    <w:p>
      <w:pPr>
        <w:pStyle w:val="Normal"/>
        <w:spacing w:lineRule="auto" w:line="240" w:before="0" w:after="0"/>
        <w:ind w:left="567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40" w:before="0" w:after="0"/>
        <w:ind w:left="567" w:hanging="567"/>
        <w:jc w:val="both"/>
        <w:rPr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4.</w:t>
        <w:tab/>
        <w:t>Требования, предъявляемые к блоку СКЗИ:</w:t>
      </w:r>
    </w:p>
    <w:p>
      <w:pPr>
        <w:pStyle w:val="Normal"/>
        <w:spacing w:lineRule="auto" w:line="240" w:before="0" w:after="0"/>
        <w:ind w:left="567" w:hanging="567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4.1.</w:t>
        <w:tab/>
        <w:t>Устанавливаемый блок СКЗИ должен быть поверен, в соответствии с требованиями Федерального закона от 26.06.2008 № 102-ФЗ «Об обеспечении единства измерений»;</w:t>
      </w:r>
    </w:p>
    <w:p>
      <w:pPr>
        <w:pStyle w:val="Normal"/>
        <w:spacing w:lineRule="auto" w:line="240" w:before="0" w:after="0"/>
        <w:ind w:left="567" w:hanging="567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4.2.</w:t>
        <w:tab/>
        <w:t>Устанавливаемый блок СКЗИ должен быть новым, не ранее 2024 года выпуска, который не был в употреблении, не прошел восстановление потребительских свойств, ранее не использованным и не эксплуатируемым, свободным от любых притязаний третьих лиц, не находиться под запретом (арестом), в залоге;</w:t>
      </w:r>
    </w:p>
    <w:p>
      <w:pPr>
        <w:pStyle w:val="Normal"/>
        <w:spacing w:lineRule="auto" w:line="240" w:before="0" w:after="0"/>
        <w:ind w:left="567" w:hanging="567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4.3.</w:t>
        <w:tab/>
        <w:t>Информация об установленном блоке СКЗИ должна быть внесена в перечень сведений о моделях блоков СКЗИ тахографов, размещенном на официальном сайте Федерального бюджетного учреждения «Агентство автомобильного транспорта» в сети Интернет.</w:t>
      </w:r>
    </w:p>
    <w:p>
      <w:pPr>
        <w:pStyle w:val="Normal"/>
        <w:spacing w:lineRule="auto" w:line="240" w:before="0" w:after="0"/>
        <w:ind w:left="851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40" w:before="0" w:after="0"/>
        <w:ind w:left="567" w:hanging="567"/>
        <w:jc w:val="both"/>
        <w:rPr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5.</w:t>
        <w:tab/>
        <w:t>Требования, предъявляемые к качеству оказываемых услуг:</w:t>
      </w:r>
    </w:p>
    <w:p>
      <w:pPr>
        <w:pStyle w:val="Normal"/>
        <w:spacing w:lineRule="auto" w:line="240" w:before="0" w:after="0"/>
        <w:ind w:left="567" w:hanging="567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5.1.</w:t>
        <w:tab/>
        <w:t>Устанавливаемый блок СКЗИ должен быть установлен комплектно, обеспечивать конструктивную и функциональную совместимость с ранее установленным тахографом на транспортном средстве Заказчика, и сохранять гарантийные обязательства заводов изготовителей.</w:t>
      </w:r>
    </w:p>
    <w:p>
      <w:pPr>
        <w:pStyle w:val="Normal"/>
        <w:spacing w:lineRule="auto" w:line="240" w:before="0" w:after="0"/>
        <w:ind w:left="567" w:hanging="567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5.2.</w:t>
        <w:tab/>
        <w:t>Услуги должны оказываться с соблюдений требований, установленных следующими нормативными документами:</w:t>
      </w:r>
    </w:p>
    <w:p>
      <w:pPr>
        <w:pStyle w:val="Normal"/>
        <w:spacing w:lineRule="auto" w:line="240" w:before="0" w:after="0"/>
        <w:ind w:left="851" w:hanging="284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ab/>
        <w:t>Федеральный закон от 10.12.1995 № 196-ФЗ «О безопасности дорожного движения»;</w:t>
      </w:r>
    </w:p>
    <w:p>
      <w:pPr>
        <w:pStyle w:val="Normal"/>
        <w:spacing w:lineRule="auto" w:line="240" w:before="0" w:after="0"/>
        <w:ind w:left="851" w:hanging="284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ab/>
        <w:t>Федеральный закон от 26.07.2017 № 187-ФЗ «О безопасности критической информационной инфраструктуры Российской Федерации»;</w:t>
      </w:r>
    </w:p>
    <w:p>
      <w:pPr>
        <w:pStyle w:val="Normal"/>
        <w:spacing w:lineRule="auto" w:line="240" w:before="0" w:after="0"/>
        <w:ind w:left="851" w:hanging="284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ab/>
        <w:t>Постановление Правительства Российской Федерации от 23.11.2012 № 1213 «О требованиях к тахографам, категориях и видах оснащаемых ими транспортных средств, порядке оснащения транспортных средств тахографами, правилах их использования, обслуживания и контроля их работы»;</w:t>
      </w:r>
    </w:p>
    <w:p>
      <w:pPr>
        <w:pStyle w:val="Normal"/>
        <w:spacing w:lineRule="auto" w:line="240" w:before="0" w:after="0"/>
        <w:ind w:left="851" w:hanging="284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ab/>
        <w:t>Приказ Министерства транспорта Российской федерации от 28.10.2020 № 440 «Об утверждении требований к тахографам, устанавливаемым на транспортные средства, категорий и видов транспортных средств, оснащаемых тахографами, правил использования, обслуживания и контроля работы тахографов, установленных на транспортные средства»;</w:t>
      </w:r>
    </w:p>
    <w:p>
      <w:pPr>
        <w:pStyle w:val="Normal"/>
        <w:spacing w:lineRule="auto" w:line="240" w:before="0" w:after="0"/>
        <w:ind w:left="851" w:hanging="284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ab/>
        <w:t>Приказ Министерства транспорта Российской федерации от 13.02.2013 № 36 «Об утверждении требований к тахографам, устанавливаемым на транспортные средства, категорий и видов транспортных средств, оснащаемых тахографами, правил использования, обслуживания и контроля работы тахографов, установленных на транспортные средства»;</w:t>
      </w:r>
    </w:p>
    <w:p>
      <w:pPr>
        <w:pStyle w:val="Normal"/>
        <w:spacing w:lineRule="auto" w:line="240" w:before="0" w:after="0"/>
        <w:ind w:left="851" w:hanging="284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ab/>
        <w:t>Приказом Министерства транспорта Российской федерации от 21.08.2020 № 320 «Об утверждении требований к сервисным центрам (мастерским), осуществляющим деятельность по установке, проверке, техническому обслуживанию и ремонту контрольных устройств, устанавливаемых на транспортных средствах»;</w:t>
      </w:r>
    </w:p>
    <w:p>
      <w:pPr>
        <w:pStyle w:val="Normal"/>
        <w:spacing w:lineRule="auto" w:line="240" w:before="0" w:after="0"/>
        <w:ind w:left="851" w:hanging="284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ab/>
        <w:t>Приказ Министерства промышленности и торговли Российской федерации от 31.07.2020 № 2510 «Об утверждении порядка проведения поверки средств измерений, требований к знаку поверки и содержанию свидетельства о поверке» включает в себя: блок СКЗИ (НКМ), работы по замене блока СКЗИ, активация, настройка (калибровка, поверка блока тахографа);</w:t>
      </w:r>
    </w:p>
    <w:p>
      <w:pPr>
        <w:pStyle w:val="Normal"/>
        <w:spacing w:lineRule="auto" w:line="240" w:before="0" w:after="0"/>
        <w:ind w:left="851" w:hanging="284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ab/>
        <w:t>Приказ Министерства транспорта Российской Федерации от 26.10.2020 №438 "Об утверждении Порядка оснащения транспортных средств тахографами";</w:t>
      </w:r>
    </w:p>
    <w:p>
      <w:pPr>
        <w:pStyle w:val="Normal"/>
        <w:spacing w:lineRule="auto" w:line="240" w:before="0" w:after="0"/>
        <w:ind w:left="851" w:hanging="284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ab/>
        <w:t>Приказ Федеральной службы безопасности Российской Федерации от 09.02.2005 № 66 «Об утверждении Положения о разработке, производстве, реализации и эксплуатации шифровальных (криптографических) средств защиты информации» (Положение ПКЗ-2005)</w:t>
      </w:r>
    </w:p>
    <w:p>
      <w:pPr>
        <w:pStyle w:val="Normal"/>
        <w:spacing w:lineRule="auto" w:line="240" w:before="0" w:after="0"/>
        <w:ind w:left="851" w:hanging="284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ab/>
        <w:t>«ГОСТ Р 53831-2021. Национальный стандарт Российской Федерации. Автомобильные транспортные средства. Тахографы. Технические требования к установке» (утв. и введен в действие Приказом Росстандарта от 24.09.2021 N 1010-ст).</w:t>
      </w:r>
    </w:p>
    <w:p>
      <w:pPr>
        <w:pStyle w:val="Normal"/>
        <w:spacing w:lineRule="auto" w:line="240" w:before="0" w:after="0"/>
        <w:ind w:left="851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40" w:before="0" w:after="0"/>
        <w:ind w:left="567" w:hanging="567"/>
        <w:jc w:val="both"/>
        <w:rPr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6.</w:t>
        <w:tab/>
        <w:t>Гарантийные обязательства:</w:t>
      </w:r>
    </w:p>
    <w:p>
      <w:pPr>
        <w:pStyle w:val="Normal"/>
        <w:spacing w:lineRule="auto" w:line="240" w:before="0" w:after="0"/>
        <w:ind w:left="567" w:hanging="567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6.1.</w:t>
        <w:tab/>
        <w:t>Гарантийный срок на оказанные услуги: 12 (двенадцать) месяцев со дня приемки оказанных услуг.</w:t>
      </w:r>
    </w:p>
    <w:p>
      <w:pPr>
        <w:pStyle w:val="Normal"/>
        <w:spacing w:lineRule="auto" w:line="240" w:before="0" w:after="0"/>
        <w:ind w:left="567" w:hanging="567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6.2.</w:t>
        <w:tab/>
        <w:t>Объем гарантийных обязательств: гарантийные обязательства распространяются на оказанные услуги, а также на все элементы, оборудование, программное обеспечение, устанавливаемое при оказании услуг.</w:t>
      </w:r>
    </w:p>
    <w:p>
      <w:pPr>
        <w:pStyle w:val="Normal"/>
        <w:spacing w:lineRule="auto" w:line="240" w:before="0" w:after="0"/>
        <w:ind w:left="567" w:hanging="567"/>
        <w:jc w:val="both"/>
        <w:rPr>
          <w:sz w:val="22"/>
          <w:szCs w:val="22"/>
        </w:rPr>
      </w:pPr>
      <w:bookmarkStart w:id="2" w:name="_Hlk195795667"/>
      <w:r>
        <w:rPr>
          <w:rFonts w:ascii="Times New Roman" w:hAnsi="Times New Roman"/>
          <w:sz w:val="22"/>
          <w:szCs w:val="22"/>
        </w:rPr>
        <w:t>6.3.</w:t>
        <w:tab/>
        <w:t>Если в период гарантийного срока обнаружатся недостатки, препятствующие эксплуатации транспортного средства, Исполнитель обязуется своими силами и за свой счёт устранить возникшие недостатки, если они (или причины их возникновения) возникли по причине некачественного оказания услуг Исполнителем, или установки Исполнителем некачественного оборудования и/или элементов.</w:t>
      </w:r>
      <w:bookmarkEnd w:id="2"/>
    </w:p>
    <w:p>
      <w:pPr>
        <w:pStyle w:val="Normal"/>
        <w:spacing w:lineRule="auto" w:line="240" w:before="0" w:after="0"/>
        <w:ind w:left="567" w:hanging="567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6.4.</w:t>
        <w:tab/>
        <w:t>При выявлении гарантийного случая Заказчик направляет соответствующее уведомление Исполнителю.</w:t>
      </w:r>
    </w:p>
    <w:p>
      <w:pPr>
        <w:pStyle w:val="Normal"/>
        <w:spacing w:lineRule="auto" w:line="240" w:before="0" w:after="0"/>
        <w:ind w:left="567" w:hanging="567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6.5.</w:t>
        <w:tab/>
        <w:t>При наступлении гарантийного случая, выявленные недостатки (дефекты), препятствующие эксплуатации транспортного средства Заказчика, должны быть устранены в разумные сроки, согласованные Сторонами.</w:t>
      </w:r>
    </w:p>
    <w:p>
      <w:pPr>
        <w:pStyle w:val="Normal"/>
        <w:spacing w:lineRule="auto" w:line="240" w:before="0" w:after="0"/>
        <w:ind w:left="567" w:hanging="567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6.6.</w:t>
        <w:tab/>
        <w:t>Затраты, возникшие в процессе гарантийного обслуживания, в том числе транспортные расходы, расходы на проведение диагностики, экспертизы, расходы на проведение ремонтно-восстановительных работ и / или замене составных частей, а также прочие расходы, несет Исполнитель.</w:t>
      </w:r>
    </w:p>
    <w:p>
      <w:pPr>
        <w:pStyle w:val="Normal"/>
        <w:spacing w:lineRule="auto" w:line="240" w:before="0" w:after="0"/>
        <w:ind w:left="567" w:hanging="567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6.7.</w:t>
        <w:tab/>
        <w:t>Гарантийным случаем не признаются случай, когда выявленные недостатки (дефекты) наступили по вине Заказчика.</w:t>
      </w:r>
    </w:p>
    <w:p>
      <w:pPr>
        <w:pStyle w:val="Normal"/>
        <w:spacing w:lineRule="auto" w:line="240" w:before="0" w:after="0"/>
        <w:ind w:left="567" w:hanging="567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6.8.</w:t>
        <w:tab/>
        <w:t>Исполнитель обязуется предоставить из собственного подменного фонда эквивалентную единицу блока СКЗИ для использования его Заказчиком в случае, если блок СКЗИ, поставленный Заказчику, был транспортирован для проведения ремонта или экспертизы.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40" w:before="0" w:after="0"/>
        <w:ind w:left="567" w:hanging="567"/>
        <w:jc w:val="both"/>
        <w:rPr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7.</w:t>
        <w:tab/>
        <w:t>Требования, предъявляемые к Исполнителю</w:t>
      </w:r>
    </w:p>
    <w:p>
      <w:pPr>
        <w:pStyle w:val="Normal"/>
        <w:spacing w:lineRule="auto" w:line="240" w:before="0" w:after="0"/>
        <w:ind w:left="567" w:hanging="567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7.1.</w:t>
        <w:tab/>
        <w:t>Наличие действующей лицензии на осуществление деятельности по разработке, 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предпринимателя), выданную в соответствии с пунктом 1 части 1 статьи 12 Федерального закона от 04.05.2011 № 99-ФЗ «О лицензировании отдельных видов деятельности» и Постановлением Правительства Российской Федерации от 16.04.2012 № 313 на следующие виды услуг, работ:</w:t>
      </w:r>
    </w:p>
    <w:p>
      <w:pPr>
        <w:pStyle w:val="Normal"/>
        <w:spacing w:lineRule="auto" w:line="240" w:before="0" w:after="0"/>
        <w:ind w:left="851" w:hanging="284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ab/>
        <w:t>монтаж, установка (инсталляция), наладка шифровальных (криптографических) средств, за исключением шифровальных (криптографических) средств защиты фискальных данных, разработанных для применения в составе контрольно-кассовой техники, сертифицированных Федеральной службой безопасности Российской Федерации, и шифровальных (криптографических) средств, разработанных для применения в составе технологии, реализуемой промежуточными элементами интеллектуальной системы учета электрической энергии (мощности) и приборами учета электрической энергии, сертифицированных Федеральной службой безопасности Российской Федерации;</w:t>
      </w:r>
    </w:p>
    <w:p>
      <w:pPr>
        <w:pStyle w:val="Normal"/>
        <w:spacing w:lineRule="auto" w:line="240" w:before="0" w:after="0"/>
        <w:ind w:left="851" w:hanging="284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ab/>
        <w:t>работы по обслуживанию шифровальных (криптографических) средств, предусмотренные технической и эксплуатационной документацией на эти средства (за исключением случая, если указанные работы проводятся для обеспечения собственных нужд юридического лица или индивидуального предпринимателя);</w:t>
      </w:r>
    </w:p>
    <w:p>
      <w:pPr>
        <w:pStyle w:val="Normal"/>
        <w:spacing w:lineRule="auto" w:line="240" w:before="0" w:after="0"/>
        <w:ind w:left="851" w:hanging="284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ab/>
        <w:t>передача шифровальных (криптографических) средств, за исключением шифровальных (криптографических) средств защиты фискальных данных, разработанных для применения в составе контрольно-кассовой техники, сертифицированных Федеральной службой безопасности Российской Федерации, и шифровальных (криптографических) средств, разработанных для применения в составе технологии, реализуемой промежуточными элементами интеллектуальной системы учета электрической энергии (мощности) и приборами учета электрической энергии, сертифицированных Федеральной службой безопасности Российской Федерации.</w:t>
      </w:r>
    </w:p>
    <w:p>
      <w:pPr>
        <w:pStyle w:val="Normal"/>
        <w:spacing w:lineRule="auto" w:line="240" w:before="0" w:after="0"/>
        <w:ind w:left="567" w:hanging="567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7.2.</w:t>
        <w:tab/>
        <w:t>Сведения о сервисном центре (мастерской) Исполнителя должны быть внесены в Перечень сведений о мастерских, осуществляющих деятельность по установке, проверке, техническому обслуживанию и ремонту тахографов (мастерские РФ), опубликованный на официальном сайте Федерального бюджетного учреждения «Агентство автомобильного транспорта» в сети Интернет.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40" w:before="0" w:after="0"/>
        <w:ind w:left="567" w:hanging="567"/>
        <w:jc w:val="both"/>
        <w:rPr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8.</w:t>
        <w:tab/>
        <w:t>Информация о транспортных средствах Заказчика:</w:t>
      </w:r>
    </w:p>
    <w:p>
      <w:pPr>
        <w:pStyle w:val="Normal"/>
        <w:spacing w:lineRule="auto" w:line="240" w:before="0" w:after="0"/>
        <w:ind w:left="567" w:hanging="567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Марка, модель ТС: </w:t>
      </w:r>
      <w:r>
        <w:rPr>
          <w:rFonts w:ascii="Times New Roman" w:hAnsi="Times New Roman"/>
          <w:sz w:val="22"/>
          <w:szCs w:val="22"/>
        </w:rPr>
        <w:t xml:space="preserve">КАМАЗ 65115 АТЗ 17 К286ХХ10;КАМАЗ 65115 К685ОЕ10;ПАЗ 32054 М491ТР10;ГАЗон </w:t>
      </w:r>
      <w:r>
        <w:rPr>
          <w:rFonts w:ascii="Times New Roman" w:hAnsi="Times New Roman"/>
          <w:sz w:val="22"/>
          <w:szCs w:val="22"/>
          <w:lang w:val="en-US"/>
        </w:rPr>
        <w:t>NEXT</w:t>
      </w:r>
      <w:r>
        <w:rPr>
          <w:rFonts w:ascii="Times New Roman" w:hAnsi="Times New Roman"/>
          <w:sz w:val="22"/>
          <w:szCs w:val="22"/>
          <w:lang w:val="ru-RU"/>
        </w:rPr>
        <w:t xml:space="preserve"> С41</w:t>
      </w:r>
      <w:r>
        <w:rPr>
          <w:rFonts w:ascii="Times New Roman" w:hAnsi="Times New Roman"/>
          <w:sz w:val="22"/>
          <w:szCs w:val="22"/>
          <w:lang w:val="en-US"/>
        </w:rPr>
        <w:t>R</w:t>
      </w:r>
      <w:r>
        <w:rPr>
          <w:rFonts w:ascii="Times New Roman" w:hAnsi="Times New Roman"/>
          <w:sz w:val="22"/>
          <w:szCs w:val="22"/>
          <w:lang w:val="ru-RU"/>
        </w:rPr>
        <w:t>33</w:t>
      </w:r>
      <w:r>
        <w:rPr>
          <w:rFonts w:ascii="Times New Roman" w:hAnsi="Times New Roman"/>
          <w:sz w:val="22"/>
          <w:szCs w:val="22"/>
          <w:lang w:val="en-US"/>
        </w:rPr>
        <w:t>H</w:t>
      </w:r>
      <w:r>
        <w:rPr>
          <w:rFonts w:ascii="Times New Roman" w:hAnsi="Times New Roman"/>
          <w:sz w:val="22"/>
          <w:szCs w:val="22"/>
          <w:lang w:val="ru-RU"/>
        </w:rPr>
        <w:t>519КР10</w:t>
      </w:r>
    </w:p>
    <w:p>
      <w:pPr>
        <w:pStyle w:val="Normal"/>
        <w:spacing w:lineRule="auto" w:line="240" w:before="0" w:after="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40" w:before="0" w:after="0"/>
        <w:ind w:left="567" w:hanging="567"/>
        <w:jc w:val="both"/>
        <w:rPr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9.</w:t>
        <w:tab/>
        <w:t>Место оказания услуг:</w:t>
      </w:r>
    </w:p>
    <w:p>
      <w:pPr>
        <w:pStyle w:val="Normal"/>
        <w:spacing w:lineRule="auto" w:line="240" w:before="0" w:after="0"/>
        <w:ind w:left="567" w:hanging="567"/>
        <w:jc w:val="both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  <w:sz w:val="22"/>
          <w:szCs w:val="22"/>
        </w:rPr>
        <w:t>ПРГС - филиал ФБУ "Администрация " Беломорканал"</w:t>
      </w:r>
    </w:p>
    <w:p>
      <w:pPr>
        <w:pStyle w:val="Normal"/>
        <w:spacing w:lineRule="auto" w:line="240" w:before="0" w:after="0"/>
        <w:ind w:left="567" w:hanging="567"/>
        <w:jc w:val="both"/>
        <w:rPr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Адрес: 186326, Республика Карелия, м. р-н Медвежъегорский, г.п. Повенецкое, пгт.Повенец, ул. Ленина, д.26 ( Стройбаза Район шлюза №3 )</w:t>
      </w:r>
    </w:p>
    <w:p>
      <w:pPr>
        <w:pStyle w:val="Normal"/>
        <w:spacing w:lineRule="auto" w:line="240" w:before="0" w:after="0"/>
        <w:ind w:hanging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br w:type="page"/>
      </w:r>
    </w:p>
    <w:p>
      <w:pPr>
        <w:pStyle w:val="Normal"/>
        <w:bidi w:val="1"/>
        <w:spacing w:before="0" w:after="200"/>
        <w:jc w:val="left"/>
        <w:rPr/>
      </w:pPr>
      <w:r>
        <w:rPr>
          <w:rtl w:val="true"/>
        </w:rPr>
      </w:r>
    </w:p>
    <w:sectPr>
      <w:footerReference w:type="default" r:id="rId2"/>
      <w:type w:val="nextPage"/>
      <w:pgSz w:w="11906" w:h="16838"/>
      <w:pgMar w:left="1134" w:right="567" w:gutter="0" w:header="0" w:top="851" w:footer="567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262347754"/>
    </w:sdtPr>
    <w:sdtContent>
      <w:p>
        <w:pPr>
          <w:pStyle w:val="Style25"/>
          <w:jc w:val="center"/>
          <w:rPr>
            <w:sz w:val="20"/>
          </w:rPr>
        </w:pPr>
        <w:r>
          <w:rPr>
            <w:sz w:val="20"/>
          </w:rPr>
        </w:r>
      </w:p>
    </w:sdtContent>
  </w:sdt>
  <w:p>
    <w:pPr>
      <w:pStyle w:val="Style25"/>
      <w:rPr/>
    </w:pPr>
    <w:r>
      <w:rPr/>
    </w:r>
  </w:p>
</w:ftr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d51568"/>
    <w:pPr>
      <w:widowControl/>
      <w:suppressAutoHyphens w:val="true"/>
      <w:bidi w:val="0"/>
      <w:spacing w:lineRule="auto" w:line="276" w:before="0" w:after="200"/>
      <w:ind w:hanging="0"/>
      <w:jc w:val="left"/>
    </w:pPr>
    <w:rPr>
      <w:rFonts w:ascii="Calibri" w:hAnsi="Calibri" w:eastAsia="Calibri" w:cs="Times New Roman" w:eastAsia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Нижний колонтитул Знак"/>
    <w:basedOn w:val="DefaultParagraphFont"/>
    <w:uiPriority w:val="99"/>
    <w:qFormat/>
    <w:rsid w:val="00fc7591"/>
    <w:rPr>
      <w:rFonts w:eastAsia="Times New Roman" w:cs="Times New Roman"/>
      <w:sz w:val="24"/>
      <w:szCs w:val="20"/>
    </w:rPr>
  </w:style>
  <w:style w:type="character" w:styleId="Style15" w:customStyle="1">
    <w:name w:val="Абзац списка Знак"/>
    <w:link w:val="ListParagraph"/>
    <w:uiPriority w:val="34"/>
    <w:qFormat/>
    <w:locked/>
    <w:rsid w:val="00fc7591"/>
    <w:rPr>
      <w:rFonts w:ascii="Calibri" w:hAnsi="Calibri" w:eastAsia="Calibri" w:cs="Times New Roman"/>
      <w:sz w:val="22"/>
    </w:rPr>
  </w:style>
  <w:style w:type="character" w:styleId="FontStyle26" w:customStyle="1">
    <w:name w:val="Font Style26"/>
    <w:basedOn w:val="DefaultParagraphFont"/>
    <w:uiPriority w:val="99"/>
    <w:qFormat/>
    <w:rsid w:val="00fc1681"/>
    <w:rPr>
      <w:rFonts w:ascii="Times New Roman" w:hAnsi="Times New Roman" w:cs="Times New Roman"/>
      <w:sz w:val="26"/>
      <w:szCs w:val="26"/>
    </w:rPr>
  </w:style>
  <w:style w:type="character" w:styleId="Style16">
    <w:name w:val="Интернет-ссылка"/>
    <w:basedOn w:val="DefaultParagraphFont"/>
    <w:uiPriority w:val="99"/>
    <w:unhideWhenUsed/>
    <w:rsid w:val="00f16400"/>
    <w:rPr>
      <w:color w:val="0563C1" w:themeColor="hyperlink"/>
      <w:u w:val="single"/>
    </w:rPr>
  </w:style>
  <w:style w:type="character" w:styleId="Style17" w:customStyle="1">
    <w:name w:val="Верхний колонтитул Знак"/>
    <w:basedOn w:val="DefaultParagraphFont"/>
    <w:uiPriority w:val="99"/>
    <w:qFormat/>
    <w:rsid w:val="000f7d6b"/>
    <w:rPr>
      <w:rFonts w:ascii="Calibri" w:hAnsi="Calibri" w:eastAsia="Calibri" w:cs="Times New Roman"/>
      <w:sz w:val="22"/>
    </w:rPr>
  </w:style>
  <w:style w:type="character" w:styleId="Style18" w:customStyle="1">
    <w:name w:val="Текст выноски Знак"/>
    <w:basedOn w:val="DefaultParagraphFont"/>
    <w:link w:val="BalloonText"/>
    <w:uiPriority w:val="99"/>
    <w:semiHidden/>
    <w:qFormat/>
    <w:rsid w:val="000f7d6b"/>
    <w:rPr>
      <w:rFonts w:ascii="Segoe UI" w:hAnsi="Segoe UI" w:eastAsia="Calibr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016f65"/>
    <w:rPr>
      <w:b/>
      <w:bCs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link w:val="Style15"/>
    <w:uiPriority w:val="34"/>
    <w:qFormat/>
    <w:rsid w:val="00fc7591"/>
    <w:pPr>
      <w:spacing w:before="0" w:after="200"/>
      <w:ind w:left="720" w:hanging="0"/>
      <w:contextualSpacing/>
    </w:pPr>
    <w:rPr/>
  </w:style>
  <w:style w:type="paragraph" w:styleId="Style24">
    <w:name w:val="Колонтитул"/>
    <w:basedOn w:val="Normal"/>
    <w:qFormat/>
    <w:pPr/>
    <w:rPr/>
  </w:style>
  <w:style w:type="paragraph" w:styleId="Style25">
    <w:name w:val="Footer"/>
    <w:basedOn w:val="Normal"/>
    <w:link w:val="Style14"/>
    <w:uiPriority w:val="99"/>
    <w:unhideWhenUsed/>
    <w:rsid w:val="00fc7591"/>
    <w:pPr>
      <w:widowControl w:val="false"/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/>
      <w:sz w:val="24"/>
      <w:szCs w:val="20"/>
    </w:rPr>
  </w:style>
  <w:style w:type="paragraph" w:styleId="Default" w:customStyle="1">
    <w:name w:val="Default"/>
    <w:qFormat/>
    <w:rsid w:val="009847a3"/>
    <w:pPr>
      <w:widowControl/>
      <w:suppressAutoHyphens w:val="true"/>
      <w:bidi w:val="0"/>
      <w:spacing w:before="0" w:after="0"/>
      <w:ind w:hanging="0"/>
      <w:jc w:val="left"/>
    </w:pPr>
    <w:rPr>
      <w:rFonts w:ascii="Arial" w:hAnsi="Arial" w:eastAsia="Calibri" w:cs="Arial"/>
      <w:color w:val="000000"/>
      <w:kern w:val="0"/>
      <w:sz w:val="24"/>
      <w:szCs w:val="24"/>
      <w:lang w:val="ru-RU" w:eastAsia="en-US" w:bidi="ar-SA"/>
    </w:rPr>
  </w:style>
  <w:style w:type="paragraph" w:styleId="Style26" w:customStyle="1">
    <w:name w:val="Style2"/>
    <w:basedOn w:val="Normal"/>
    <w:uiPriority w:val="99"/>
    <w:qFormat/>
    <w:rsid w:val="00fc1681"/>
    <w:pPr>
      <w:widowControl w:val="false"/>
      <w:spacing w:lineRule="exact" w:line="320" w:before="0" w:after="0"/>
      <w:jc w:val="center"/>
    </w:pPr>
    <w:rPr>
      <w:rFonts w:ascii="Times New Roman" w:hAnsi="Times New Roman" w:eastAsia="" w:eastAsiaTheme="minorEastAsia"/>
      <w:sz w:val="24"/>
      <w:szCs w:val="24"/>
      <w:lang w:eastAsia="ru-RU"/>
    </w:rPr>
  </w:style>
  <w:style w:type="paragraph" w:styleId="ConsPlusNonformat" w:customStyle="1">
    <w:name w:val="ConsPlusNonformat"/>
    <w:uiPriority w:val="99"/>
    <w:qFormat/>
    <w:rsid w:val="00e15eeb"/>
    <w:pPr>
      <w:widowControl w:val="false"/>
      <w:suppressAutoHyphens w:val="true"/>
      <w:bidi w:val="0"/>
      <w:spacing w:before="0" w:after="0"/>
      <w:ind w:hanging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uiPriority w:val="1"/>
    <w:qFormat/>
    <w:rsid w:val="005040d4"/>
    <w:pPr>
      <w:widowControl/>
      <w:suppressAutoHyphens w:val="true"/>
      <w:bidi w:val="0"/>
      <w:spacing w:before="0" w:after="0"/>
      <w:ind w:hanging="0"/>
      <w:jc w:val="left"/>
    </w:pPr>
    <w:rPr>
      <w:rFonts w:ascii="Calibri" w:hAnsi="Calibri" w:eastAsia="Calibri" w:cs="Times New Roman" w:eastAsiaTheme="minorHAnsi"/>
      <w:color w:val="auto"/>
      <w:kern w:val="0"/>
      <w:sz w:val="22"/>
      <w:szCs w:val="22"/>
      <w:lang w:val="ru-RU" w:eastAsia="en-US" w:bidi="ar-SA"/>
    </w:rPr>
  </w:style>
  <w:style w:type="paragraph" w:styleId="Style27">
    <w:name w:val="Header"/>
    <w:basedOn w:val="Normal"/>
    <w:link w:val="Style17"/>
    <w:uiPriority w:val="99"/>
    <w:unhideWhenUsed/>
    <w:rsid w:val="000f7d6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8"/>
    <w:uiPriority w:val="99"/>
    <w:semiHidden/>
    <w:unhideWhenUsed/>
    <w:qFormat/>
    <w:rsid w:val="000f7d6b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c7591"/>
    <w:pPr>
      <w:jc w:val="left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A7526-671A-484E-8BE6-0F64D9C44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Application>AlterOffice/3.2.9.1$Windows_X86_64 LibreOffice_project/f6fcdc9ef8f5642eaaec34925899f1250a32c141</Application>
  <AppVersion>15.0000</AppVersion>
  <Pages>5</Pages>
  <Words>1526</Words>
  <Characters>11721</Characters>
  <CharactersWithSpaces>13206</CharactersWithSpaces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2025-01-20T10:45:00Z</dcterms:created>
  <dc:creator>Ветров В.В.</dc:creator>
  <dc:description/>
  <dc:language>ru-RU</dc:language>
  <cp:lastModifiedBy>IvanovaGS</cp:lastModifiedBy>
  <cp:lastPrinted>2022-04-05T08:49:00Z</cp:lastPrinted>
  <dcterms:modified xsi:type="dcterms:W3CDTF">2026-08-04T14:55:46Z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