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center"/>
        <w:rPr>
          <w:sz w:val="21"/>
          <w:szCs w:val="21"/>
        </w:rPr>
      </w:pPr>
      <w:r>
        <w:rPr>
          <w:rFonts w:cs="Times New Roman"/>
          <w:b/>
          <w:color w:themeColor="dark1" w:val="000000"/>
          <w:sz w:val="21"/>
          <w:szCs w:val="21"/>
        </w:rPr>
        <w:t xml:space="preserve">Договор </w:t>
      </w:r>
      <w:r>
        <w:rPr>
          <w:rFonts w:cs="Times New Roman"/>
          <w:b/>
          <w:bCs/>
          <w:color w:themeColor="dark1" w:val="000000"/>
          <w:sz w:val="21"/>
          <w:szCs w:val="21"/>
        </w:rPr>
        <w:t xml:space="preserve">№ </w:t>
      </w:r>
      <w:r>
        <w:rPr>
          <w:rFonts w:eastAsia="Times New Roman" w:cs="Calibri"/>
          <w:b/>
          <w:bCs/>
          <w:color w:val="auto"/>
          <w:kern w:val="0"/>
          <w:sz w:val="21"/>
          <w:szCs w:val="21"/>
          <w:lang w:val="ru-RU" w:eastAsia="ar-SA" w:bidi="ar-SA"/>
        </w:rPr>
        <w:t>____________________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на изготовление и поставку </w:t>
      </w:r>
      <w:r>
        <w:rPr>
          <w:b/>
          <w:bCs/>
          <w:sz w:val="21"/>
          <w:szCs w:val="21"/>
        </w:rPr>
        <w:t xml:space="preserve">подарочного </w:t>
      </w:r>
      <w:r>
        <w:rPr>
          <w:b/>
          <w:bCs/>
          <w:sz w:val="21"/>
          <w:szCs w:val="21"/>
        </w:rPr>
        <w:t>наградного комплекта</w:t>
      </w:r>
    </w:p>
    <w:p>
      <w:pPr>
        <w:pStyle w:val="BodyText"/>
        <w:overflowPunct w:val="true"/>
        <w:bidi w:val="0"/>
        <w:spacing w:lineRule="auto" w:line="276" w:before="57" w:after="57"/>
        <w:ind w:hanging="0" w:left="0" w:right="0"/>
        <w:jc w:val="center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г. Киров</w:t>
        <w:tab/>
        <w:tab/>
        <w:tab/>
        <w:tab/>
        <w:tab/>
        <w:tab/>
        <w:tab/>
        <w:tab/>
        <w:tab/>
        <w:t>«_____» ____________ 2026 г.</w:t>
      </w:r>
    </w:p>
    <w:p>
      <w:pPr>
        <w:pStyle w:val="Normal"/>
        <w:tabs>
          <w:tab w:val="clear" w:pos="708"/>
          <w:tab w:val="right" w:pos="9923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1"/>
          <w:szCs w:val="21"/>
        </w:rPr>
        <w:t>именуемое в дальнейшем «</w:t>
      </w:r>
      <w:r>
        <w:rPr>
          <w:b/>
          <w:sz w:val="21"/>
          <w:szCs w:val="21"/>
        </w:rPr>
        <w:t>Заказчик</w:t>
      </w:r>
      <w:r>
        <w:rPr>
          <w:sz w:val="21"/>
          <w:szCs w:val="21"/>
        </w:rPr>
        <w:t xml:space="preserve">»,  в лице директора Парамонова Игоря Владимировича, действующего на основании Устава, с одной стороны, и </w:t>
      </w:r>
      <w:r>
        <w:rPr>
          <w:b/>
          <w:sz w:val="21"/>
          <w:szCs w:val="21"/>
        </w:rPr>
        <w:t>_________________________________________</w:t>
      </w:r>
      <w:r>
        <w:rPr>
          <w:sz w:val="21"/>
          <w:szCs w:val="21"/>
        </w:rPr>
        <w:t xml:space="preserve">, в лице </w:t>
      </w:r>
      <w:r>
        <w:rPr>
          <w:sz w:val="21"/>
          <w:szCs w:val="21"/>
        </w:rPr>
        <w:t xml:space="preserve">_______________, </w:t>
      </w:r>
      <w:r>
        <w:rPr>
          <w:sz w:val="21"/>
          <w:szCs w:val="21"/>
        </w:rPr>
        <w:t>именуемый в дальнейшем «Поставщик», действующий на основании _______________________________</w:t>
      </w:r>
      <w:r>
        <w:rPr>
          <w:b w:val="false"/>
          <w:bCs w:val="false"/>
          <w:sz w:val="21"/>
          <w:szCs w:val="21"/>
        </w:rPr>
        <w:t>, с другой стороны</w:t>
      </w:r>
      <w:r>
        <w:rPr>
          <w:rFonts w:cs="Times New Roman"/>
          <w:b w:val="false"/>
          <w:bCs w:val="false"/>
          <w:color w:themeColor="dark1" w:val="000000"/>
          <w:sz w:val="21"/>
          <w:szCs w:val="21"/>
        </w:rPr>
        <w:t>, здесь и далее вместе именуемые «Стороны», в соответствии со ст. 4 ч.15 п. 1 Федерального закона от 18.07.2011 №223-ФЗ "О закупках товаров, работ, услуг отдельными видами юридических лиц", заключили настоящий договор о нижеследующем: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overflowPunct w:val="true"/>
        <w:bidi w:val="0"/>
        <w:spacing w:lineRule="auto" w:line="276" w:before="0" w:after="0"/>
        <w:ind w:hanging="0" w:left="0" w:right="0"/>
        <w:rPr>
          <w:b/>
          <w:bCs/>
          <w:sz w:val="21"/>
          <w:szCs w:val="21"/>
        </w:rPr>
      </w:pPr>
      <w:r>
        <w:rPr>
          <w:rFonts w:cs="Times New Roman"/>
          <w:b/>
          <w:bCs/>
          <w:color w:themeColor="dark1" w:val="000000"/>
          <w:sz w:val="21"/>
          <w:szCs w:val="21"/>
        </w:rPr>
        <w:t>1. Предмет договора</w:t>
      </w:r>
    </w:p>
    <w:p>
      <w:pPr>
        <w:pStyle w:val="Titl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1.1. По настоящему договору Поставщик обязуется </w:t>
      </w:r>
      <w:r>
        <w:rPr>
          <w:rFonts w:cs="Times New Roman"/>
          <w:b w:val="false"/>
          <w:bCs w:val="false"/>
          <w:i w:val="false"/>
          <w:iCs w:val="false"/>
          <w:color w:themeColor="dark1" w:val="000000"/>
          <w:sz w:val="21"/>
          <w:szCs w:val="21"/>
        </w:rPr>
        <w:t xml:space="preserve">изготовить и поставить подарочный наградной комплект "Донору костного мозга. За шанс на жизнь" (медаль, нагрудный знак, удостоверение с геральдическим знаком, наградная нестандартная подарочная коробка),  </w:t>
      </w:r>
      <w:r>
        <w:rPr>
          <w:rFonts w:cs="Times New Roman"/>
          <w:color w:val="000000"/>
          <w:sz w:val="21"/>
          <w:szCs w:val="21"/>
        </w:rPr>
        <w:t>в соответствии с Приложением №1 (Спецификация)</w:t>
      </w:r>
      <w:r>
        <w:rPr>
          <w:rFonts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cs="Times New Roman"/>
          <w:color w:val="000000"/>
          <w:sz w:val="21"/>
          <w:szCs w:val="21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1.2. Наименование, вид 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1.3. </w:t>
      </w:r>
      <w:r>
        <w:rPr>
          <w:rFonts w:eastAsia="Calibri" w:cs="Times New Roman"/>
          <w:color w:themeColor="dark1" w:val="000000"/>
          <w:kern w:val="0"/>
          <w:sz w:val="21"/>
          <w:szCs w:val="21"/>
          <w:lang w:val="ru-RU" w:eastAsia="en-US" w:bidi="ar-SA"/>
        </w:rPr>
        <w:t xml:space="preserve">Срок изготовления и поставки товара: </w:t>
      </w:r>
      <w:r>
        <w:rPr>
          <w:rFonts w:eastAsia="Calibri" w:cs="Times New Roman"/>
          <w:b/>
          <w:bCs/>
          <w:color w:themeColor="dark1" w:val="000000"/>
          <w:kern w:val="0"/>
          <w:sz w:val="21"/>
          <w:szCs w:val="21"/>
          <w:lang w:val="ru-RU" w:eastAsia="en-US" w:bidi="ar-SA"/>
        </w:rPr>
        <w:t>до 1</w:t>
      </w:r>
      <w:r>
        <w:rPr>
          <w:rFonts w:eastAsia="Calibri" w:cs="Times New Roman"/>
          <w:b/>
          <w:bCs/>
          <w:color w:themeColor="dark1" w:val="000000"/>
          <w:kern w:val="0"/>
          <w:sz w:val="21"/>
          <w:szCs w:val="21"/>
          <w:lang w:val="ru-RU" w:eastAsia="en-US" w:bidi="ar-SA"/>
        </w:rPr>
        <w:t>5</w:t>
      </w:r>
      <w:r>
        <w:rPr>
          <w:rFonts w:eastAsia="Calibri" w:cs="Times New Roman"/>
          <w:b/>
          <w:bCs/>
          <w:color w:themeColor="dark1" w:val="000000"/>
          <w:kern w:val="0"/>
          <w:sz w:val="21"/>
          <w:szCs w:val="21"/>
          <w:lang w:val="ru-RU" w:eastAsia="en-US" w:bidi="ar-SA"/>
        </w:rPr>
        <w:t xml:space="preserve"> </w:t>
      </w:r>
      <w:r>
        <w:rPr>
          <w:rFonts w:eastAsia="Calibri" w:cs="Times New Roman"/>
          <w:b/>
          <w:bCs/>
          <w:color w:themeColor="dark1" w:val="000000"/>
          <w:kern w:val="0"/>
          <w:sz w:val="21"/>
          <w:szCs w:val="21"/>
          <w:lang w:val="ru-RU" w:eastAsia="en-US" w:bidi="ar-SA"/>
        </w:rPr>
        <w:t>сентября</w:t>
      </w:r>
      <w:r>
        <w:rPr>
          <w:rFonts w:eastAsia="Calibri" w:cs="Times New Roman"/>
          <w:b/>
          <w:bCs/>
          <w:color w:themeColor="dark1" w:val="000000"/>
          <w:kern w:val="0"/>
          <w:sz w:val="21"/>
          <w:szCs w:val="21"/>
          <w:lang w:val="ru-RU" w:eastAsia="en-US" w:bidi="ar-SA"/>
        </w:rPr>
        <w:t xml:space="preserve"> 2026г.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eastAsia="Calibri" w:cs="Times New Roman"/>
          <w:color w:themeColor="dark1" w:val="000000"/>
          <w:sz w:val="21"/>
          <w:szCs w:val="21"/>
          <w:lang w:eastAsia="en-US"/>
        </w:rPr>
        <w:t>1.4. Место поставки товара: Российская Федерация, Кировская область, г. Киров, ул. Красноармейская, д. 76А, складское помещение Заказчика, телефон (8332) 57-96-24, ответственное лицо: Борисова Ольга Леонидовна. Время поставки: понедельник – пятница, с 8 ч.00 мин. до 16 ч. 00 мин. (время московское).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overflowPunct w:val="true"/>
        <w:bidi w:val="0"/>
        <w:spacing w:lineRule="auto" w:line="276" w:before="57" w:after="57"/>
        <w:ind w:hanging="0" w:left="0" w:right="0"/>
        <w:rPr>
          <w:b/>
          <w:bCs/>
          <w:sz w:val="21"/>
          <w:szCs w:val="21"/>
        </w:rPr>
      </w:pPr>
      <w:r>
        <w:rPr>
          <w:rFonts w:cs="Times New Roman"/>
          <w:b/>
          <w:bCs/>
          <w:color w:themeColor="dark1" w:val="000000"/>
          <w:sz w:val="21"/>
          <w:szCs w:val="21"/>
        </w:rPr>
        <w:t>2. Цена ДОГОВОРА и порядок оплаты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2.1. </w:t>
      </w:r>
      <w:r>
        <w:rPr>
          <w:rFonts w:eastAsia="Times New Roman" w:cs="Times New Roman"/>
          <w:color w:themeColor="dark1" w:val="000000"/>
          <w:kern w:val="0"/>
          <w:sz w:val="21"/>
          <w:szCs w:val="21"/>
          <w:lang w:val="ru-RU" w:eastAsia="ar-SA" w:bidi="ar-SA"/>
        </w:rPr>
        <w:t xml:space="preserve">Стоимость товара составляет: _________ (____________________) рублей </w:t>
      </w:r>
      <w:r>
        <w:rPr>
          <w:rFonts w:eastAsia="Times New Roman" w:cs="Times New Roman"/>
          <w:color w:themeColor="dark1" w:val="000000"/>
          <w:kern w:val="0"/>
          <w:sz w:val="21"/>
          <w:szCs w:val="21"/>
          <w:lang w:val="ru-RU" w:eastAsia="ar-SA" w:bidi="ar-SA"/>
        </w:rPr>
        <w:t>___</w:t>
      </w:r>
      <w:r>
        <w:rPr>
          <w:rFonts w:eastAsia="Times New Roman" w:cs="Times New Roman"/>
          <w:color w:themeColor="dark1" w:val="000000"/>
          <w:kern w:val="0"/>
          <w:sz w:val="21"/>
          <w:szCs w:val="21"/>
          <w:lang w:val="ru-RU" w:eastAsia="ar-SA" w:bidi="ar-SA"/>
        </w:rPr>
        <w:t xml:space="preserve"> коп., в т.ч. НДС __________.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rFonts w:cs="Times New Roman"/>
          <w:color w:themeColor="dark1" w:val="000000"/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Цена за единицу товара установлена в Спецификации к договору.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2.4. Сумма, </w:t>
      </w:r>
      <w:r>
        <w:rPr>
          <w:rFonts w:eastAsia="Calibri" w:cs="Times New Roman"/>
          <w:color w:themeColor="dark1" w:val="000000"/>
          <w:sz w:val="21"/>
          <w:szCs w:val="21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tabs>
          <w:tab w:val="clear" w:pos="851"/>
        </w:tabs>
        <w:overflowPunct w:val="true"/>
        <w:bidi w:val="0"/>
        <w:spacing w:lineRule="auto" w:line="276" w:before="0" w:after="0"/>
        <w:ind w:hanging="0" w:left="0" w:right="0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2.7. </w:t>
      </w:r>
      <w:r>
        <w:rPr>
          <w:rFonts w:cs="Times New Roman"/>
          <w:color w:val="000000"/>
          <w:sz w:val="21"/>
          <w:szCs w:val="21"/>
        </w:rPr>
        <w:t>Оплата по договору осуществляется на условиях отсрочки платежа в течение 7 (семи) рабочих после исполнения Поставщиком обязательств по поставке Товара (либо - по каждому этапу поставки Товара). Оплата по договору за поставленный товар осуществляется Заказчиком после представления Поставщиком следующих документов: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val="000000"/>
          <w:sz w:val="21"/>
          <w:szCs w:val="21"/>
        </w:rPr>
        <w:t>- счета/- счета-фактуры;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val="000000"/>
          <w:sz w:val="21"/>
          <w:szCs w:val="21"/>
        </w:rPr>
        <w:t>- товарной накладной (товарных накладных) или УПД.</w:t>
      </w:r>
    </w:p>
    <w:p>
      <w:pPr>
        <w:pStyle w:val="BodyText2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overflowPunct w:val="true"/>
        <w:bidi w:val="0"/>
        <w:spacing w:lineRule="auto" w:line="276" w:before="57" w:after="57"/>
        <w:ind w:hanging="0" w:left="0" w:right="0"/>
        <w:rPr>
          <w:b/>
          <w:bCs/>
          <w:sz w:val="21"/>
          <w:szCs w:val="21"/>
        </w:rPr>
      </w:pPr>
      <w:r>
        <w:rPr>
          <w:rFonts w:cs="Times New Roman"/>
          <w:b/>
          <w:bCs/>
          <w:color w:themeColor="dark1" w:val="000000"/>
          <w:sz w:val="21"/>
          <w:szCs w:val="21"/>
        </w:rPr>
        <w:t>3. обязанности сторон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 Поставщик обязан: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3.1.1. Изготовить и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3.1.3. Поставить товар в предусмотренный договором срок.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3.1.4. </w:t>
      </w:r>
      <w:r>
        <w:rPr>
          <w:rFonts w:cs="Times New Roman"/>
          <w:color w:val="000000"/>
          <w:sz w:val="21"/>
          <w:szCs w:val="21"/>
        </w:rPr>
        <w:t>Вместе с товаром передать Заказчику товарную накладную/УПД, оригиналы, подписанные со своей стороны в 2 (двух) экземплярах, счета и/или счета-фактуры (при наличии), оформленные в соответств</w:t>
      </w:r>
      <w:r>
        <w:rPr>
          <w:rFonts w:cs="Times New Roman"/>
          <w:color w:val="000000"/>
          <w:sz w:val="21"/>
          <w:szCs w:val="21"/>
          <w:shd w:fill="auto" w:val="clear"/>
        </w:rPr>
        <w:t>ии с действующим законодательством Российской Федерации и условиями договора.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3.1.5. Участвовать в приемке-передаче товара в соответствии с разделом 5 настоящего договора по требованию Заказчика согласно п. 5.3.1.  При невозможности участия в приемке Поставщик уведомляет Заказчика письменно.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3.1.6. Изготовить и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рабочих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3.1.10. </w:t>
      </w:r>
      <w:r>
        <w:rPr>
          <w:rFonts w:cs="Times New Roman"/>
          <w:color w:val="000000"/>
          <w:sz w:val="21"/>
          <w:szCs w:val="21"/>
        </w:rPr>
        <w:t>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3.2. Заказчик обязан: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3.2.2. Оплатить принятый товар в соответствии с условиями настоящего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overflowPunct w:val="true"/>
        <w:bidi w:val="0"/>
        <w:spacing w:lineRule="auto" w:line="276" w:before="57" w:after="57"/>
        <w:ind w:hanging="0" w:left="0" w:right="0"/>
        <w:jc w:val="center"/>
        <w:outlineLvl w:val="3"/>
        <w:rPr/>
      </w:pPr>
      <w:r>
        <w:rPr>
          <w:rStyle w:val="-"/>
          <w:rFonts w:cs="Times New Roman"/>
          <w:b/>
          <w:bCs w:val="false"/>
          <w:color w:themeColor="dark1" w:val="000000"/>
          <w:sz w:val="21"/>
          <w:szCs w:val="21"/>
        </w:rPr>
        <w:t xml:space="preserve">4. ПОРЯДОК ПоставкИ ТОВАРА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4.1. Упаковка и маркировка товара должны соответствовать условиям договора, требованиям ГОСТ.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4.4. Вместе с товаром Поставщик передает Заказчику документы, предусмотренные п.п. 3.1.4.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overflowPunct w:val="true"/>
        <w:bidi w:val="0"/>
        <w:spacing w:lineRule="auto" w:line="276" w:before="57" w:after="57"/>
        <w:ind w:hanging="0" w:left="0" w:right="0"/>
        <w:jc w:val="center"/>
        <w:outlineLvl w:val="3"/>
        <w:rPr/>
      </w:pPr>
      <w:r>
        <w:rPr>
          <w:rStyle w:val="-"/>
          <w:rFonts w:cs="Times New Roman"/>
          <w:b/>
          <w:bCs w:val="false"/>
          <w:color w:themeColor="dark1" w:val="000000"/>
          <w:sz w:val="21"/>
          <w:szCs w:val="21"/>
        </w:rPr>
        <w:t>5. Порядок приемки ТОВАРА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5.1. Приемка товара осуществляется в удобное для Заказчика время и включает в себя следующие этапы: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г) проверка наличия необходимых документов, предусмотренных п.  4.4. договора.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 - согласованными.   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получение  Акта приемки своим уполномоченным представителем через СБИС.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overflowPunct w:val="true"/>
        <w:bidi w:val="0"/>
        <w:spacing w:lineRule="auto" w:line="276" w:before="57" w:after="57"/>
        <w:ind w:hanging="0" w:left="0" w:right="0"/>
        <w:jc w:val="center"/>
        <w:outlineLvl w:val="3"/>
        <w:rPr/>
      </w:pPr>
      <w:r>
        <w:rPr>
          <w:rStyle w:val="-"/>
          <w:b/>
          <w:bCs w:val="false"/>
          <w:color w:themeColor="dark1" w:val="000000"/>
          <w:sz w:val="21"/>
          <w:szCs w:val="21"/>
        </w:rPr>
        <w:t>6.  КАЧЕСТВо ТОВАРА</w:t>
      </w:r>
    </w:p>
    <w:p>
      <w:pPr>
        <w:pStyle w:val="Normal"/>
        <w:tabs>
          <w:tab w:val="clear" w:pos="708"/>
          <w:tab w:val="left" w:pos="45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sz w:val="21"/>
          <w:szCs w:val="21"/>
          <w:lang w:eastAsia="gu-IN" w:bidi="gu-IN"/>
        </w:rPr>
        <w:t>6</w:t>
      </w:r>
      <w:r>
        <w:rPr>
          <w:rFonts w:eastAsia="Arial"/>
          <w:sz w:val="21"/>
          <w:szCs w:val="21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sz w:val="21"/>
          <w:szCs w:val="21"/>
        </w:rPr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eastAsia="Arial"/>
          <w:sz w:val="21"/>
          <w:szCs w:val="21"/>
        </w:rPr>
        <w:t xml:space="preserve">6.3. Качество </w:t>
      </w:r>
      <w:r>
        <w:rPr>
          <w:rFonts w:eastAsia="Arial" w:cs="Courier New"/>
          <w:sz w:val="21"/>
          <w:szCs w:val="21"/>
        </w:rPr>
        <w:t>товара</w:t>
      </w:r>
      <w:r>
        <w:rPr>
          <w:rFonts w:eastAsia="Arial"/>
          <w:sz w:val="21"/>
          <w:szCs w:val="21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iCs/>
          <w:color w:themeColor="dark1" w:val="000000"/>
          <w:sz w:val="21"/>
          <w:szCs w:val="21"/>
        </w:rPr>
        <w:t>6.4. Товар, не отвечающий условиям, предъявляемым настоящим договором к его качеству считается не поставленным.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overflowPunct w:val="true"/>
        <w:bidi w:val="0"/>
        <w:spacing w:lineRule="auto" w:line="276" w:before="0" w:after="0"/>
        <w:ind w:hanging="0" w:left="0" w:right="0"/>
        <w:jc w:val="center"/>
        <w:outlineLvl w:val="3"/>
        <w:rPr/>
      </w:pPr>
      <w:r>
        <w:rPr>
          <w:rStyle w:val="-"/>
          <w:b/>
          <w:bCs w:val="false"/>
          <w:color w:themeColor="dark1" w:val="000000"/>
          <w:sz w:val="21"/>
          <w:szCs w:val="21"/>
        </w:rPr>
        <w:t>7. ОТВЕТСТВЕННОСТЬ СТОРОН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rFonts w:cs="Times New Roman"/>
          <w:color w:themeColor="dark1" w:val="000000"/>
          <w:sz w:val="21"/>
          <w:szCs w:val="21"/>
        </w:rPr>
        <w:t xml:space="preserve">7.5. </w:t>
      </w:r>
      <w:r>
        <w:rPr>
          <w:color w:themeColor="dark1" w:val="000000"/>
          <w:sz w:val="21"/>
          <w:szCs w:val="21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7.6. 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7.7.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7.8.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themeColor="dark1" w:val="000000"/>
          <w:sz w:val="21"/>
          <w:szCs w:val="21"/>
        </w:rPr>
        <w:t xml:space="preserve"> </w:t>
      </w:r>
      <w:r>
        <w:rPr>
          <w:color w:themeColor="dark1" w:val="000000"/>
          <w:sz w:val="21"/>
          <w:szCs w:val="21"/>
        </w:rPr>
        <w:t>Поставщик</w:t>
      </w:r>
      <w:r>
        <w:rPr>
          <w:b/>
          <w:color w:themeColor="dark1" w:val="000000"/>
          <w:sz w:val="21"/>
          <w:szCs w:val="21"/>
        </w:rPr>
        <w:t xml:space="preserve"> </w:t>
      </w:r>
      <w:r>
        <w:rPr>
          <w:color w:themeColor="dark1" w:val="000000"/>
          <w:sz w:val="21"/>
          <w:szCs w:val="21"/>
        </w:rPr>
        <w:t>выплачивает Заказчику штраф в размере 10 % цены договора.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themeColor="dark1" w:val="000000"/>
          <w:sz w:val="21"/>
          <w:szCs w:val="21"/>
        </w:rPr>
        <w:t xml:space="preserve"> </w:t>
      </w:r>
      <w:r>
        <w:rPr>
          <w:color w:themeColor="dark1" w:val="000000"/>
          <w:sz w:val="21"/>
          <w:szCs w:val="21"/>
        </w:rPr>
        <w:t>Поставщик</w:t>
      </w:r>
      <w:r>
        <w:rPr>
          <w:b/>
          <w:color w:themeColor="dark1" w:val="000000"/>
          <w:sz w:val="21"/>
          <w:szCs w:val="21"/>
        </w:rPr>
        <w:t xml:space="preserve"> </w:t>
      </w:r>
      <w:r>
        <w:rPr>
          <w:color w:themeColor="dark1" w:val="000000"/>
          <w:sz w:val="21"/>
          <w:szCs w:val="21"/>
        </w:rPr>
        <w:t>выплачивает Заказчику штраф: 1000 рублей.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7.11.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7.12.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-1"/>
        <w:tabs>
          <w:tab w:val="clear" w:pos="708"/>
          <w:tab w:val="left" w:pos="1134" w:leader="none"/>
        </w:tabs>
        <w:suppressAutoHyphens w:val="false"/>
        <w:overflowPunct w:val="true"/>
        <w:bidi w:val="0"/>
        <w:spacing w:lineRule="auto" w:line="276" w:before="57" w:after="57"/>
        <w:ind w:hanging="0" w:left="0" w:right="0"/>
        <w:rPr>
          <w:b/>
          <w:bCs/>
          <w:sz w:val="21"/>
          <w:szCs w:val="21"/>
        </w:rPr>
      </w:pPr>
      <w:r>
        <w:rPr>
          <w:b/>
          <w:bCs/>
          <w:color w:themeColor="dark1" w:val="000000"/>
          <w:sz w:val="21"/>
          <w:szCs w:val="21"/>
        </w:rPr>
        <w:t>8. Срок действия договора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 xml:space="preserve">8.1. </w:t>
      </w:r>
      <w:r>
        <w:rPr>
          <w:rFonts w:cs="Arial"/>
          <w:color w:themeColor="dark1" w:val="000000"/>
          <w:sz w:val="21"/>
          <w:szCs w:val="21"/>
        </w:rPr>
        <w:t>Настоящий договор вступает в силу с момента заключения и действует до 31.12.2026г</w:t>
      </w:r>
      <w:r>
        <w:rPr>
          <w:color w:themeColor="dark1" w:val="000000"/>
          <w:sz w:val="21"/>
          <w:szCs w:val="21"/>
        </w:rPr>
        <w:t>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-1"/>
        <w:tabs>
          <w:tab w:val="clear" w:pos="708"/>
          <w:tab w:val="left" w:pos="432" w:leader="none"/>
          <w:tab w:val="left" w:pos="1134" w:leader="none"/>
        </w:tabs>
        <w:suppressAutoHyphens w:val="false"/>
        <w:overflowPunct w:val="true"/>
        <w:bidi w:val="0"/>
        <w:spacing w:lineRule="auto" w:line="276" w:before="0" w:after="0"/>
        <w:ind w:hanging="0" w:left="0" w:right="0"/>
        <w:rPr>
          <w:b/>
          <w:bCs/>
          <w:sz w:val="21"/>
          <w:szCs w:val="21"/>
        </w:rPr>
      </w:pPr>
      <w:r>
        <w:rPr>
          <w:b/>
          <w:bCs/>
          <w:color w:themeColor="dark1" w:val="000000"/>
          <w:sz w:val="21"/>
          <w:szCs w:val="21"/>
        </w:rPr>
        <w:t>9. переписка Сторон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overflowPunct w:val="true"/>
        <w:bidi w:val="0"/>
        <w:spacing w:lineRule="auto" w:line="276" w:before="0" w:after="0"/>
        <w:ind w:hanging="0" w:left="0" w:right="0"/>
        <w:jc w:val="center"/>
        <w:rPr>
          <w:color w:themeColor="dark1" w:val="000000"/>
          <w:sz w:val="21"/>
          <w:szCs w:val="21"/>
        </w:rPr>
      </w:pPr>
      <w:r>
        <w:rPr>
          <w:b/>
          <w:bCs/>
          <w:color w:themeColor="dark1" w:val="000000"/>
          <w:sz w:val="21"/>
          <w:szCs w:val="21"/>
        </w:rPr>
        <w:t>10. ПРОЧИЕ ПОЛОЖЕНИЯ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10.1. При заключении и исполнении договора изменение его существенных условий не допускается.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К настоящему договору прилагаются: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rPr>
          <w:sz w:val="21"/>
          <w:szCs w:val="21"/>
        </w:rPr>
      </w:pPr>
      <w:r>
        <w:rPr>
          <w:color w:themeColor="dark1" w:val="000000"/>
          <w:sz w:val="21"/>
          <w:szCs w:val="21"/>
        </w:rPr>
        <w:t>Приложение № 1 – Спецификация.</w:t>
      </w:r>
    </w:p>
    <w:p>
      <w:pPr>
        <w:pStyle w:val="Normal"/>
        <w:overflowPunct w:val="true"/>
        <w:bidi w:val="0"/>
        <w:spacing w:lineRule="auto" w:line="276" w:before="57" w:after="57"/>
        <w:ind w:hanging="0" w:left="0" w:right="0"/>
        <w:jc w:val="center"/>
        <w:rPr>
          <w:b/>
          <w:bCs/>
          <w:sz w:val="21"/>
          <w:szCs w:val="21"/>
        </w:rPr>
      </w:pPr>
      <w:r>
        <w:rPr>
          <w:b/>
          <w:bCs/>
          <w:color w:themeColor="dark1" w:val="000000"/>
          <w:sz w:val="21"/>
          <w:szCs w:val="21"/>
        </w:rPr>
        <w:t>11.  РЕКВИЗИТЫ И ПОДПИСИ СТОРОН</w:t>
      </w:r>
    </w:p>
    <w:tbl>
      <w:tblPr>
        <w:tblW w:w="102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110"/>
        <w:gridCol w:w="5095"/>
      </w:tblGrid>
      <w:tr>
        <w:trPr>
          <w:trHeight w:val="4988" w:hRule="atLeast"/>
        </w:trPr>
        <w:tc>
          <w:tcPr>
            <w:tcW w:w="5110" w:type="dxa"/>
            <w:tcBorders/>
          </w:tcPr>
          <w:p>
            <w:pPr>
              <w:pStyle w:val="Normal"/>
              <w:overflowPunct w:val="true"/>
              <w:bidi w:val="0"/>
              <w:snapToGrid w:val="false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themeColor="dark1" w:val="000000"/>
                <w:sz w:val="21"/>
                <w:szCs w:val="21"/>
              </w:rPr>
              <w:t>Заказчик: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Times New Roman"/>
                <w:b/>
                <w:sz w:val="21"/>
                <w:szCs w:val="21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(8332) 54-97-31, 54-52-92, 54-79-60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ИНН/КПП 4346007656/434501001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УФК по Нижегородской области (ФГБУН КНИИГиПК ФМБА России лицевой счет № 20406Ц17940)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кор/сч   40102810745370000024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rFonts w:eastAsia="Arial Unicode MS" w:cs="Arial"/>
                <w:sz w:val="21"/>
                <w:szCs w:val="21"/>
                <w:lang w:eastAsia="ru-RU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  <w:t>БИК 012202102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rFonts w:eastAsia="Arial Unicode MS" w:cs="Arial"/>
                <w:sz w:val="21"/>
                <w:szCs w:val="21"/>
                <w:lang w:eastAsia="ru-RU"/>
              </w:rPr>
            </w:pPr>
            <w:r>
              <w:rPr>
                <w:rFonts w:eastAsia="Arial Unicode MS" w:cs="Arial"/>
                <w:sz w:val="21"/>
                <w:szCs w:val="21"/>
                <w:lang w:eastAsia="ru-RU"/>
              </w:rPr>
            </w:r>
          </w:p>
        </w:tc>
        <w:tc>
          <w:tcPr>
            <w:tcW w:w="5095" w:type="dxa"/>
            <w:tcBorders/>
          </w:tcPr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themeColor="dark1" w:val="000000"/>
                <w:sz w:val="21"/>
                <w:szCs w:val="21"/>
              </w:rPr>
              <w:t>Поставщик: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b/>
                <w:bCs/>
                <w:sz w:val="21"/>
                <w:szCs w:val="21"/>
                <w:lang w:val="en-US"/>
              </w:rPr>
            </w:pPr>
            <w:r>
              <w:rPr/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b w:val="false"/>
                <w:bCs w:val="false"/>
                <w:color w:val="000000"/>
                <w:sz w:val="21"/>
                <w:szCs w:val="21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</w:r>
          </w:p>
        </w:tc>
      </w:tr>
      <w:tr>
        <w:trPr>
          <w:trHeight w:val="1188" w:hRule="atLeast"/>
        </w:trPr>
        <w:tc>
          <w:tcPr>
            <w:tcW w:w="5110" w:type="dxa"/>
            <w:tcBorders/>
          </w:tcPr>
          <w:p>
            <w:pPr>
              <w:pStyle w:val="Normal"/>
              <w:overflowPunct w:val="true"/>
              <w:bidi w:val="0"/>
              <w:snapToGrid w:val="false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Директор</w:t>
            </w:r>
          </w:p>
          <w:p>
            <w:pPr>
              <w:pStyle w:val="Normal"/>
              <w:overflowPunct w:val="true"/>
              <w:bidi w:val="0"/>
              <w:snapToGrid w:val="false"/>
              <w:spacing w:lineRule="auto" w:line="276" w:before="0" w:after="0"/>
              <w:ind w:hanging="0" w:left="0" w:right="0"/>
              <w:rPr>
                <w:rFonts w:cs="Times New Roman"/>
                <w:color w:themeColor="dark1" w:val="000000"/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_________________/ И.В.Парамонов /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МП</w:t>
            </w:r>
          </w:p>
        </w:tc>
        <w:tc>
          <w:tcPr>
            <w:tcW w:w="5095" w:type="dxa"/>
            <w:tcBorders/>
          </w:tcPr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__________________________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_____________________________ / </w:t>
            </w:r>
            <w:r>
              <w:rPr>
                <w:bCs/>
                <w:sz w:val="21"/>
                <w:szCs w:val="21"/>
              </w:rPr>
              <w:t>_____________</w:t>
            </w:r>
            <w:r>
              <w:rPr>
                <w:bCs/>
                <w:sz w:val="21"/>
                <w:szCs w:val="21"/>
              </w:rPr>
              <w:t xml:space="preserve"> /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1"/>
                <w:szCs w:val="21"/>
              </w:rPr>
              <w:t>МП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8"/>
          <w:tab w:val="center" w:pos="0" w:leader="none"/>
          <w:tab w:val="right" w:pos="9355" w:leader="none"/>
        </w:tabs>
        <w:overflowPunct w:val="true"/>
        <w:bidi w:val="0"/>
        <w:spacing w:lineRule="auto" w:line="276" w:before="0" w:after="0"/>
        <w:ind w:hanging="0" w:left="0" w:right="0"/>
        <w:jc w:val="right"/>
        <w:rPr>
          <w:b w:val="false"/>
          <w:bCs w:val="false"/>
          <w:sz w:val="21"/>
          <w:szCs w:val="21"/>
        </w:rPr>
      </w:pPr>
      <w:r>
        <w:rPr>
          <w:b w:val="false"/>
          <w:bCs w:val="false"/>
          <w:sz w:val="21"/>
          <w:szCs w:val="21"/>
        </w:rPr>
        <w:t>Приложение № 1 к договору поставки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overflowPunct w:val="true"/>
        <w:bidi w:val="0"/>
        <w:spacing w:lineRule="auto" w:line="276" w:before="0" w:after="0"/>
        <w:ind w:hanging="0" w:left="0" w:right="0"/>
        <w:jc w:val="right"/>
        <w:rPr>
          <w:b w:val="false"/>
          <w:bCs w:val="false"/>
          <w:sz w:val="21"/>
          <w:szCs w:val="21"/>
        </w:rPr>
      </w:pPr>
      <w:r>
        <w:rPr>
          <w:b w:val="false"/>
          <w:bCs w:val="false"/>
          <w:sz w:val="21"/>
          <w:szCs w:val="21"/>
        </w:rPr>
        <w:t>№</w:t>
      </w:r>
      <w:r>
        <w:rPr>
          <w:rFonts w:cs="Times New Roman"/>
          <w:b w:val="false"/>
          <w:bCs w:val="false"/>
          <w:color w:themeColor="dark1" w:val="000000"/>
          <w:sz w:val="21"/>
          <w:szCs w:val="21"/>
        </w:rPr>
        <w:t xml:space="preserve"> </w:t>
      </w:r>
      <w:r>
        <w:rPr>
          <w:rFonts w:eastAsia="Times New Roman" w:cs="Calibri"/>
          <w:b w:val="false"/>
          <w:bCs w:val="false"/>
          <w:color w:val="auto"/>
          <w:kern w:val="0"/>
          <w:sz w:val="21"/>
          <w:szCs w:val="21"/>
          <w:lang w:val="ru-RU" w:eastAsia="ar-SA" w:bidi="ar-SA"/>
        </w:rPr>
        <w:t>_______________________</w:t>
      </w:r>
      <w:r>
        <w:rPr>
          <w:b w:val="false"/>
          <w:bCs w:val="false"/>
          <w:sz w:val="21"/>
          <w:szCs w:val="21"/>
        </w:rPr>
        <w:t xml:space="preserve"> от  «____» _______________ 2026 г.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center"/>
        <w:rPr>
          <w:sz w:val="21"/>
          <w:szCs w:val="21"/>
        </w:rPr>
      </w:pPr>
      <w:r>
        <w:rPr>
          <w:b/>
          <w:bCs/>
          <w:smallCaps/>
          <w:sz w:val="21"/>
          <w:szCs w:val="21"/>
        </w:rPr>
        <w:t>Спецификация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center"/>
        <w:rPr>
          <w:sz w:val="21"/>
          <w:szCs w:val="21"/>
        </w:rPr>
      </w:pPr>
      <w:r>
        <w:rPr>
          <w:b/>
          <w:bCs/>
          <w:smallCaps/>
          <w:sz w:val="21"/>
          <w:szCs w:val="21"/>
        </w:rPr>
        <w:t>(характеристика поставляемого товара)</w:t>
      </w:r>
    </w:p>
    <w:p>
      <w:pPr>
        <w:pStyle w:val="Normal"/>
        <w:spacing w:before="57" w:after="57"/>
        <w:ind w:hanging="0" w:left="0" w:right="0"/>
        <w:jc w:val="both"/>
        <w:rPr>
          <w:sz w:val="21"/>
          <w:szCs w:val="21"/>
        </w:rPr>
      </w:pPr>
      <w:r>
        <w:rPr>
          <w:sz w:val="21"/>
          <w:szCs w:val="21"/>
        </w:rPr>
        <w:t>Весь поставляемый Товар должен быть доставлен Заказчику согласно настоящей Спецификации:</w:t>
      </w:r>
    </w:p>
    <w:tbl>
      <w:tblPr>
        <w:tblW w:w="1457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8638"/>
        <w:gridCol w:w="850"/>
        <w:gridCol w:w="962"/>
        <w:gridCol w:w="1138"/>
        <w:gridCol w:w="1424"/>
        <w:gridCol w:w="888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10" w:right="0"/>
              <w:jc w:val="center"/>
              <w:rPr>
                <w:sz w:val="20"/>
                <w:szCs w:val="20"/>
                <w:shd w:fill="auto" w:val="clear"/>
                <w:lang w:eastAsia="en-US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Наименование Товара,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Кол-во, в ед.изм.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ед.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tabs>
                <w:tab w:val="clear" w:pos="708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Общая стоимость, руб.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tabs>
                <w:tab w:val="clear" w:pos="708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НДС, %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snapToGrid w:val="false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Медаль на колодке «Донору костного мозга. За шанс на жизнь»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Технология: штамповка/литье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Материал: мельхиор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покрытия: под серебро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Изображение:  3D (объемное изображение, несколько уровней, плавные переходы). Размеры: 32 мм, толщина 3 мм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Эмаль: от 0 до 4х цветов (холодные эмали)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Крепление: колодка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 колодки: 2,5 на 3,8 см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Упаковка: индивидуальный полиэтиленовый пакет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57"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snapToGrid w:val="false"/>
              <w:jc w:val="both"/>
              <w:rPr>
                <w:b/>
                <w:bCs/>
                <w:sz w:val="20"/>
                <w:szCs w:val="20"/>
                <w:shd w:fill="auto" w:val="clear"/>
              </w:rPr>
            </w:pPr>
            <w:r>
              <w:rPr>
                <w:b/>
                <w:bCs/>
                <w:sz w:val="20"/>
                <w:szCs w:val="20"/>
                <w:shd w:fill="auto" w:val="clear"/>
              </w:rPr>
              <w:t>Нагрудный знак к медали «Донору костного мозга. За шанс на жизнь»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Технология: штамповка/литье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Материал: мельхиор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Цвет покрытия: под серебро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Изображение: 3D (объемное изображение, несколько уровней, плавные переходы) Размеры: 24 мм, толщина 1,2 мм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Эмаль: от 0 до 4х цветов (холодные эмали)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Крепление: цанга-бабочка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Упаковка: индивидуальный полиэтиленовый пакет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57"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snapToGrid w:val="false"/>
              <w:jc w:val="both"/>
              <w:rPr>
                <w:b/>
                <w:bCs/>
                <w:sz w:val="20"/>
                <w:szCs w:val="20"/>
                <w:shd w:fill="auto" w:val="clear"/>
              </w:rPr>
            </w:pPr>
            <w:r>
              <w:rPr>
                <w:b/>
                <w:bCs/>
                <w:sz w:val="20"/>
                <w:szCs w:val="20"/>
                <w:shd w:fill="auto" w:val="clear"/>
              </w:rPr>
              <w:t>Удостоверение с геральдическим знаком для медали и нагрудного знака «Донору костного мозга. За шанс на жизнь»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Размеры: 75х 100 мм, цвет бордо, меловка. Обложка — бумвинил на бумажной основе.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u w:val="single"/>
                <w:shd w:fill="auto" w:val="clear"/>
              </w:rPr>
              <w:t>Удостоверение</w:t>
            </w:r>
            <w:r>
              <w:rPr>
                <w:sz w:val="20"/>
                <w:szCs w:val="20"/>
                <w:shd w:fill="auto" w:val="clear"/>
              </w:rPr>
              <w:t xml:space="preserve"> из переплетного материала, текстура под кожу, согласно образцу.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Форма – нестандартное, вертикальное с внутренними окнами;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Вид - твердое со специальной бумажной подушкой  со скосами; толщина  картона – макси (проклейка 2х пластин); углы острые; внутренние окна; вклеены внутренние вкладыши с левой стороны, правые подготовлены для обработки.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u w:val="single"/>
                <w:shd w:fill="auto" w:val="clear"/>
              </w:rPr>
              <w:t>Вкладыши</w:t>
            </w:r>
            <w:r>
              <w:rPr>
                <w:sz w:val="20"/>
                <w:szCs w:val="20"/>
                <w:shd w:fill="auto" w:val="clear"/>
              </w:rPr>
              <w:t>.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Отрисовка гильоширной сетки и медали для вкладышей. Верстка макета. Цветоделение.</w:t>
            </w:r>
          </w:p>
          <w:p>
            <w:pPr>
              <w:pStyle w:val="Style26"/>
              <w:snapToGrid w:val="false"/>
              <w:jc w:val="left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Печать цифровая внутреннего вкладыша удостоверения на гильоширной сетке. Плотность бумаги 160 гр. Матовая. Цветность – полноцвет. Приладка.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Клише– материал латунь. Изготовление клише (герб + слово УДОСТОВЕРЕНИЕ).</w:t>
            </w:r>
          </w:p>
          <w:p>
            <w:pPr>
              <w:pStyle w:val="Style26"/>
              <w:snapToGrid w:val="false"/>
              <w:jc w:val="both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Оттиск на обложке.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57"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ind w:hanging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snapToGrid w:val="false"/>
              <w:jc w:val="left"/>
              <w:rPr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>Наградная нестандартная подарочная коробка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 с прозрачной крышкой под велюр с ложементом под 3 предмета: медаль, знак, удостоверение</w:t>
            </w:r>
          </w:p>
          <w:p>
            <w:pPr>
              <w:pStyle w:val="Style26"/>
              <w:snapToGrid w:val="false"/>
              <w:jc w:val="left"/>
              <w:rPr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Размеры: 150 мм х180 мм</w:t>
            </w:r>
          </w:p>
          <w:p>
            <w:pPr>
              <w:pStyle w:val="Style26"/>
              <w:snapToGrid w:val="false"/>
              <w:jc w:val="both"/>
              <w:rPr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Цвет бордо. Дно флокированное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hanging="0" w:righ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57"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/>
            </w:r>
          </w:p>
        </w:tc>
      </w:tr>
      <w:tr>
        <w:trPr/>
        <w:tc>
          <w:tcPr>
            <w:tcW w:w="1226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ind w:hanging="0" w:righ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2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uppressLineNumbers/>
              <w:suppressAutoHyphens w:val="true"/>
              <w:bidi w:val="0"/>
              <w:snapToGrid w:val="false"/>
              <w:ind w:hanging="0" w:left="57" w:right="0"/>
              <w:jc w:val="center"/>
              <w:rPr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ind w:hanging="0" w:right="0"/>
        <w:rPr>
          <w:rFonts w:eastAsia="Calibri"/>
          <w:sz w:val="21"/>
          <w:szCs w:val="21"/>
          <w:shd w:fill="auto" w:val="clear"/>
        </w:rPr>
      </w:pPr>
      <w:r>
        <w:rPr>
          <w:rFonts w:eastAsia="Calibri"/>
          <w:sz w:val="21"/>
          <w:szCs w:val="21"/>
          <w:shd w:fill="auto" w:val="clear"/>
        </w:rPr>
      </w:r>
    </w:p>
    <w:p>
      <w:pPr>
        <w:pStyle w:val="Normal"/>
        <w:widowControl/>
        <w:suppressAutoHyphens w:val="false"/>
        <w:bidi w:val="0"/>
        <w:ind w:hanging="0" w:right="0"/>
        <w:jc w:val="both"/>
        <w:rPr>
          <w:sz w:val="21"/>
          <w:szCs w:val="21"/>
          <w:highlight w:val="none"/>
          <w:shd w:fill="auto" w:val="clear"/>
        </w:rPr>
      </w:pPr>
      <w:r>
        <w:rPr>
          <w:rFonts w:cs="Times New Roman"/>
          <w:sz w:val="21"/>
          <w:szCs w:val="21"/>
          <w:shd w:fill="auto" w:val="clear"/>
        </w:rPr>
        <w:t>Итого стоимость товара составляет:</w:t>
      </w:r>
      <w:r>
        <w:rPr>
          <w:sz w:val="21"/>
          <w:szCs w:val="21"/>
          <w:shd w:fill="auto" w:val="clear"/>
        </w:rPr>
        <w:t xml:space="preserve"> </w:t>
      </w:r>
      <w:r>
        <w:rPr>
          <w:sz w:val="21"/>
          <w:szCs w:val="21"/>
          <w:shd w:fill="auto" w:val="clear"/>
        </w:rPr>
        <w:t>____________________________ (_______________________)</w:t>
      </w:r>
      <w:r>
        <w:rPr>
          <w:sz w:val="21"/>
          <w:szCs w:val="21"/>
          <w:shd w:fill="auto" w:val="clear"/>
        </w:rPr>
        <w:t xml:space="preserve"> рублей </w:t>
      </w:r>
      <w:r>
        <w:rPr>
          <w:sz w:val="21"/>
          <w:szCs w:val="21"/>
          <w:shd w:fill="auto" w:val="clear"/>
        </w:rPr>
        <w:t>____</w:t>
      </w:r>
      <w:r>
        <w:rPr>
          <w:sz w:val="21"/>
          <w:szCs w:val="21"/>
          <w:shd w:fill="auto" w:val="clear"/>
        </w:rPr>
        <w:t xml:space="preserve"> коп.</w:t>
      </w:r>
      <w:r>
        <w:rPr>
          <w:rFonts w:cs="Times New Roman"/>
          <w:sz w:val="21"/>
          <w:szCs w:val="21"/>
          <w:shd w:fill="auto" w:val="clear"/>
        </w:rPr>
        <w:t xml:space="preserve">, </w:t>
      </w:r>
      <w:r>
        <w:rPr>
          <w:rFonts w:cs="Times New Roman"/>
          <w:sz w:val="21"/>
          <w:szCs w:val="21"/>
          <w:shd w:fill="auto" w:val="clear"/>
        </w:rPr>
        <w:t xml:space="preserve">в т.ч. </w:t>
      </w:r>
      <w:r>
        <w:rPr>
          <w:rFonts w:cs="Times New Roman"/>
          <w:sz w:val="21"/>
          <w:szCs w:val="21"/>
          <w:shd w:fill="auto" w:val="clear"/>
        </w:rPr>
        <w:t>НДС</w:t>
      </w:r>
      <w:r>
        <w:rPr>
          <w:rFonts w:cs="Times New Roman"/>
          <w:sz w:val="21"/>
          <w:szCs w:val="21"/>
          <w:shd w:fill="auto" w:val="clear"/>
        </w:rPr>
        <w:t xml:space="preserve"> ______________</w:t>
      </w:r>
      <w:r>
        <w:rPr>
          <w:rFonts w:cs="Times New Roman"/>
          <w:sz w:val="21"/>
          <w:szCs w:val="21"/>
          <w:shd w:fill="auto" w:val="clear"/>
        </w:rPr>
        <w:t>.</w:t>
      </w:r>
    </w:p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i/>
          <w:sz w:val="21"/>
          <w:szCs w:val="21"/>
          <w:u w:val="single"/>
          <w:lang w:eastAsia="en-US"/>
        </w:rPr>
      </w:pPr>
      <w:r>
        <w:rPr>
          <w:i/>
          <w:sz w:val="21"/>
          <w:szCs w:val="21"/>
          <w:u w:val="single"/>
          <w:lang w:eastAsia="en-US"/>
        </w:rPr>
      </w:r>
    </w:p>
    <w:tbl>
      <w:tblPr>
        <w:tblW w:w="5000" w:type="pct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7063"/>
        <w:gridCol w:w="7507"/>
      </w:tblGrid>
      <w:tr>
        <w:trPr/>
        <w:tc>
          <w:tcPr>
            <w:tcW w:w="7063" w:type="dxa"/>
            <w:tcBorders/>
          </w:tcPr>
          <w:p>
            <w:pPr>
              <w:pStyle w:val="Normal"/>
              <w:overflowPunct w:val="true"/>
              <w:bidi w:val="0"/>
              <w:snapToGrid w:val="false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Директор</w:t>
            </w:r>
          </w:p>
          <w:p>
            <w:pPr>
              <w:pStyle w:val="Normal"/>
              <w:overflowPunct w:val="true"/>
              <w:bidi w:val="0"/>
              <w:snapToGrid w:val="false"/>
              <w:spacing w:lineRule="auto" w:line="276" w:before="0" w:after="0"/>
              <w:ind w:hanging="0" w:left="0" w:right="0"/>
              <w:rPr>
                <w:rFonts w:cs="Times New Roman"/>
                <w:color w:themeColor="dark1" w:val="000000"/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_________________/ И.В.Парамонов /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color w:themeColor="dark1" w:val="000000"/>
                <w:sz w:val="21"/>
                <w:szCs w:val="21"/>
              </w:rPr>
              <w:t>МП</w:t>
            </w:r>
          </w:p>
        </w:tc>
        <w:tc>
          <w:tcPr>
            <w:tcW w:w="7507" w:type="dxa"/>
            <w:tcBorders/>
          </w:tcPr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__________________________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_____________________________ / </w:t>
            </w:r>
            <w:r>
              <w:rPr>
                <w:bCs/>
                <w:sz w:val="21"/>
                <w:szCs w:val="21"/>
              </w:rPr>
              <w:t>_____________</w:t>
            </w:r>
            <w:r>
              <w:rPr>
                <w:bCs/>
                <w:sz w:val="21"/>
                <w:szCs w:val="21"/>
              </w:rPr>
              <w:t xml:space="preserve"> /</w:t>
            </w:r>
          </w:p>
          <w:p>
            <w:pPr>
              <w:pStyle w:val="Normal"/>
              <w:overflowPunct w:val="true"/>
              <w:bidi w:val="0"/>
              <w:spacing w:lineRule="auto" w:line="276" w:before="0" w:after="0"/>
              <w:ind w:hanging="0" w:left="0" w:right="0"/>
              <w:rPr>
                <w:sz w:val="21"/>
                <w:szCs w:val="21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1"/>
                <w:szCs w:val="21"/>
              </w:rPr>
              <w:t>МП</w:t>
            </w:r>
          </w:p>
        </w:tc>
      </w:tr>
    </w:tbl>
    <w:p>
      <w:pPr>
        <w:pStyle w:val="Normal"/>
        <w:tabs>
          <w:tab w:val="clear" w:pos="708"/>
          <w:tab w:val="right" w:pos="9900" w:leader="none"/>
        </w:tabs>
        <w:overflowPunct w:val="true"/>
        <w:bidi w:val="0"/>
        <w:spacing w:lineRule="auto" w:line="276" w:before="0" w:after="0"/>
        <w:ind w:hanging="0" w:left="0" w:right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ru-RU" w:eastAsia="ar-SA" w:bidi="ar-SA"/>
    </w:rPr>
  </w:style>
  <w:style w:type="paragraph" w:styleId="Heading1">
    <w:name w:val="heading 1"/>
    <w:basedOn w:val="Style20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Контракт-раздел Знак Знак"/>
    <w:qFormat/>
    <w:rPr>
      <w:b/>
      <w:bCs/>
      <w:caps/>
      <w:sz w:val="24"/>
      <w:szCs w:val="24"/>
      <w:lang w:val="ru-RU" w:eastAsia="ar-SA" w:bidi="ar-SA"/>
    </w:rPr>
  </w:style>
  <w:style w:type="character" w:styleId="2" w:customStyle="1">
    <w:name w:val="Основной текст 2 Знак"/>
    <w:link w:val="BodyText2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4" w:customStyle="1">
    <w:name w:val="Текст примечания Знак"/>
    <w:basedOn w:val="DefaultParagraphFont"/>
    <w:qFormat/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link w:val="annotationsubject"/>
    <w:qFormat/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21" w:customStyle="1">
    <w:name w:val="Основной текст 2 Знак1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6" w:customStyle="1">
    <w:name w:val="Подзаголовок Знак"/>
    <w:basedOn w:val="DefaultParagraphFont"/>
    <w:qFormat/>
    <w:rPr>
      <w:rFonts w:ascii="Cambria" w:hAnsi="Cambria" w:eastAsia="Calibri" w:cs="Tahoma"/>
      <w:i/>
      <w:iCs/>
      <w:color w:themeColor="accent1" w:val="4F81BD"/>
      <w:spacing w:val="15"/>
      <w:sz w:val="24"/>
      <w:szCs w:val="24"/>
      <w:lang w:eastAsia="ar-SA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Style18" w:customStyle="1">
    <w:name w:val="Схема документа Знак"/>
    <w:basedOn w:val="DefaultParagraphFont"/>
    <w:link w:val="DocumentMap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Subtitle"/>
    <w:link w:val="Style13"/>
    <w:qFormat/>
    <w:pPr>
      <w:jc w:val="center"/>
    </w:pPr>
    <w:rPr/>
  </w:style>
  <w:style w:type="paragraph" w:styleId="-1" w:customStyle="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CommentText">
    <w:name w:val="annotation text"/>
    <w:basedOn w:val="Normal"/>
    <w:link w:val="Style14"/>
    <w:qFormat/>
    <w:pPr/>
    <w:rPr>
      <w:sz w:val="20"/>
      <w:szCs w:val="20"/>
    </w:rPr>
  </w:style>
  <w:style w:type="paragraph" w:styleId="annotationsubject">
    <w:name w:val="annotation subject"/>
    <w:basedOn w:val="Normal"/>
    <w:next w:val="Normal"/>
    <w:link w:val="Style15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 w:customStyle="1">
    <w:name w:val="ConsPlusNormal"/>
    <w:qFormat/>
    <w:pPr>
      <w:widowControl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ar-SA" w:bidi="ar-SA"/>
    </w:rPr>
  </w:style>
  <w:style w:type="paragraph" w:styleId="Style22" w:customStyle="1">
    <w:name w:val="Таблица текст"/>
    <w:basedOn w:val="Normal"/>
    <w:qFormat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BodyText2">
    <w:name w:val="Body Text 2"/>
    <w:basedOn w:val="Normal"/>
    <w:link w:val="2"/>
    <w:qFormat/>
    <w:pPr>
      <w:suppressAutoHyphens w:val="false"/>
      <w:spacing w:lineRule="auto" w:line="480" w:before="0" w:after="120"/>
    </w:pPr>
    <w:rPr>
      <w:rFonts w:cs="Times New Roman"/>
      <w:lang w:eastAsia="en-US"/>
    </w:rPr>
  </w:style>
  <w:style w:type="paragraph" w:styleId="western" w:customStyle="1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851" w:leader="none"/>
      </w:tabs>
      <w:suppressAutoHyphens w:val="false"/>
      <w:ind w:hanging="851" w:left="851"/>
      <w:jc w:val="both"/>
    </w:pPr>
    <w:rPr>
      <w:rFonts w:cs="Times New Roman"/>
      <w:lang w:eastAsia="ru-RU"/>
    </w:rPr>
  </w:style>
  <w:style w:type="paragraph" w:styleId="Subtitle">
    <w:name w:val="Subtitle"/>
    <w:basedOn w:val="Normal"/>
    <w:next w:val="Normal"/>
    <w:link w:val="Style16"/>
    <w:qFormat/>
    <w:pPr/>
    <w:rPr>
      <w:rFonts w:ascii="Cambria" w:hAnsi="Cambria" w:eastAsia="Calibri" w:cs="Tahoma"/>
      <w:i/>
      <w:iCs/>
      <w:color w:themeColor="accent1" w:val="4F81BD"/>
      <w:spacing w:val="15"/>
    </w:rPr>
  </w:style>
  <w:style w:type="paragraph" w:styleId="ListParagraph">
    <w:name w:val="List Paragraph"/>
    <w:basedOn w:val="Normal"/>
    <w:qFormat/>
    <w:pPr>
      <w:suppressAutoHyphens w:val="false"/>
      <w:spacing w:before="0" w:after="0"/>
      <w:ind w:left="720"/>
      <w:contextualSpacing/>
    </w:pPr>
    <w:rPr>
      <w:rFonts w:cs="Times New Roman"/>
      <w:lang w:eastAsia="ru-RU"/>
    </w:rPr>
  </w:style>
  <w:style w:type="paragraph" w:styleId="Default" w:customStyle="1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7"/>
    <w:qFormat/>
    <w:pPr/>
    <w:rPr>
      <w:rFonts w:ascii="Tahoma" w:hAnsi="Tahoma" w:cs="Tahoma"/>
      <w:sz w:val="16"/>
      <w:szCs w:val="16"/>
    </w:rPr>
  </w:style>
  <w:style w:type="paragraph" w:styleId="Style23" w:customStyle="1">
    <w:name w:val="Таблица шапка"/>
    <w:basedOn w:val="Normal"/>
    <w:qFormat/>
    <w:pPr>
      <w:keepNext w:val="true"/>
      <w:suppressAutoHyphens w:val="false"/>
      <w:spacing w:before="40" w:after="40"/>
      <w:ind w:left="57" w:right="57"/>
    </w:pPr>
    <w:rPr>
      <w:rFonts w:eastAsia="Calibri" w:cs="Times New Roman"/>
      <w:sz w:val="18"/>
      <w:szCs w:val="18"/>
      <w:lang w:eastAsia="ru-RU"/>
    </w:rPr>
  </w:style>
  <w:style w:type="paragraph" w:styleId="DocumentMap">
    <w:name w:val="Document Map"/>
    <w:basedOn w:val="Normal"/>
    <w:link w:val="Style18"/>
    <w:qFormat/>
    <w:pPr/>
    <w:rPr>
      <w:rFonts w:ascii="Tahoma" w:hAnsi="Tahoma" w:cs="Tahoma"/>
      <w:sz w:val="16"/>
      <w:szCs w:val="16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6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ru-RU" w:bidi="ar-SA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Application>LibreOffice/26.2.5.2$Windows_X86_64 LibreOffice_project/cd7284b4cbbfeb507e630c1aac019f4157393acb</Application>
  <AppVersion>15.0000</AppVersion>
  <Pages>7</Pages>
  <Words>2691</Words>
  <Characters>19308</Characters>
  <CharactersWithSpaces>21875</CharactersWithSpaces>
  <Paragraphs>173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2025-08-27T07:53:00Z</dcterms:created>
  <dc:creator>mardanova-ms</dc:creator>
  <dc:description/>
  <dc:language>ru-RU</dc:language>
  <cp:lastModifiedBy/>
  <cp:lastPrinted>2025-05-14T13:14:00Z</cp:lastPrinted>
  <dcterms:modified xsi:type="dcterms:W3CDTF">2026-08-18T11:40:04Z</dcterms:modified>
  <cp:revision>21</cp:revision>
  <dc:subject/>
  <dc:title>Вопрос: Подлежит ли постельное белье возврату/обмену в соответствии с законодательством о защите прав потребителей?(Подготовлен для системы КонсультантПлюс, 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