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1B" w:rsidRDefault="00CC781B" w:rsidP="00CF30D2">
      <w:pPr>
        <w:spacing w:line="238" w:lineRule="auto"/>
        <w:jc w:val="center"/>
        <w:rPr>
          <w:szCs w:val="26"/>
        </w:rPr>
      </w:pPr>
    </w:p>
    <w:p w:rsidR="00B662EF" w:rsidRPr="00371AD6" w:rsidRDefault="00B662EF" w:rsidP="00371AD6">
      <w:pPr>
        <w:jc w:val="center"/>
        <w:rPr>
          <w:rFonts w:ascii="XO Thames" w:hAnsi="XO Thames"/>
        </w:rPr>
      </w:pPr>
      <w:r w:rsidRPr="00371AD6">
        <w:rPr>
          <w:rFonts w:ascii="XO Thames" w:hAnsi="XO Thames"/>
        </w:rPr>
        <w:t>Обоснование</w:t>
      </w:r>
    </w:p>
    <w:p w:rsidR="00444E0F" w:rsidRPr="00371AD6" w:rsidRDefault="00444E0F" w:rsidP="00371AD6">
      <w:pPr>
        <w:jc w:val="center"/>
        <w:rPr>
          <w:rFonts w:ascii="XO Thames" w:hAnsi="XO Thames"/>
        </w:rPr>
      </w:pPr>
      <w:r w:rsidRPr="00371AD6">
        <w:rPr>
          <w:rFonts w:ascii="XO Thames" w:hAnsi="XO Thames"/>
        </w:rPr>
        <w:t xml:space="preserve">цены контракта, заключаемого способом </w:t>
      </w:r>
      <w:r w:rsidR="00A941F1">
        <w:rPr>
          <w:rFonts w:ascii="XO Thames" w:hAnsi="XO Thames"/>
        </w:rPr>
        <w:t>закупки у единственного поставщика</w:t>
      </w:r>
      <w:r w:rsidRPr="00371AD6">
        <w:rPr>
          <w:rFonts w:ascii="XO Thames" w:hAnsi="XO Thames"/>
        </w:rPr>
        <w:t xml:space="preserve"> </w:t>
      </w:r>
    </w:p>
    <w:p w:rsidR="00444E0F" w:rsidRPr="00371AD6" w:rsidRDefault="00444E0F" w:rsidP="00371AD6">
      <w:pPr>
        <w:jc w:val="center"/>
        <w:rPr>
          <w:rFonts w:ascii="XO Thames" w:eastAsiaTheme="minorEastAsia" w:hAnsi="XO Thames"/>
        </w:rPr>
      </w:pPr>
      <w:r w:rsidRPr="00371AD6">
        <w:rPr>
          <w:rFonts w:ascii="XO Thames" w:hAnsi="XO Thames"/>
        </w:rPr>
        <w:t>на основании Федерального закона №44-ФЗ</w:t>
      </w:r>
    </w:p>
    <w:p w:rsidR="00132BAB" w:rsidRDefault="0041222E" w:rsidP="00132BAB">
      <w:pPr>
        <w:pStyle w:val="ac"/>
        <w:jc w:val="center"/>
        <w:rPr>
          <w:rFonts w:ascii="XO Thames" w:hAnsi="XO Thames"/>
          <w:b/>
          <w:u w:val="single"/>
        </w:rPr>
      </w:pPr>
      <w:r>
        <w:rPr>
          <w:rFonts w:ascii="XO Thames" w:hAnsi="XO Thames"/>
          <w:b/>
          <w:u w:val="single"/>
        </w:rPr>
        <w:t xml:space="preserve">на </w:t>
      </w:r>
      <w:r w:rsidR="008C75A1">
        <w:rPr>
          <w:rFonts w:ascii="XO Thames" w:hAnsi="XO Thames"/>
          <w:b/>
          <w:u w:val="single"/>
        </w:rPr>
        <w:t>поставку</w:t>
      </w:r>
      <w:r w:rsidR="008C75A1" w:rsidRPr="008C75A1">
        <w:rPr>
          <w:rFonts w:ascii="XO Thames" w:hAnsi="XO Thames"/>
          <w:b/>
          <w:u w:val="single"/>
        </w:rPr>
        <w:t xml:space="preserve"> </w:t>
      </w:r>
      <w:r w:rsidR="00952861">
        <w:rPr>
          <w:rFonts w:ascii="XO Thames" w:hAnsi="XO Thames"/>
          <w:b/>
          <w:u w:val="single"/>
        </w:rPr>
        <w:t>веб-камеры</w:t>
      </w:r>
    </w:p>
    <w:p w:rsidR="00952861" w:rsidRPr="00952861" w:rsidRDefault="00952861" w:rsidP="00952861">
      <w:pPr>
        <w:jc w:val="center"/>
        <w:rPr>
          <w:rFonts w:ascii="XO Thames" w:hAnsi="XO Thames"/>
        </w:rPr>
      </w:pPr>
      <w:r>
        <w:rPr>
          <w:rFonts w:ascii="XO Thames" w:hAnsi="XO Thames"/>
        </w:rPr>
        <w:t xml:space="preserve">             </w:t>
      </w:r>
      <w:r w:rsidRPr="00371AD6">
        <w:rPr>
          <w:rFonts w:ascii="XO Thames" w:hAnsi="XO Thames"/>
        </w:rPr>
        <w:t>(предмет контракта)</w:t>
      </w:r>
    </w:p>
    <w:p w:rsidR="00371AD6" w:rsidRPr="00132BAB" w:rsidRDefault="00132BAB" w:rsidP="00132BAB">
      <w:pPr>
        <w:pStyle w:val="ac"/>
        <w:jc w:val="center"/>
        <w:rPr>
          <w:rFonts w:ascii="XO Thames" w:hAnsi="XO Thames"/>
          <w:b/>
          <w:bCs/>
        </w:rPr>
      </w:pPr>
      <w:r w:rsidRPr="00132BAB">
        <w:rPr>
          <w:rFonts w:ascii="XO Thames" w:hAnsi="XO Thames"/>
          <w:b/>
          <w:bCs/>
          <w:u w:val="single"/>
        </w:rPr>
        <w:t>для нужд Управления по Псковской области ФКУ ГУОДОП ФСИН России</w:t>
      </w:r>
    </w:p>
    <w:p w:rsidR="00C0584D" w:rsidRPr="00371AD6" w:rsidRDefault="00C0584D" w:rsidP="00371AD6">
      <w:pPr>
        <w:jc w:val="center"/>
        <w:rPr>
          <w:rFonts w:ascii="XO Thames" w:hAnsi="XO Thames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1"/>
        <w:gridCol w:w="7775"/>
      </w:tblGrid>
      <w:tr w:rsidR="003309A8" w:rsidRPr="00371AD6" w:rsidTr="00015966">
        <w:tc>
          <w:tcPr>
            <w:tcW w:w="1831" w:type="dxa"/>
            <w:shd w:val="clear" w:color="auto" w:fill="auto"/>
          </w:tcPr>
          <w:p w:rsidR="00B662EF" w:rsidRPr="00371AD6" w:rsidRDefault="00B662EF" w:rsidP="00015966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XO Thames" w:hAnsi="XO Thames"/>
              </w:rPr>
            </w:pPr>
            <w:r w:rsidRPr="00371AD6">
              <w:rPr>
                <w:rFonts w:ascii="XO Thames" w:hAnsi="XO Thames"/>
              </w:rPr>
              <w:t>Основные характеристики объекта закупки</w:t>
            </w:r>
          </w:p>
        </w:tc>
        <w:tc>
          <w:tcPr>
            <w:tcW w:w="7775" w:type="dxa"/>
            <w:shd w:val="clear" w:color="auto" w:fill="auto"/>
          </w:tcPr>
          <w:p w:rsidR="00E550D9" w:rsidRPr="00371AD6" w:rsidRDefault="0022042E" w:rsidP="00371AD6">
            <w:pPr>
              <w:jc w:val="both"/>
              <w:rPr>
                <w:rFonts w:ascii="XO Thames" w:hAnsi="XO Thames"/>
              </w:rPr>
            </w:pPr>
            <w:r w:rsidRPr="00371AD6">
              <w:rPr>
                <w:rFonts w:ascii="XO Thames" w:hAnsi="XO Thames"/>
              </w:rPr>
              <w:t>Товар</w:t>
            </w:r>
            <w:r w:rsidR="00371AD6" w:rsidRPr="00371AD6">
              <w:rPr>
                <w:rFonts w:ascii="XO Thames" w:hAnsi="XO Thames"/>
              </w:rPr>
              <w:t xml:space="preserve"> </w:t>
            </w:r>
            <w:r w:rsidRPr="00371AD6">
              <w:rPr>
                <w:rFonts w:ascii="XO Thames" w:hAnsi="XO Thames"/>
              </w:rPr>
              <w:t>до</w:t>
            </w:r>
            <w:r w:rsidR="005C2418" w:rsidRPr="00371AD6">
              <w:rPr>
                <w:rFonts w:ascii="XO Thames" w:hAnsi="XO Thames"/>
              </w:rPr>
              <w:t>лж</w:t>
            </w:r>
            <w:r w:rsidR="00A80A63" w:rsidRPr="00371AD6">
              <w:rPr>
                <w:rFonts w:ascii="XO Thames" w:hAnsi="XO Thames"/>
              </w:rPr>
              <w:t>ен</w:t>
            </w:r>
            <w:r w:rsidR="005C2418" w:rsidRPr="00371AD6">
              <w:rPr>
                <w:rFonts w:ascii="XO Thames" w:hAnsi="XO Thames"/>
              </w:rPr>
              <w:t xml:space="preserve"> соответствовать требованиям установленными в </w:t>
            </w:r>
            <w:r w:rsidR="00CC781B" w:rsidRPr="00371AD6">
              <w:rPr>
                <w:rFonts w:ascii="XO Thames" w:hAnsi="XO Thames"/>
              </w:rPr>
              <w:t>ООЗ.</w:t>
            </w:r>
          </w:p>
        </w:tc>
      </w:tr>
      <w:tr w:rsidR="003309A8" w:rsidRPr="00015966" w:rsidTr="00015966">
        <w:trPr>
          <w:trHeight w:val="424"/>
        </w:trPr>
        <w:tc>
          <w:tcPr>
            <w:tcW w:w="1831" w:type="dxa"/>
            <w:shd w:val="clear" w:color="auto" w:fill="auto"/>
          </w:tcPr>
          <w:p w:rsidR="00B662EF" w:rsidRPr="00015966" w:rsidRDefault="00B662EF" w:rsidP="000159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  <w:r w:rsidRPr="00015966">
              <w:rPr>
                <w:rFonts w:ascii="XO Thames" w:hAnsi="XO Thames"/>
              </w:rPr>
              <w:t>Используемый метод определения цены с обоснованием</w:t>
            </w:r>
          </w:p>
        </w:tc>
        <w:tc>
          <w:tcPr>
            <w:tcW w:w="7775" w:type="dxa"/>
            <w:shd w:val="clear" w:color="auto" w:fill="auto"/>
          </w:tcPr>
          <w:p w:rsidR="009574D0" w:rsidRPr="00250D5B" w:rsidRDefault="009574D0" w:rsidP="000159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XO Thames" w:hAnsi="XO Thames"/>
                <w:lang w:eastAsia="en-US"/>
              </w:rPr>
            </w:pPr>
            <w:r w:rsidRPr="00250D5B">
              <w:rPr>
                <w:rFonts w:ascii="XO Thames" w:hAnsi="XO Thames"/>
                <w:lang w:eastAsia="en-US"/>
              </w:rPr>
              <w:t>Метод сопоставимых рыночных цен (анализ рынка)</w:t>
            </w:r>
          </w:p>
          <w:p w:rsidR="009574D0" w:rsidRPr="00250D5B" w:rsidRDefault="009574D0" w:rsidP="00015966">
            <w:pPr>
              <w:widowControl w:val="0"/>
              <w:autoSpaceDE w:val="0"/>
              <w:autoSpaceDN w:val="0"/>
              <w:adjustRightInd w:val="0"/>
              <w:ind w:firstLine="729"/>
              <w:jc w:val="both"/>
              <w:rPr>
                <w:rFonts w:ascii="XO Thames" w:hAnsi="XO Thames"/>
                <w:lang w:eastAsia="en-US"/>
              </w:rPr>
            </w:pPr>
            <w:r w:rsidRPr="00250D5B">
              <w:rPr>
                <w:rFonts w:ascii="XO Thames" w:hAnsi="XO Thames"/>
                <w:lang w:eastAsia="en-US"/>
              </w:rPr>
              <w:t>Проведение исследования функционирующего рынка, изучены</w:t>
            </w:r>
            <w:r w:rsidR="00015966" w:rsidRPr="00250D5B">
              <w:rPr>
                <w:rFonts w:ascii="XO Thames" w:hAnsi="XO Thames"/>
                <w:lang w:eastAsia="en-US"/>
              </w:rPr>
              <w:t xml:space="preserve"> цены потенциальных поставщиков</w:t>
            </w:r>
            <w:r w:rsidRPr="00250D5B">
              <w:rPr>
                <w:rFonts w:ascii="XO Thames" w:hAnsi="XO Thames"/>
                <w:lang w:eastAsia="en-US"/>
              </w:rPr>
              <w:t xml:space="preserve"> и определение средней цены на товар, являющиеся предметом контракта.</w:t>
            </w:r>
          </w:p>
          <w:p w:rsidR="009574D0" w:rsidRPr="00250D5B" w:rsidRDefault="009574D0" w:rsidP="00015966">
            <w:pPr>
              <w:pStyle w:val="31"/>
              <w:tabs>
                <w:tab w:val="num" w:pos="1286"/>
                <w:tab w:val="num" w:pos="1418"/>
              </w:tabs>
              <w:ind w:left="0" w:firstLine="720"/>
              <w:rPr>
                <w:rFonts w:ascii="XO Thames" w:hAnsi="XO Thames"/>
                <w:szCs w:val="24"/>
                <w:lang w:eastAsia="en-US"/>
              </w:rPr>
            </w:pPr>
            <w:r w:rsidRPr="00250D5B">
              <w:rPr>
                <w:rFonts w:ascii="XO Thames" w:hAnsi="XO Thames"/>
                <w:iCs/>
                <w:szCs w:val="24"/>
                <w:lang w:eastAsia="en-US"/>
              </w:rPr>
              <w:t>При использовании конкурентных процедур цена государственного контракта определяется по методу сопоставимых рыночных цен (является приоритетным в соответствии с ч. 6 статьи 22 Федерального закона № 44-ФЗ) и рассчитывается в соответствии с п. 3.21. Методических рекомендаций по применению методов определения начальной (максимальной) цены контракта, цены контракта, заключаемого</w:t>
            </w:r>
            <w:r w:rsidRPr="00250D5B">
              <w:rPr>
                <w:rFonts w:ascii="XO Thames" w:hAnsi="XO Thames"/>
                <w:szCs w:val="24"/>
              </w:rPr>
              <w:t xml:space="preserve"> </w:t>
            </w:r>
            <w:r w:rsidR="0053637E">
              <w:rPr>
                <w:rFonts w:ascii="XO Thames" w:hAnsi="XO Thames"/>
                <w:szCs w:val="24"/>
              </w:rPr>
              <w:t>с единственным поставщиком (подрядчиком, исполнителем)</w:t>
            </w:r>
            <w:r w:rsidRPr="00250D5B">
              <w:rPr>
                <w:rFonts w:ascii="XO Thames" w:hAnsi="XO Thames"/>
                <w:iCs/>
                <w:szCs w:val="24"/>
                <w:lang w:eastAsia="en-US"/>
              </w:rPr>
              <w:t>, утвержденными приказом Минэкономразвития от 02.10.2013 № 567, т.е. как средняя величина по представленным коммерческим предложениям. С</w:t>
            </w:r>
            <w:r w:rsidRPr="00250D5B">
              <w:rPr>
                <w:rFonts w:ascii="XO Thames" w:hAnsi="XO Thames"/>
                <w:szCs w:val="24"/>
                <w:lang w:eastAsia="en-US"/>
              </w:rPr>
              <w:t xml:space="preserve">огласно </w:t>
            </w:r>
            <w:hyperlink r:id="rId8" w:history="1">
              <w:r w:rsidRPr="00250D5B">
                <w:rPr>
                  <w:rStyle w:val="ab"/>
                  <w:rFonts w:ascii="XO Thames" w:hAnsi="XO Thames"/>
                  <w:color w:val="auto"/>
                  <w:szCs w:val="24"/>
                  <w:lang w:eastAsia="en-US"/>
                </w:rPr>
                <w:t>п. 3.21</w:t>
              </w:r>
            </w:hyperlink>
            <w:r w:rsidRPr="00250D5B">
              <w:rPr>
                <w:rFonts w:ascii="XO Thames" w:hAnsi="XO Thames"/>
                <w:szCs w:val="24"/>
                <w:lang w:eastAsia="en-US"/>
              </w:rPr>
              <w:t xml:space="preserve"> Методических рекомендаций для определения цены контракта методом сопоставимых рыночных цен (анализа рынка) применяется следующая формула:</w:t>
            </w:r>
          </w:p>
          <w:p w:rsidR="009574D0" w:rsidRPr="00250D5B" w:rsidRDefault="009574D0" w:rsidP="0001596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XO Thames" w:hAnsi="XO Thames" w:cs="Times New Roman CYR"/>
                <w:lang w:eastAsia="en-US"/>
              </w:rPr>
            </w:pPr>
            <w:r w:rsidRPr="00250D5B">
              <w:rPr>
                <w:rFonts w:ascii="XO Thames" w:hAnsi="XO Thames" w:cs="Times New Roman CYR"/>
                <w:noProof/>
                <w:position w:val="-16"/>
              </w:rPr>
              <w:drawing>
                <wp:inline distT="0" distB="0" distL="0" distR="0">
                  <wp:extent cx="1638300" cy="2952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D5B">
              <w:rPr>
                <w:rFonts w:ascii="XO Thames" w:hAnsi="XO Thames" w:cs="Times New Roman CYR"/>
                <w:lang w:eastAsia="en-US"/>
              </w:rPr>
              <w:t>, (1)</w:t>
            </w:r>
          </w:p>
          <w:p w:rsidR="009574D0" w:rsidRPr="00250D5B" w:rsidRDefault="009574D0" w:rsidP="00015966">
            <w:pPr>
              <w:autoSpaceDE w:val="0"/>
              <w:autoSpaceDN w:val="0"/>
              <w:adjustRightInd w:val="0"/>
              <w:ind w:firstLine="540"/>
              <w:rPr>
                <w:rFonts w:ascii="XO Thames" w:hAnsi="XO Thames" w:cs="Times New Roman CYR"/>
                <w:lang w:eastAsia="en-US"/>
              </w:rPr>
            </w:pPr>
            <w:r w:rsidRPr="00250D5B">
              <w:rPr>
                <w:rFonts w:ascii="XO Thames" w:hAnsi="XO Thames" w:cs="Times New Roman CYR"/>
                <w:lang w:eastAsia="en-US"/>
              </w:rPr>
              <w:t xml:space="preserve">где </w:t>
            </w:r>
            <w:r w:rsidRPr="00250D5B">
              <w:rPr>
                <w:rFonts w:ascii="XO Thames" w:hAnsi="XO Thames" w:cs="Times New Roman CYR"/>
                <w:noProof/>
                <w:position w:val="-10"/>
              </w:rPr>
              <w:drawing>
                <wp:inline distT="0" distB="0" distL="0" distR="0">
                  <wp:extent cx="685800" cy="228600"/>
                  <wp:effectExtent l="1905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D5B">
              <w:rPr>
                <w:rFonts w:ascii="XO Thames" w:hAnsi="XO Thames" w:cs="Times New Roman CYR"/>
                <w:lang w:eastAsia="en-US"/>
              </w:rPr>
              <w:t xml:space="preserve"> - цена контракта, определяемая методом сопоставимых рыночных цен (анализа рынка);</w:t>
            </w:r>
          </w:p>
          <w:p w:rsidR="009574D0" w:rsidRPr="00250D5B" w:rsidRDefault="009574D0" w:rsidP="00015966">
            <w:pPr>
              <w:autoSpaceDE w:val="0"/>
              <w:autoSpaceDN w:val="0"/>
              <w:adjustRightInd w:val="0"/>
              <w:ind w:firstLine="540"/>
              <w:rPr>
                <w:rFonts w:ascii="XO Thames" w:hAnsi="XO Thames" w:cs="Times New Roman CYR"/>
                <w:lang w:eastAsia="en-US"/>
              </w:rPr>
            </w:pPr>
            <w:r w:rsidRPr="00250D5B">
              <w:rPr>
                <w:rFonts w:ascii="XO Thames" w:hAnsi="XO Thames" w:cs="Times New Roman CYR"/>
                <w:lang w:eastAsia="en-US"/>
              </w:rPr>
              <w:t>v - количество (объем) закупаемого товара (работы, услуги);</w:t>
            </w:r>
          </w:p>
          <w:p w:rsidR="009574D0" w:rsidRPr="00250D5B" w:rsidRDefault="009574D0" w:rsidP="00015966">
            <w:pPr>
              <w:autoSpaceDE w:val="0"/>
              <w:autoSpaceDN w:val="0"/>
              <w:adjustRightInd w:val="0"/>
              <w:ind w:firstLine="540"/>
              <w:rPr>
                <w:rFonts w:ascii="XO Thames" w:hAnsi="XO Thames" w:cs="Times New Roman CYR"/>
                <w:lang w:eastAsia="en-US"/>
              </w:rPr>
            </w:pPr>
            <w:r w:rsidRPr="00250D5B">
              <w:rPr>
                <w:rFonts w:ascii="XO Thames" w:hAnsi="XO Thames" w:cs="Times New Roman CYR"/>
                <w:lang w:eastAsia="en-US"/>
              </w:rPr>
              <w:t>n - количество значений, используемых в расчете;</w:t>
            </w:r>
          </w:p>
          <w:p w:rsidR="009574D0" w:rsidRPr="00250D5B" w:rsidRDefault="009574D0" w:rsidP="00015966">
            <w:pPr>
              <w:autoSpaceDE w:val="0"/>
              <w:autoSpaceDN w:val="0"/>
              <w:adjustRightInd w:val="0"/>
              <w:ind w:firstLine="540"/>
              <w:rPr>
                <w:rFonts w:ascii="XO Thames" w:hAnsi="XO Thames" w:cs="Times New Roman CYR"/>
                <w:lang w:eastAsia="en-US"/>
              </w:rPr>
            </w:pPr>
            <w:r w:rsidRPr="00250D5B">
              <w:rPr>
                <w:rFonts w:ascii="XO Thames" w:hAnsi="XO Thames" w:cs="Times New Roman CYR"/>
                <w:lang w:eastAsia="en-US"/>
              </w:rPr>
              <w:t>i - номер источника ценовой информации;</w:t>
            </w:r>
          </w:p>
          <w:p w:rsidR="009574D0" w:rsidRPr="00250D5B" w:rsidRDefault="009574D0" w:rsidP="0001596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452"/>
              <w:jc w:val="both"/>
              <w:rPr>
                <w:rFonts w:ascii="XO Thames" w:hAnsi="XO Thames"/>
                <w:lang w:eastAsia="en-US"/>
              </w:rPr>
            </w:pPr>
            <w:r w:rsidRPr="00250D5B">
              <w:rPr>
                <w:rFonts w:ascii="XO Thames" w:hAnsi="XO Thames" w:cs="Times New Roman CYR"/>
                <w:lang w:eastAsia="en-US"/>
              </w:rPr>
              <w:t xml:space="preserve">- </w:t>
            </w:r>
            <w:r w:rsidRPr="00250D5B">
              <w:rPr>
                <w:rFonts w:ascii="XO Thames" w:hAnsi="XO Thames"/>
                <w:lang w:eastAsia="en-US"/>
              </w:rPr>
              <w:t>цена единицы товара (работы, услуги), представленная в источнике с номером i,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товаров, выполнения работ, оказан</w:t>
            </w:r>
            <w:r w:rsidR="00E37398" w:rsidRPr="00250D5B">
              <w:rPr>
                <w:rFonts w:ascii="XO Thames" w:hAnsi="XO Thames"/>
                <w:lang w:eastAsia="en-US"/>
              </w:rPr>
              <w:t>ия услуг и приведена в таблице</w:t>
            </w:r>
            <w:r w:rsidRPr="00250D5B">
              <w:rPr>
                <w:rFonts w:ascii="XO Thames" w:hAnsi="XO Thames"/>
                <w:lang w:eastAsia="en-US"/>
              </w:rPr>
              <w:t>.</w:t>
            </w:r>
          </w:p>
          <w:p w:rsidR="009574D0" w:rsidRPr="00250D5B" w:rsidRDefault="009574D0" w:rsidP="00015966">
            <w:pPr>
              <w:ind w:firstLine="720"/>
              <w:jc w:val="both"/>
              <w:rPr>
                <w:rFonts w:ascii="XO Thames" w:hAnsi="XO Thames"/>
                <w:lang w:eastAsia="en-US"/>
              </w:rPr>
            </w:pPr>
            <w:r w:rsidRPr="00250D5B">
              <w:rPr>
                <w:rFonts w:ascii="XO Thames" w:hAnsi="XO Thames"/>
                <w:lang w:eastAsia="en-US"/>
              </w:rPr>
              <w:t xml:space="preserve">В целях определения цены товара </w:t>
            </w:r>
            <w:r w:rsidR="008A3626" w:rsidRPr="00250D5B">
              <w:rPr>
                <w:rFonts w:ascii="XO Thames" w:hAnsi="XO Thames"/>
                <w:color w:val="FF0000"/>
                <w:lang w:eastAsia="en-US"/>
              </w:rPr>
              <w:t>на</w:t>
            </w:r>
            <w:r w:rsidR="00015966" w:rsidRPr="00250D5B">
              <w:rPr>
                <w:rFonts w:ascii="XO Thames" w:hAnsi="XO Thames"/>
                <w:color w:val="FF0000"/>
                <w:lang w:eastAsia="en-US"/>
              </w:rPr>
              <w:t xml:space="preserve"> </w:t>
            </w:r>
            <w:r w:rsidR="00BA11FE" w:rsidRPr="00250D5B">
              <w:rPr>
                <w:rFonts w:ascii="XO Thames" w:hAnsi="XO Thames"/>
                <w:color w:val="FF0000"/>
                <w:lang w:eastAsia="en-US"/>
              </w:rPr>
              <w:t>202</w:t>
            </w:r>
            <w:r w:rsidR="008A3626" w:rsidRPr="00250D5B">
              <w:rPr>
                <w:rFonts w:ascii="XO Thames" w:hAnsi="XO Thames"/>
                <w:color w:val="FF0000"/>
                <w:lang w:eastAsia="en-US"/>
              </w:rPr>
              <w:t>6</w:t>
            </w:r>
            <w:r w:rsidRPr="00250D5B">
              <w:rPr>
                <w:rFonts w:ascii="XO Thames" w:hAnsi="XO Thames"/>
                <w:lang w:eastAsia="en-US"/>
              </w:rPr>
              <w:t xml:space="preserve"> была запрошена ценовая информация у пяти потенциальных поставщиков.</w:t>
            </w:r>
          </w:p>
          <w:p w:rsidR="009574D0" w:rsidRPr="00250D5B" w:rsidRDefault="00015966" w:rsidP="00015966">
            <w:pPr>
              <w:ind w:firstLine="720"/>
              <w:jc w:val="both"/>
              <w:rPr>
                <w:rFonts w:ascii="XO Thames" w:hAnsi="XO Thames"/>
                <w:lang w:eastAsia="en-US"/>
              </w:rPr>
            </w:pPr>
            <w:r w:rsidRPr="00250D5B">
              <w:rPr>
                <w:rFonts w:ascii="XO Thames" w:hAnsi="XO Thames"/>
                <w:lang w:eastAsia="en-US"/>
              </w:rPr>
              <w:t>По результатам запросов</w:t>
            </w:r>
            <w:r w:rsidR="009574D0" w:rsidRPr="00250D5B">
              <w:rPr>
                <w:rFonts w:ascii="XO Thames" w:hAnsi="XO Thames"/>
                <w:lang w:eastAsia="en-US"/>
              </w:rPr>
              <w:t xml:space="preserve"> получена следующая информация </w:t>
            </w:r>
            <w:r w:rsidR="00132BAB" w:rsidRPr="00250D5B">
              <w:rPr>
                <w:rFonts w:ascii="XO Thames" w:hAnsi="XO Thames"/>
                <w:lang w:eastAsia="en-US"/>
              </w:rPr>
              <w:t xml:space="preserve">от </w:t>
            </w:r>
            <w:r w:rsidR="009574D0" w:rsidRPr="00250D5B">
              <w:rPr>
                <w:rFonts w:ascii="XO Thames" w:hAnsi="XO Thames"/>
                <w:lang w:eastAsia="en-US"/>
              </w:rPr>
              <w:t>потенциальных поставщи</w:t>
            </w:r>
            <w:r w:rsidR="00E37398" w:rsidRPr="00250D5B">
              <w:rPr>
                <w:rFonts w:ascii="XO Thames" w:hAnsi="XO Thames"/>
                <w:lang w:eastAsia="en-US"/>
              </w:rPr>
              <w:t>ков на поставку товара.</w:t>
            </w:r>
          </w:p>
          <w:tbl>
            <w:tblPr>
              <w:tblW w:w="7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20"/>
              <w:gridCol w:w="701"/>
              <w:gridCol w:w="841"/>
              <w:gridCol w:w="700"/>
              <w:gridCol w:w="701"/>
              <w:gridCol w:w="701"/>
              <w:gridCol w:w="561"/>
              <w:gridCol w:w="980"/>
              <w:gridCol w:w="838"/>
              <w:gridCol w:w="441"/>
            </w:tblGrid>
            <w:tr w:rsidR="007241E5" w:rsidRPr="00250D5B" w:rsidTr="007241E5">
              <w:trPr>
                <w:cantSplit/>
                <w:trHeight w:val="1217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75A1" w:rsidRPr="00250D5B" w:rsidRDefault="008C75A1" w:rsidP="007C137E">
                  <w:pPr>
                    <w:jc w:val="center"/>
                    <w:rPr>
                      <w:rFonts w:eastAsia="Calibri"/>
                      <w:b/>
                      <w:color w:val="000000"/>
                    </w:rPr>
                  </w:pPr>
                  <w:r w:rsidRPr="00250D5B"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  <w:t>Наименование товара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bottom"/>
                  <w:hideMark/>
                </w:tcPr>
                <w:p w:rsidR="008C75A1" w:rsidRPr="0053637E" w:rsidRDefault="008C75A1" w:rsidP="008C75A1">
                  <w:pPr>
                    <w:ind w:left="113" w:right="113"/>
                    <w:jc w:val="center"/>
                    <w:rPr>
                      <w:rFonts w:eastAsia="Calibri"/>
                      <w:b/>
                      <w:color w:val="000000"/>
                      <w:sz w:val="20"/>
                    </w:rPr>
                  </w:pPr>
                  <w:r w:rsidRPr="0053637E">
                    <w:rPr>
                      <w:rFonts w:eastAsia="Calibri"/>
                      <w:b/>
                      <w:color w:val="000000"/>
                      <w:sz w:val="20"/>
                      <w:szCs w:val="22"/>
                    </w:rPr>
                    <w:t>Поставщик 1, руб. за шт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8C75A1" w:rsidRPr="0053637E" w:rsidRDefault="008C75A1" w:rsidP="008C75A1">
                  <w:pPr>
                    <w:ind w:left="113" w:right="113"/>
                    <w:jc w:val="center"/>
                    <w:rPr>
                      <w:b/>
                      <w:sz w:val="20"/>
                    </w:rPr>
                  </w:pPr>
                  <w:r w:rsidRPr="0053637E">
                    <w:rPr>
                      <w:rFonts w:eastAsia="Calibri"/>
                      <w:b/>
                      <w:color w:val="000000"/>
                      <w:sz w:val="20"/>
                      <w:szCs w:val="22"/>
                    </w:rPr>
                    <w:t>Поставщик 2, руб. за шт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8C75A1" w:rsidRPr="0053637E" w:rsidRDefault="008C75A1" w:rsidP="008C75A1">
                  <w:pPr>
                    <w:ind w:left="113" w:right="113"/>
                    <w:jc w:val="center"/>
                    <w:rPr>
                      <w:b/>
                      <w:sz w:val="20"/>
                    </w:rPr>
                  </w:pPr>
                  <w:r w:rsidRPr="0053637E">
                    <w:rPr>
                      <w:rFonts w:eastAsia="Calibri"/>
                      <w:b/>
                      <w:color w:val="000000"/>
                      <w:sz w:val="20"/>
                      <w:szCs w:val="22"/>
                    </w:rPr>
                    <w:t>Поставщик 3, руб. за шт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C75A1" w:rsidRPr="0053637E" w:rsidRDefault="008C75A1" w:rsidP="008C75A1">
                  <w:pPr>
                    <w:ind w:left="113" w:right="113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1"/>
                      <w:lang w:eastAsia="en-US"/>
                    </w:rPr>
                  </w:pPr>
                  <w:r w:rsidRPr="0053637E">
                    <w:rPr>
                      <w:rFonts w:eastAsia="Calibri"/>
                      <w:b/>
                      <w:color w:val="000000"/>
                      <w:sz w:val="20"/>
                      <w:szCs w:val="22"/>
                    </w:rPr>
                    <w:t>Поставщик 4, рубш. за т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C75A1" w:rsidRPr="0053637E" w:rsidRDefault="008C75A1" w:rsidP="008C75A1">
                  <w:pPr>
                    <w:ind w:left="113" w:right="113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1"/>
                      <w:lang w:eastAsia="en-US"/>
                    </w:rPr>
                  </w:pPr>
                  <w:r w:rsidRPr="0053637E">
                    <w:rPr>
                      <w:rFonts w:eastAsia="Calibri"/>
                      <w:b/>
                      <w:color w:val="000000"/>
                      <w:sz w:val="20"/>
                      <w:szCs w:val="22"/>
                    </w:rPr>
                    <w:t>Поставщик 5, руб. за шт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8C75A1" w:rsidRPr="00250D5B" w:rsidRDefault="008C75A1" w:rsidP="007241E5">
                  <w:pPr>
                    <w:ind w:left="113" w:right="113"/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1"/>
                      <w:lang w:eastAsia="en-US"/>
                    </w:rPr>
                  </w:pPr>
                  <w:r>
                    <w:rPr>
                      <w:rFonts w:eastAsia="Calibri"/>
                      <w:b/>
                      <w:color w:val="000000"/>
                      <w:sz w:val="20"/>
                      <w:szCs w:val="21"/>
                      <w:lang w:eastAsia="en-US"/>
                    </w:rPr>
                    <w:t>Количество, шт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75A1" w:rsidRPr="00250D5B" w:rsidRDefault="008C75A1" w:rsidP="007C137E">
                  <w:pPr>
                    <w:jc w:val="center"/>
                    <w:rPr>
                      <w:rFonts w:eastAsia="Calibri"/>
                      <w:b/>
                      <w:color w:val="000000"/>
                      <w:sz w:val="21"/>
                      <w:szCs w:val="21"/>
                    </w:rPr>
                  </w:pPr>
                  <w:r w:rsidRPr="00250D5B">
                    <w:rPr>
                      <w:rFonts w:eastAsia="Calibri"/>
                      <w:b/>
                      <w:color w:val="000000"/>
                      <w:sz w:val="20"/>
                      <w:szCs w:val="21"/>
                      <w:lang w:eastAsia="en-US"/>
                    </w:rPr>
                    <w:t>Среднее значение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75A1" w:rsidRPr="00250D5B" w:rsidRDefault="008C75A1" w:rsidP="007241E5">
                  <w:pPr>
                    <w:jc w:val="center"/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50D5B"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Среднее квадратич. отклонение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8C75A1" w:rsidRPr="00250D5B" w:rsidRDefault="008C75A1" w:rsidP="007241E5">
                  <w:pPr>
                    <w:ind w:left="113" w:right="113"/>
                    <w:jc w:val="center"/>
                    <w:rPr>
                      <w:rFonts w:eastAsia="Calibri"/>
                      <w:b/>
                      <w:color w:val="000000"/>
                    </w:rPr>
                  </w:pPr>
                  <w:r w:rsidRPr="00250D5B">
                    <w:rPr>
                      <w:rFonts w:eastAsia="Calibri"/>
                      <w:b/>
                      <w:color w:val="000000"/>
                      <w:sz w:val="22"/>
                      <w:szCs w:val="22"/>
                    </w:rPr>
                    <w:t>Коэф. вариации</w:t>
                  </w:r>
                </w:p>
              </w:tc>
            </w:tr>
            <w:tr w:rsidR="007241E5" w:rsidRPr="00250D5B" w:rsidTr="00A941F1">
              <w:trPr>
                <w:cantSplit/>
                <w:trHeight w:val="1134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75A1" w:rsidRPr="00250D5B" w:rsidRDefault="0053637E" w:rsidP="007241E5">
                  <w:pPr>
                    <w:ind w:left="-101"/>
                    <w:jc w:val="center"/>
                    <w:rPr>
                      <w:rFonts w:eastAsia="Calibri"/>
                      <w:color w:val="000000"/>
                      <w:sz w:val="20"/>
                    </w:rPr>
                  </w:pPr>
                  <w:r>
                    <w:rPr>
                      <w:bCs/>
                      <w:iCs/>
                      <w:color w:val="000000"/>
                      <w:sz w:val="20"/>
                      <w:szCs w:val="20"/>
                    </w:rPr>
                    <w:t>Веб-камера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53637E" w:rsidP="007C137E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2300,00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53637E" w:rsidP="007C137E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2490,00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53637E" w:rsidP="007C137E">
                  <w:pPr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2900,00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53637E" w:rsidP="00A941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2500,00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53637E" w:rsidP="00A941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2000,00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53637E" w:rsidP="00A941F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53637E" w:rsidP="007C13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2438,00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53637E" w:rsidP="007241E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328,2073</w:t>
                  </w: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8C75A1" w:rsidRPr="00250D5B" w:rsidRDefault="0053637E" w:rsidP="007241E5">
                  <w:pPr>
                    <w:ind w:left="113" w:right="11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13,462</w:t>
                  </w:r>
                  <w:r w:rsidR="008C75A1" w:rsidRPr="00250D5B">
                    <w:rPr>
                      <w:sz w:val="20"/>
                    </w:rPr>
                    <w:t xml:space="preserve"> %</w:t>
                  </w:r>
                </w:p>
              </w:tc>
            </w:tr>
            <w:tr w:rsidR="007241E5" w:rsidRPr="00250D5B" w:rsidTr="007241E5">
              <w:trPr>
                <w:trHeight w:val="441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75A1" w:rsidRPr="00250D5B" w:rsidRDefault="008C75A1" w:rsidP="007C137E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250D5B">
                    <w:rPr>
                      <w:color w:val="000000"/>
                      <w:sz w:val="20"/>
                    </w:rPr>
                    <w:lastRenderedPageBreak/>
                    <w:t>ИТОГО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A941F1" w:rsidRDefault="0053637E" w:rsidP="00A941F1">
                  <w:pPr>
                    <w:ind w:hanging="87"/>
                    <w:jc w:val="center"/>
                    <w:rPr>
                      <w:color w:val="000000"/>
                      <w:sz w:val="18"/>
                      <w:szCs w:val="19"/>
                    </w:rPr>
                  </w:pPr>
                  <w:r>
                    <w:rPr>
                      <w:color w:val="000000"/>
                      <w:sz w:val="18"/>
                      <w:szCs w:val="19"/>
                    </w:rPr>
                    <w:t>2300,00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A941F1" w:rsidRDefault="0053637E" w:rsidP="007C137E">
                  <w:pPr>
                    <w:jc w:val="center"/>
                    <w:rPr>
                      <w:color w:val="000000"/>
                      <w:sz w:val="18"/>
                      <w:szCs w:val="19"/>
                    </w:rPr>
                  </w:pPr>
                  <w:r>
                    <w:rPr>
                      <w:color w:val="000000"/>
                      <w:sz w:val="18"/>
                      <w:szCs w:val="19"/>
                    </w:rPr>
                    <w:t>2490,00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A941F1" w:rsidRDefault="0053637E" w:rsidP="007C137E">
                  <w:pPr>
                    <w:jc w:val="center"/>
                    <w:rPr>
                      <w:color w:val="000000"/>
                      <w:sz w:val="18"/>
                      <w:szCs w:val="19"/>
                    </w:rPr>
                  </w:pPr>
                  <w:r>
                    <w:rPr>
                      <w:color w:val="000000"/>
                      <w:sz w:val="18"/>
                      <w:szCs w:val="19"/>
                    </w:rPr>
                    <w:t>2900,00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5A1" w:rsidRPr="00A941F1" w:rsidRDefault="0053637E" w:rsidP="007C137E">
                  <w:pPr>
                    <w:jc w:val="center"/>
                    <w:rPr>
                      <w:sz w:val="18"/>
                      <w:szCs w:val="19"/>
                    </w:rPr>
                  </w:pPr>
                  <w:r>
                    <w:rPr>
                      <w:sz w:val="18"/>
                      <w:szCs w:val="19"/>
                    </w:rPr>
                    <w:t>2500,00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5A1" w:rsidRPr="00A941F1" w:rsidRDefault="0053637E" w:rsidP="007C137E">
                  <w:pPr>
                    <w:jc w:val="center"/>
                    <w:rPr>
                      <w:sz w:val="18"/>
                      <w:szCs w:val="19"/>
                    </w:rPr>
                  </w:pPr>
                  <w:r>
                    <w:rPr>
                      <w:sz w:val="18"/>
                      <w:szCs w:val="19"/>
                    </w:rPr>
                    <w:t>2000,00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75A1" w:rsidRPr="00250D5B" w:rsidRDefault="008C75A1" w:rsidP="007C137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53637E" w:rsidP="007C137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2438,00</w:t>
                  </w:r>
                </w:p>
              </w:tc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8C75A1" w:rsidP="007C137E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75A1" w:rsidRPr="00250D5B" w:rsidRDefault="008C75A1" w:rsidP="007C137E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CC781B" w:rsidRPr="00250D5B" w:rsidRDefault="006C526A" w:rsidP="00015966">
            <w:pPr>
              <w:autoSpaceDE w:val="0"/>
              <w:autoSpaceDN w:val="0"/>
              <w:adjustRightInd w:val="0"/>
              <w:rPr>
                <w:rFonts w:ascii="XO Thames" w:hAnsi="XO Thames"/>
                <w:iCs/>
              </w:rPr>
            </w:pPr>
            <w:r w:rsidRPr="00250D5B">
              <w:rPr>
                <w:rFonts w:ascii="XO Thames" w:hAnsi="XO Thames"/>
                <w:bCs/>
                <w:iCs/>
              </w:rPr>
              <w:t>Совокупность значений, используемых в расчете при определении НМЦК, считается неоднородной, если коэффициент вариации цены превышает 33%.</w:t>
            </w:r>
            <w:r w:rsidRPr="00250D5B">
              <w:rPr>
                <w:rFonts w:ascii="XO Thames" w:hAnsi="XO Thames"/>
                <w:iCs/>
              </w:rPr>
              <w:t xml:space="preserve"> </w:t>
            </w:r>
            <w:r w:rsidR="00CC781B" w:rsidRPr="00250D5B">
              <w:rPr>
                <w:rFonts w:ascii="XO Thames" w:hAnsi="XO Thames"/>
                <w:iCs/>
              </w:rPr>
              <w:t>Общий коэффициент вариации, не превышает 33%, следовательно, совокупность цен принимается однородной.</w:t>
            </w:r>
          </w:p>
          <w:p w:rsidR="006C526A" w:rsidRPr="00250D5B" w:rsidRDefault="006C526A" w:rsidP="006C526A">
            <w:pPr>
              <w:autoSpaceDE w:val="0"/>
              <w:autoSpaceDN w:val="0"/>
              <w:adjustRightInd w:val="0"/>
              <w:rPr>
                <w:rFonts w:ascii="XO Thames" w:hAnsi="XO Thames"/>
                <w:bCs/>
                <w:iCs/>
              </w:rPr>
            </w:pPr>
            <w:r w:rsidRPr="00250D5B">
              <w:rPr>
                <w:rFonts w:ascii="XO Thames" w:hAnsi="XO Thames"/>
                <w:b/>
                <w:bCs/>
                <w:iCs/>
              </w:rPr>
              <w:t>Вывод:</w:t>
            </w:r>
            <w:r w:rsidRPr="00250D5B">
              <w:rPr>
                <w:rFonts w:ascii="XO Thames" w:hAnsi="XO Thames"/>
                <w:bCs/>
                <w:iCs/>
              </w:rPr>
              <w:t xml:space="preserve"> НМЦК, определенная в соответствии с требованиями Методических рекомендаций по применению методов определения начальной (максимальной) цены контракта, цены контракта, утвержденным Приказом, составляет </w:t>
            </w:r>
            <w:r w:rsidR="0053637E">
              <w:rPr>
                <w:rFonts w:ascii="XO Thames" w:hAnsi="XO Thames"/>
                <w:bCs/>
                <w:iCs/>
              </w:rPr>
              <w:t>2 438</w:t>
            </w:r>
            <w:r w:rsidRPr="00250D5B">
              <w:rPr>
                <w:rFonts w:ascii="XO Thames" w:hAnsi="XO Thames"/>
                <w:bCs/>
                <w:iCs/>
              </w:rPr>
              <w:t xml:space="preserve"> </w:t>
            </w:r>
            <w:r w:rsidR="00A941F1">
              <w:rPr>
                <w:rFonts w:ascii="XO Thames" w:hAnsi="XO Thames"/>
                <w:bCs/>
                <w:iCs/>
              </w:rPr>
              <w:t>(</w:t>
            </w:r>
            <w:r w:rsidR="00736096">
              <w:rPr>
                <w:rFonts w:ascii="XO Thames" w:hAnsi="XO Thames"/>
                <w:bCs/>
                <w:iCs/>
              </w:rPr>
              <w:t>две тысячи четыреста тридцать</w:t>
            </w:r>
            <w:r w:rsidR="00A941F1">
              <w:rPr>
                <w:rFonts w:ascii="XO Thames" w:hAnsi="XO Thames"/>
                <w:bCs/>
                <w:iCs/>
              </w:rPr>
              <w:t xml:space="preserve"> восемь) </w:t>
            </w:r>
            <w:r w:rsidRPr="00250D5B">
              <w:rPr>
                <w:rFonts w:ascii="XO Thames" w:hAnsi="XO Thames"/>
                <w:bCs/>
                <w:iCs/>
              </w:rPr>
              <w:t xml:space="preserve">рублей </w:t>
            </w:r>
            <w:r w:rsidR="007241E5">
              <w:rPr>
                <w:rFonts w:ascii="XO Thames" w:hAnsi="XO Thames"/>
                <w:bCs/>
                <w:iCs/>
              </w:rPr>
              <w:t>00</w:t>
            </w:r>
            <w:r w:rsidRPr="00250D5B">
              <w:rPr>
                <w:rFonts w:ascii="XO Thames" w:hAnsi="XO Thames"/>
                <w:bCs/>
                <w:iCs/>
              </w:rPr>
              <w:t xml:space="preserve"> копе</w:t>
            </w:r>
            <w:r w:rsidR="007241E5">
              <w:rPr>
                <w:rFonts w:ascii="XO Thames" w:hAnsi="XO Thames"/>
                <w:bCs/>
                <w:iCs/>
              </w:rPr>
              <w:t>ек</w:t>
            </w:r>
            <w:r w:rsidRPr="00250D5B">
              <w:rPr>
                <w:rFonts w:ascii="XO Thames" w:hAnsi="XO Thames"/>
                <w:bCs/>
                <w:iCs/>
              </w:rPr>
              <w:t>.</w:t>
            </w:r>
          </w:p>
          <w:p w:rsidR="006C526A" w:rsidRPr="00250D5B" w:rsidRDefault="006C526A" w:rsidP="006C526A">
            <w:pPr>
              <w:autoSpaceDE w:val="0"/>
              <w:autoSpaceDN w:val="0"/>
              <w:adjustRightInd w:val="0"/>
              <w:rPr>
                <w:rFonts w:ascii="XO Thames" w:hAnsi="XO Thames"/>
                <w:bCs/>
                <w:iCs/>
              </w:rPr>
            </w:pPr>
            <w:r w:rsidRPr="00250D5B">
              <w:rPr>
                <w:rFonts w:ascii="XO Thames" w:hAnsi="XO Thames"/>
                <w:bCs/>
                <w:iCs/>
              </w:rPr>
              <w:t xml:space="preserve">В соответствии со ст. 34 Бюджетного кодекса Российской Федерации при заключении государственных контрактов необходимо исходить из необходимости достижения заданных результатов с использованием наименьшего объема средств (экономности). </w:t>
            </w:r>
            <w:r w:rsidRPr="00250D5B">
              <w:rPr>
                <w:rFonts w:ascii="XO Thames" w:hAnsi="XO Thames"/>
                <w:bCs/>
                <w:iCs/>
              </w:rPr>
              <w:br/>
              <w:t>В связи с этим принято решение установить цену на единицу товара исходя из наименьшего коммерческого предложения.</w:t>
            </w:r>
          </w:p>
          <w:p w:rsidR="003A06DE" w:rsidRPr="00250D5B" w:rsidRDefault="006C526A" w:rsidP="00736096">
            <w:pPr>
              <w:autoSpaceDE w:val="0"/>
              <w:autoSpaceDN w:val="0"/>
              <w:adjustRightInd w:val="0"/>
              <w:rPr>
                <w:rFonts w:ascii="XO Thames" w:hAnsi="XO Thames"/>
                <w:iCs/>
              </w:rPr>
            </w:pPr>
            <w:r w:rsidRPr="00250D5B">
              <w:rPr>
                <w:rFonts w:ascii="XO Thames" w:hAnsi="XO Thames"/>
                <w:bCs/>
                <w:iCs/>
              </w:rPr>
              <w:t xml:space="preserve">Так начальная (максимальная) цена контракта </w:t>
            </w:r>
            <w:r w:rsidR="00CC781B" w:rsidRPr="00250D5B">
              <w:rPr>
                <w:rFonts w:ascii="XO Thames" w:hAnsi="XO Thames"/>
                <w:iCs/>
              </w:rPr>
              <w:t xml:space="preserve">заключаемого </w:t>
            </w:r>
            <w:r w:rsidR="00736096">
              <w:rPr>
                <w:rFonts w:ascii="XO Thames" w:hAnsi="XO Thames"/>
                <w:iCs/>
              </w:rPr>
              <w:t>с единственным поставщиком</w:t>
            </w:r>
            <w:r w:rsidR="00CC781B" w:rsidRPr="00250D5B">
              <w:rPr>
                <w:rFonts w:ascii="XO Thames" w:hAnsi="XO Thames"/>
                <w:iCs/>
              </w:rPr>
              <w:t xml:space="preserve"> </w:t>
            </w:r>
            <w:r w:rsidRPr="00250D5B">
              <w:rPr>
                <w:rFonts w:ascii="XO Thames" w:hAnsi="XO Thames"/>
                <w:bCs/>
                <w:iCs/>
              </w:rPr>
              <w:t>будет составлять</w:t>
            </w:r>
            <w:r w:rsidRPr="00250D5B">
              <w:rPr>
                <w:rFonts w:ascii="XO Thames" w:hAnsi="XO Thames"/>
                <w:iCs/>
              </w:rPr>
              <w:t xml:space="preserve"> </w:t>
            </w:r>
            <w:r w:rsidR="00736096">
              <w:rPr>
                <w:rFonts w:ascii="XO Thames" w:hAnsi="XO Thames"/>
                <w:iCs/>
              </w:rPr>
              <w:t>2 0</w:t>
            </w:r>
            <w:r w:rsidR="00A941F1">
              <w:rPr>
                <w:rFonts w:ascii="XO Thames" w:hAnsi="XO Thames"/>
                <w:iCs/>
              </w:rPr>
              <w:t>00</w:t>
            </w:r>
            <w:r w:rsidR="00CC781B" w:rsidRPr="00250D5B">
              <w:rPr>
                <w:rFonts w:ascii="XO Thames" w:hAnsi="XO Thames"/>
                <w:iCs/>
              </w:rPr>
              <w:t xml:space="preserve"> (</w:t>
            </w:r>
            <w:r w:rsidR="00736096">
              <w:rPr>
                <w:rFonts w:ascii="XO Thames" w:hAnsi="XO Thames"/>
                <w:iCs/>
              </w:rPr>
              <w:t>две</w:t>
            </w:r>
            <w:r w:rsidR="007241E5">
              <w:rPr>
                <w:rFonts w:ascii="XO Thames" w:hAnsi="XO Thames"/>
                <w:iCs/>
              </w:rPr>
              <w:t xml:space="preserve"> тысяч</w:t>
            </w:r>
            <w:r w:rsidR="00736096">
              <w:rPr>
                <w:rFonts w:ascii="XO Thames" w:hAnsi="XO Thames"/>
                <w:iCs/>
              </w:rPr>
              <w:t>и</w:t>
            </w:r>
            <w:r w:rsidR="00CC781B" w:rsidRPr="00250D5B">
              <w:rPr>
                <w:rFonts w:ascii="XO Thames" w:hAnsi="XO Thames"/>
                <w:iCs/>
              </w:rPr>
              <w:t>) рублей 00 копеек.</w:t>
            </w:r>
          </w:p>
        </w:tc>
      </w:tr>
      <w:tr w:rsidR="003309A8" w:rsidRPr="00015966" w:rsidTr="00015966">
        <w:tc>
          <w:tcPr>
            <w:tcW w:w="1831" w:type="dxa"/>
            <w:shd w:val="clear" w:color="auto" w:fill="auto"/>
          </w:tcPr>
          <w:p w:rsidR="00B662EF" w:rsidRPr="00015966" w:rsidRDefault="00B662EF" w:rsidP="006C52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XO Thames" w:hAnsi="XO Thames"/>
              </w:rPr>
            </w:pPr>
            <w:r w:rsidRPr="00015966">
              <w:rPr>
                <w:rFonts w:ascii="XO Thames" w:hAnsi="XO Thames"/>
              </w:rPr>
              <w:lastRenderedPageBreak/>
              <w:t xml:space="preserve">Расчет цены </w:t>
            </w:r>
          </w:p>
        </w:tc>
        <w:tc>
          <w:tcPr>
            <w:tcW w:w="7775" w:type="dxa"/>
            <w:shd w:val="clear" w:color="auto" w:fill="auto"/>
          </w:tcPr>
          <w:p w:rsidR="00743005" w:rsidRPr="00250D5B" w:rsidRDefault="00CC781B" w:rsidP="000159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XO Thames" w:hAnsi="XO Thames"/>
              </w:rPr>
            </w:pPr>
            <w:r w:rsidRPr="00250D5B">
              <w:rPr>
                <w:rFonts w:ascii="XO Thames" w:hAnsi="XO Thames"/>
              </w:rPr>
              <w:t>Приложение : Таблица 1 «Обоснование начальной (максимальной) цены контракта, (Н(М)ЦК)»</w:t>
            </w:r>
          </w:p>
        </w:tc>
      </w:tr>
      <w:tr w:rsidR="00B662EF" w:rsidRPr="00015966" w:rsidTr="00015966">
        <w:tc>
          <w:tcPr>
            <w:tcW w:w="9606" w:type="dxa"/>
            <w:gridSpan w:val="2"/>
            <w:shd w:val="clear" w:color="auto" w:fill="auto"/>
          </w:tcPr>
          <w:p w:rsidR="00B662EF" w:rsidRPr="00250D5B" w:rsidRDefault="00B662EF" w:rsidP="007241E5">
            <w:pPr>
              <w:widowControl w:val="0"/>
              <w:autoSpaceDE w:val="0"/>
              <w:autoSpaceDN w:val="0"/>
              <w:adjustRightInd w:val="0"/>
              <w:rPr>
                <w:rFonts w:ascii="XO Thames" w:hAnsi="XO Thames"/>
              </w:rPr>
            </w:pPr>
            <w:r w:rsidRPr="00250D5B">
              <w:rPr>
                <w:rFonts w:ascii="XO Thames" w:hAnsi="XO Thames"/>
              </w:rPr>
              <w:t>Дата подготовки обоснования цены контракта</w:t>
            </w:r>
            <w:r w:rsidR="00371AD6" w:rsidRPr="00250D5B">
              <w:rPr>
                <w:rFonts w:ascii="XO Thames" w:hAnsi="XO Thames"/>
              </w:rPr>
              <w:t xml:space="preserve"> </w:t>
            </w:r>
            <w:r w:rsidR="00736096">
              <w:rPr>
                <w:rFonts w:ascii="XO Thames" w:hAnsi="XO Thames"/>
              </w:rPr>
              <w:t>22.06</w:t>
            </w:r>
            <w:r w:rsidR="00CC781B" w:rsidRPr="00250D5B">
              <w:rPr>
                <w:rFonts w:ascii="XO Thames" w:hAnsi="XO Thames"/>
              </w:rPr>
              <w:t>.202</w:t>
            </w:r>
            <w:r w:rsidR="00371AD6" w:rsidRPr="00250D5B">
              <w:rPr>
                <w:rFonts w:ascii="XO Thames" w:hAnsi="XO Thames"/>
              </w:rPr>
              <w:t>6</w:t>
            </w:r>
          </w:p>
        </w:tc>
      </w:tr>
    </w:tbl>
    <w:p w:rsidR="00CC781B" w:rsidRPr="00371AD6" w:rsidRDefault="00CC781B" w:rsidP="00371AD6">
      <w:pPr>
        <w:rPr>
          <w:rFonts w:ascii="XO Thames" w:hAnsi="XO Thames"/>
          <w:lang w:eastAsia="zh-CN"/>
        </w:rPr>
      </w:pPr>
    </w:p>
    <w:p w:rsidR="00CC781B" w:rsidRPr="00371AD6" w:rsidRDefault="00CC781B" w:rsidP="00371AD6">
      <w:pPr>
        <w:rPr>
          <w:rFonts w:ascii="XO Thames" w:hAnsi="XO Thames"/>
          <w:lang w:eastAsia="zh-CN"/>
        </w:rPr>
      </w:pPr>
    </w:p>
    <w:p w:rsidR="000B1698" w:rsidRPr="000B1698" w:rsidRDefault="000B1698" w:rsidP="000B1698">
      <w:pPr>
        <w:suppressAutoHyphens/>
        <w:rPr>
          <w:rFonts w:ascii="XO Thames" w:hAnsi="XO Thames"/>
          <w:lang w:eastAsia="zh-CN"/>
        </w:rPr>
      </w:pPr>
      <w:r w:rsidRPr="000B1698">
        <w:rPr>
          <w:rFonts w:ascii="XO Thames" w:hAnsi="XO Thames"/>
          <w:lang w:eastAsia="zh-CN"/>
        </w:rPr>
        <w:t>Сотрудник</w:t>
      </w:r>
    </w:p>
    <w:p w:rsidR="000B1698" w:rsidRPr="000B1698" w:rsidRDefault="000B1698" w:rsidP="000B1698">
      <w:pPr>
        <w:suppressAutoHyphens/>
        <w:rPr>
          <w:rFonts w:ascii="XO Thames" w:hAnsi="XO Thames"/>
          <w:lang w:eastAsia="zh-CN"/>
        </w:rPr>
      </w:pPr>
      <w:r w:rsidRPr="000B1698">
        <w:rPr>
          <w:rFonts w:ascii="XO Thames" w:hAnsi="XO Thames"/>
          <w:lang w:eastAsia="zh-CN"/>
        </w:rPr>
        <w:t>Управления по Псковской области</w:t>
      </w:r>
    </w:p>
    <w:p w:rsidR="00C0584D" w:rsidRPr="00371AD6" w:rsidRDefault="000B1698" w:rsidP="000B1698">
      <w:pPr>
        <w:suppressAutoHyphens/>
        <w:rPr>
          <w:rFonts w:ascii="XO Thames" w:hAnsi="XO Thames"/>
        </w:rPr>
      </w:pPr>
      <w:r w:rsidRPr="000B1698">
        <w:rPr>
          <w:rFonts w:ascii="XO Thames" w:hAnsi="XO Thames"/>
          <w:lang w:eastAsia="zh-CN"/>
        </w:rPr>
        <w:t>ФКУ ГУОДОП ФСИН России</w:t>
      </w:r>
      <w:r w:rsidR="00CC781B" w:rsidRPr="00371AD6">
        <w:rPr>
          <w:rFonts w:ascii="XO Thames" w:hAnsi="XO Thames"/>
          <w:lang w:eastAsia="zh-CN"/>
        </w:rPr>
        <w:t xml:space="preserve">               </w:t>
      </w:r>
      <w:r>
        <w:rPr>
          <w:rFonts w:ascii="XO Thames" w:hAnsi="XO Thames"/>
          <w:lang w:eastAsia="zh-CN"/>
        </w:rPr>
        <w:t xml:space="preserve">                             </w:t>
      </w:r>
      <w:r w:rsidR="00CC781B" w:rsidRPr="00371AD6">
        <w:rPr>
          <w:rFonts w:ascii="XO Thames" w:hAnsi="XO Thames"/>
          <w:lang w:eastAsia="zh-CN"/>
        </w:rPr>
        <w:t xml:space="preserve">   </w:t>
      </w:r>
      <w:r w:rsidR="00371AD6" w:rsidRPr="00371AD6">
        <w:rPr>
          <w:rFonts w:ascii="XO Thames" w:hAnsi="XO Thames"/>
          <w:lang w:eastAsia="zh-CN"/>
        </w:rPr>
        <w:t xml:space="preserve">                   </w:t>
      </w:r>
      <w:r w:rsidR="00CC781B" w:rsidRPr="00371AD6">
        <w:rPr>
          <w:rFonts w:ascii="XO Thames" w:hAnsi="XO Thames"/>
          <w:lang w:eastAsia="zh-CN"/>
        </w:rPr>
        <w:t xml:space="preserve">          </w:t>
      </w:r>
      <w:r w:rsidR="00371AD6" w:rsidRPr="00371AD6">
        <w:rPr>
          <w:rFonts w:ascii="XO Thames" w:hAnsi="XO Thames"/>
          <w:lang w:eastAsia="zh-CN"/>
        </w:rPr>
        <w:t>Е.А. Маршалкова</w:t>
      </w:r>
    </w:p>
    <w:sectPr w:rsidR="00C0584D" w:rsidRPr="00371AD6" w:rsidSect="007241E5">
      <w:headerReference w:type="even" r:id="rId11"/>
      <w:headerReference w:type="default" r:id="rId12"/>
      <w:footerReference w:type="even" r:id="rId13"/>
      <w:headerReference w:type="first" r:id="rId14"/>
      <w:pgSz w:w="11906" w:h="16838"/>
      <w:pgMar w:top="284" w:right="1701" w:bottom="284" w:left="709" w:header="709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242" w:rsidRDefault="00273242" w:rsidP="001B491A">
      <w:r>
        <w:separator/>
      </w:r>
    </w:p>
  </w:endnote>
  <w:endnote w:type="continuationSeparator" w:id="1">
    <w:p w:rsidR="00273242" w:rsidRDefault="00273242" w:rsidP="001B4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DB" w:rsidRDefault="00F52D76" w:rsidP="00CB0FE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31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31DB" w:rsidRDefault="00A231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242" w:rsidRDefault="00273242" w:rsidP="001B491A">
      <w:r>
        <w:separator/>
      </w:r>
    </w:p>
  </w:footnote>
  <w:footnote w:type="continuationSeparator" w:id="1">
    <w:p w:rsidR="00273242" w:rsidRDefault="00273242" w:rsidP="001B4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DB" w:rsidRDefault="00F52D76" w:rsidP="00CB0F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31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31DB" w:rsidRDefault="00A231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1DB" w:rsidRDefault="00F52D76" w:rsidP="00CB0F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231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096">
      <w:rPr>
        <w:rStyle w:val="a5"/>
        <w:noProof/>
      </w:rPr>
      <w:t>2</w:t>
    </w:r>
    <w:r>
      <w:rPr>
        <w:rStyle w:val="a5"/>
      </w:rPr>
      <w:fldChar w:fldCharType="end"/>
    </w:r>
  </w:p>
  <w:p w:rsidR="00A231DB" w:rsidRDefault="00A231DB" w:rsidP="00CB0FE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06" w:rsidRDefault="003E7A06" w:rsidP="003E7A06">
    <w:pPr>
      <w:pStyle w:val="a3"/>
      <w:jc w:val="center"/>
    </w:pPr>
  </w:p>
  <w:p w:rsidR="003E7A06" w:rsidRDefault="003E7A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>
        <v:imagedata r:id="rId1" o:title="clip_image001"/>
      </v:shape>
    </w:pict>
  </w:numPicBullet>
  <w:abstractNum w:abstractNumId="0">
    <w:nsid w:val="2D74758A"/>
    <w:multiLevelType w:val="multilevel"/>
    <w:tmpl w:val="243EB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5D3734"/>
    <w:multiLevelType w:val="hybridMultilevel"/>
    <w:tmpl w:val="FCCEF448"/>
    <w:lvl w:ilvl="0" w:tplc="235250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E9E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0A2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3E7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678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019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E8D4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C2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CA3A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2EF"/>
    <w:rsid w:val="0000570E"/>
    <w:rsid w:val="000069B8"/>
    <w:rsid w:val="00012569"/>
    <w:rsid w:val="00015966"/>
    <w:rsid w:val="00031AA7"/>
    <w:rsid w:val="000333CE"/>
    <w:rsid w:val="00034F6E"/>
    <w:rsid w:val="000364B0"/>
    <w:rsid w:val="00044C25"/>
    <w:rsid w:val="000601BD"/>
    <w:rsid w:val="00061DD6"/>
    <w:rsid w:val="00097724"/>
    <w:rsid w:val="000A1FA2"/>
    <w:rsid w:val="000A2278"/>
    <w:rsid w:val="000A378D"/>
    <w:rsid w:val="000B1698"/>
    <w:rsid w:val="000B46AC"/>
    <w:rsid w:val="000B72B9"/>
    <w:rsid w:val="000D2011"/>
    <w:rsid w:val="000E2DD7"/>
    <w:rsid w:val="00105309"/>
    <w:rsid w:val="00106CCF"/>
    <w:rsid w:val="00130975"/>
    <w:rsid w:val="00132BAB"/>
    <w:rsid w:val="00137BE3"/>
    <w:rsid w:val="0014776E"/>
    <w:rsid w:val="00154C1C"/>
    <w:rsid w:val="00157927"/>
    <w:rsid w:val="0016561A"/>
    <w:rsid w:val="001705A2"/>
    <w:rsid w:val="00184047"/>
    <w:rsid w:val="001925A3"/>
    <w:rsid w:val="0019306C"/>
    <w:rsid w:val="00195497"/>
    <w:rsid w:val="001B491A"/>
    <w:rsid w:val="001C2EC7"/>
    <w:rsid w:val="001E799D"/>
    <w:rsid w:val="001F40F1"/>
    <w:rsid w:val="001F40FB"/>
    <w:rsid w:val="002055A4"/>
    <w:rsid w:val="00205EF8"/>
    <w:rsid w:val="002078E7"/>
    <w:rsid w:val="00214097"/>
    <w:rsid w:val="00217020"/>
    <w:rsid w:val="00220209"/>
    <w:rsid w:val="0022042E"/>
    <w:rsid w:val="0022049A"/>
    <w:rsid w:val="00231948"/>
    <w:rsid w:val="00236A73"/>
    <w:rsid w:val="00236F97"/>
    <w:rsid w:val="00240072"/>
    <w:rsid w:val="00250D5B"/>
    <w:rsid w:val="00256536"/>
    <w:rsid w:val="0026794A"/>
    <w:rsid w:val="00273242"/>
    <w:rsid w:val="00295D36"/>
    <w:rsid w:val="002A3308"/>
    <w:rsid w:val="002A358D"/>
    <w:rsid w:val="002A597F"/>
    <w:rsid w:val="002B19B5"/>
    <w:rsid w:val="002D3E3A"/>
    <w:rsid w:val="002D3E89"/>
    <w:rsid w:val="002E5E8A"/>
    <w:rsid w:val="002E7E6F"/>
    <w:rsid w:val="003019FC"/>
    <w:rsid w:val="00301FDC"/>
    <w:rsid w:val="00310041"/>
    <w:rsid w:val="003309A8"/>
    <w:rsid w:val="003311DE"/>
    <w:rsid w:val="00343674"/>
    <w:rsid w:val="003507B8"/>
    <w:rsid w:val="00350917"/>
    <w:rsid w:val="00371AD6"/>
    <w:rsid w:val="00376C0A"/>
    <w:rsid w:val="00394F47"/>
    <w:rsid w:val="0039522C"/>
    <w:rsid w:val="003A06DE"/>
    <w:rsid w:val="003B0A76"/>
    <w:rsid w:val="003B15C1"/>
    <w:rsid w:val="003C670F"/>
    <w:rsid w:val="003D30A6"/>
    <w:rsid w:val="003E1EFC"/>
    <w:rsid w:val="003E7A06"/>
    <w:rsid w:val="003E7DCE"/>
    <w:rsid w:val="0040546B"/>
    <w:rsid w:val="0041222E"/>
    <w:rsid w:val="004237FC"/>
    <w:rsid w:val="00424E43"/>
    <w:rsid w:val="00444E0F"/>
    <w:rsid w:val="00450832"/>
    <w:rsid w:val="00452D92"/>
    <w:rsid w:val="004536A6"/>
    <w:rsid w:val="004612B2"/>
    <w:rsid w:val="00473E65"/>
    <w:rsid w:val="00486C4B"/>
    <w:rsid w:val="004A0E19"/>
    <w:rsid w:val="004D1862"/>
    <w:rsid w:val="004D4224"/>
    <w:rsid w:val="004E2870"/>
    <w:rsid w:val="004E6B72"/>
    <w:rsid w:val="004F2359"/>
    <w:rsid w:val="00535844"/>
    <w:rsid w:val="0053637E"/>
    <w:rsid w:val="00557BD2"/>
    <w:rsid w:val="0056482F"/>
    <w:rsid w:val="00575E50"/>
    <w:rsid w:val="00581BBE"/>
    <w:rsid w:val="00584AD7"/>
    <w:rsid w:val="00590341"/>
    <w:rsid w:val="00590396"/>
    <w:rsid w:val="0059125B"/>
    <w:rsid w:val="00591F17"/>
    <w:rsid w:val="005A4B0C"/>
    <w:rsid w:val="005A4E81"/>
    <w:rsid w:val="005A7A30"/>
    <w:rsid w:val="005C2418"/>
    <w:rsid w:val="005C7299"/>
    <w:rsid w:val="005D3CBF"/>
    <w:rsid w:val="005F08B3"/>
    <w:rsid w:val="0060166A"/>
    <w:rsid w:val="00605953"/>
    <w:rsid w:val="00611558"/>
    <w:rsid w:val="00614741"/>
    <w:rsid w:val="00615593"/>
    <w:rsid w:val="006413DE"/>
    <w:rsid w:val="0065375E"/>
    <w:rsid w:val="006625E0"/>
    <w:rsid w:val="00664197"/>
    <w:rsid w:val="00671889"/>
    <w:rsid w:val="00672354"/>
    <w:rsid w:val="00675F77"/>
    <w:rsid w:val="00681E57"/>
    <w:rsid w:val="00694250"/>
    <w:rsid w:val="006953D1"/>
    <w:rsid w:val="006A52D1"/>
    <w:rsid w:val="006B47EB"/>
    <w:rsid w:val="006C3678"/>
    <w:rsid w:val="006C526A"/>
    <w:rsid w:val="006C62A6"/>
    <w:rsid w:val="006C78D3"/>
    <w:rsid w:val="006E0E79"/>
    <w:rsid w:val="006E6141"/>
    <w:rsid w:val="006F225A"/>
    <w:rsid w:val="006F25E4"/>
    <w:rsid w:val="006F6E95"/>
    <w:rsid w:val="00713A7C"/>
    <w:rsid w:val="007151D0"/>
    <w:rsid w:val="00720F10"/>
    <w:rsid w:val="00721B95"/>
    <w:rsid w:val="00721F63"/>
    <w:rsid w:val="007229C3"/>
    <w:rsid w:val="007241E5"/>
    <w:rsid w:val="0072648D"/>
    <w:rsid w:val="00726A4C"/>
    <w:rsid w:val="00736096"/>
    <w:rsid w:val="0073642C"/>
    <w:rsid w:val="0074185C"/>
    <w:rsid w:val="00743005"/>
    <w:rsid w:val="0074525D"/>
    <w:rsid w:val="007467B3"/>
    <w:rsid w:val="0076316A"/>
    <w:rsid w:val="00766B86"/>
    <w:rsid w:val="007802E1"/>
    <w:rsid w:val="00780F00"/>
    <w:rsid w:val="007959A1"/>
    <w:rsid w:val="007A6AE4"/>
    <w:rsid w:val="007B534A"/>
    <w:rsid w:val="007C4531"/>
    <w:rsid w:val="007C4DB0"/>
    <w:rsid w:val="007D0B45"/>
    <w:rsid w:val="007E33A9"/>
    <w:rsid w:val="007E68E7"/>
    <w:rsid w:val="007F38F1"/>
    <w:rsid w:val="008019E5"/>
    <w:rsid w:val="008032C2"/>
    <w:rsid w:val="008033D5"/>
    <w:rsid w:val="00806001"/>
    <w:rsid w:val="00806377"/>
    <w:rsid w:val="008162B6"/>
    <w:rsid w:val="00820CAD"/>
    <w:rsid w:val="00821A6F"/>
    <w:rsid w:val="008234E2"/>
    <w:rsid w:val="0083625D"/>
    <w:rsid w:val="008473B5"/>
    <w:rsid w:val="00847A3E"/>
    <w:rsid w:val="00851482"/>
    <w:rsid w:val="00854463"/>
    <w:rsid w:val="00876170"/>
    <w:rsid w:val="00883EBD"/>
    <w:rsid w:val="008A3229"/>
    <w:rsid w:val="008A3626"/>
    <w:rsid w:val="008A4421"/>
    <w:rsid w:val="008C1A86"/>
    <w:rsid w:val="008C23F5"/>
    <w:rsid w:val="008C75A1"/>
    <w:rsid w:val="008E1DB6"/>
    <w:rsid w:val="00905FCE"/>
    <w:rsid w:val="0090670B"/>
    <w:rsid w:val="00915EFF"/>
    <w:rsid w:val="00920B19"/>
    <w:rsid w:val="00920D25"/>
    <w:rsid w:val="00924DFE"/>
    <w:rsid w:val="00925E17"/>
    <w:rsid w:val="00943542"/>
    <w:rsid w:val="00946E61"/>
    <w:rsid w:val="0095143D"/>
    <w:rsid w:val="00952861"/>
    <w:rsid w:val="009574D0"/>
    <w:rsid w:val="00960A19"/>
    <w:rsid w:val="00962F8F"/>
    <w:rsid w:val="00973A36"/>
    <w:rsid w:val="009768EC"/>
    <w:rsid w:val="00987D17"/>
    <w:rsid w:val="009B55F8"/>
    <w:rsid w:val="009D0559"/>
    <w:rsid w:val="00A10BE6"/>
    <w:rsid w:val="00A13085"/>
    <w:rsid w:val="00A231DB"/>
    <w:rsid w:val="00A37024"/>
    <w:rsid w:val="00A40077"/>
    <w:rsid w:val="00A65071"/>
    <w:rsid w:val="00A701A9"/>
    <w:rsid w:val="00A80A63"/>
    <w:rsid w:val="00A941F1"/>
    <w:rsid w:val="00AA20E9"/>
    <w:rsid w:val="00AA2F03"/>
    <w:rsid w:val="00AB0B57"/>
    <w:rsid w:val="00AB53DE"/>
    <w:rsid w:val="00AC064B"/>
    <w:rsid w:val="00AC44DD"/>
    <w:rsid w:val="00AD15BA"/>
    <w:rsid w:val="00AD725F"/>
    <w:rsid w:val="00AE6886"/>
    <w:rsid w:val="00B00A0C"/>
    <w:rsid w:val="00B0789C"/>
    <w:rsid w:val="00B45C00"/>
    <w:rsid w:val="00B55211"/>
    <w:rsid w:val="00B662EF"/>
    <w:rsid w:val="00B8443C"/>
    <w:rsid w:val="00BA11FE"/>
    <w:rsid w:val="00BB25F6"/>
    <w:rsid w:val="00BD5F76"/>
    <w:rsid w:val="00BD7B64"/>
    <w:rsid w:val="00BE13FC"/>
    <w:rsid w:val="00BE1E92"/>
    <w:rsid w:val="00BE68A7"/>
    <w:rsid w:val="00BF0504"/>
    <w:rsid w:val="00BF1777"/>
    <w:rsid w:val="00C0584D"/>
    <w:rsid w:val="00C13F92"/>
    <w:rsid w:val="00C159AE"/>
    <w:rsid w:val="00C15F38"/>
    <w:rsid w:val="00C30941"/>
    <w:rsid w:val="00C31F09"/>
    <w:rsid w:val="00C34589"/>
    <w:rsid w:val="00C34A11"/>
    <w:rsid w:val="00C409D1"/>
    <w:rsid w:val="00C576A8"/>
    <w:rsid w:val="00C601EE"/>
    <w:rsid w:val="00C67520"/>
    <w:rsid w:val="00C7303F"/>
    <w:rsid w:val="00C94246"/>
    <w:rsid w:val="00C95E53"/>
    <w:rsid w:val="00CA32B2"/>
    <w:rsid w:val="00CA6192"/>
    <w:rsid w:val="00CB0FE4"/>
    <w:rsid w:val="00CB5318"/>
    <w:rsid w:val="00CB673B"/>
    <w:rsid w:val="00CC3B35"/>
    <w:rsid w:val="00CC781B"/>
    <w:rsid w:val="00CD3E31"/>
    <w:rsid w:val="00CF16C0"/>
    <w:rsid w:val="00CF30D2"/>
    <w:rsid w:val="00D05A84"/>
    <w:rsid w:val="00D22A92"/>
    <w:rsid w:val="00D338F0"/>
    <w:rsid w:val="00D406B8"/>
    <w:rsid w:val="00D46E8E"/>
    <w:rsid w:val="00D732FE"/>
    <w:rsid w:val="00D74418"/>
    <w:rsid w:val="00D77145"/>
    <w:rsid w:val="00D92E9E"/>
    <w:rsid w:val="00DB047A"/>
    <w:rsid w:val="00DB2C69"/>
    <w:rsid w:val="00DC3460"/>
    <w:rsid w:val="00E16BE2"/>
    <w:rsid w:val="00E21CB0"/>
    <w:rsid w:val="00E222B3"/>
    <w:rsid w:val="00E37398"/>
    <w:rsid w:val="00E37D16"/>
    <w:rsid w:val="00E550D9"/>
    <w:rsid w:val="00E61227"/>
    <w:rsid w:val="00E82345"/>
    <w:rsid w:val="00EA0AF7"/>
    <w:rsid w:val="00EA23E5"/>
    <w:rsid w:val="00EA785A"/>
    <w:rsid w:val="00EA7FB4"/>
    <w:rsid w:val="00EC06CF"/>
    <w:rsid w:val="00EC4CFB"/>
    <w:rsid w:val="00EC6F8B"/>
    <w:rsid w:val="00ED57F4"/>
    <w:rsid w:val="00ED5E03"/>
    <w:rsid w:val="00EE08BC"/>
    <w:rsid w:val="00F156A0"/>
    <w:rsid w:val="00F2417F"/>
    <w:rsid w:val="00F313C0"/>
    <w:rsid w:val="00F31543"/>
    <w:rsid w:val="00F52D76"/>
    <w:rsid w:val="00F61DD4"/>
    <w:rsid w:val="00F7759D"/>
    <w:rsid w:val="00F81A18"/>
    <w:rsid w:val="00F840EF"/>
    <w:rsid w:val="00F923DB"/>
    <w:rsid w:val="00F9378C"/>
    <w:rsid w:val="00FB09AB"/>
    <w:rsid w:val="00FD03F1"/>
    <w:rsid w:val="00FD13D9"/>
    <w:rsid w:val="00FE5ECB"/>
    <w:rsid w:val="00FF0145"/>
    <w:rsid w:val="00FF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2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6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62EF"/>
  </w:style>
  <w:style w:type="paragraph" w:styleId="a6">
    <w:name w:val="footer"/>
    <w:basedOn w:val="a"/>
    <w:link w:val="a7"/>
    <w:rsid w:val="00B66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6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662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662EF"/>
    <w:rPr>
      <w:rFonts w:ascii="Times New Roman" w:eastAsia="Times New Roman" w:hAnsi="Times New Roman" w:cs="Times New Roman"/>
      <w:sz w:val="16"/>
      <w:szCs w:val="16"/>
    </w:rPr>
  </w:style>
  <w:style w:type="table" w:styleId="a8">
    <w:name w:val="Table Grid"/>
    <w:basedOn w:val="a1"/>
    <w:uiPriority w:val="59"/>
    <w:rsid w:val="0019549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08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08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204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32">
    <w:name w:val="normal32"/>
    <w:basedOn w:val="a"/>
    <w:rsid w:val="009D0559"/>
    <w:pPr>
      <w:jc w:val="center"/>
    </w:pPr>
    <w:rPr>
      <w:rFonts w:ascii="Arial" w:hAnsi="Arial" w:cs="Arial"/>
      <w:sz w:val="34"/>
      <w:szCs w:val="34"/>
    </w:rPr>
  </w:style>
  <w:style w:type="character" w:styleId="ab">
    <w:name w:val="Hyperlink"/>
    <w:basedOn w:val="a0"/>
    <w:uiPriority w:val="99"/>
    <w:semiHidden/>
    <w:unhideWhenUsed/>
    <w:rsid w:val="009574D0"/>
    <w:rPr>
      <w:color w:val="0000FF"/>
      <w:u w:val="single"/>
    </w:rPr>
  </w:style>
  <w:style w:type="paragraph" w:customStyle="1" w:styleId="31">
    <w:name w:val="Стиль3"/>
    <w:basedOn w:val="2"/>
    <w:semiHidden/>
    <w:rsid w:val="009574D0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9574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57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aliases w:val="Bullet List,FooterText,numbered,Paragraphe de liste1,lp1,Абзац списка1,Ненумерованный список,Л‡Ќ€љ –•Џ–ђ€1,кЊ’—“Њ_”‰€’’ћЋ –•Џ–”ђ,_нсxон_пѓйсс_л …Нм…п_,List Paragraph"/>
    <w:basedOn w:val="a"/>
    <w:link w:val="ad"/>
    <w:qFormat/>
    <w:rsid w:val="00132BAB"/>
    <w:pPr>
      <w:ind w:left="708"/>
    </w:pPr>
  </w:style>
  <w:style w:type="character" w:customStyle="1" w:styleId="ad">
    <w:name w:val="Абзац списка Знак"/>
    <w:aliases w:val="Bullet List Знак,FooterText Знак,numbered Знак,Paragraphe de liste1 Знак,lp1 Знак,Абзац списка1 Знак,Ненумерованный список Знак,Л‡Ќ€љ –•Џ–ђ€1 Знак,кЊ’—“Њ_”‰€’’ћЋ –•Џ–”ђ Знак,_нсxон_пѓйсс_л …Нм…п_ Знак,List Paragraph Знак"/>
    <w:link w:val="ac"/>
    <w:locked/>
    <w:rsid w:val="00132B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68C92008C366B8E2AB2073FB401DE0E06C46BACB0FD9555720EBA6D9C3171819156BA80B2ED6ETCx5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8CE7-91CA-45E5-BE23-6AC27E2A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PUI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stolovka</dc:creator>
  <cp:lastModifiedBy>User - 1 МЕА</cp:lastModifiedBy>
  <cp:revision>8</cp:revision>
  <cp:lastPrinted>2026-06-22T06:32:00Z</cp:lastPrinted>
  <dcterms:created xsi:type="dcterms:W3CDTF">2026-02-12T07:13:00Z</dcterms:created>
  <dcterms:modified xsi:type="dcterms:W3CDTF">2026-06-22T06:54:00Z</dcterms:modified>
</cp:coreProperties>
</file>