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B65DD" w:rsidRPr="00B55416" w:rsidRDefault="003B65DD" w:rsidP="003B65DD">
      <w:pPr>
        <w:autoSpaceDE w:val="0"/>
        <w:autoSpaceDN w:val="0"/>
        <w:adjustRightInd w:val="0"/>
        <w:spacing w:before="240"/>
        <w:ind w:left="0" w:right="0"/>
        <w:jc w:val="center"/>
        <w:outlineLvl w:val="0"/>
        <w:rPr>
          <w:b/>
        </w:rPr>
      </w:pPr>
      <w:r w:rsidRPr="00B55416">
        <w:rPr>
          <w:b/>
        </w:rPr>
        <w:t>Обоснование расчета начальной (максимальной) цены</w:t>
      </w:r>
    </w:p>
    <w:p w:rsidR="003B65DD" w:rsidRPr="00C77DE0" w:rsidRDefault="003B65DD" w:rsidP="003B65DD">
      <w:pPr>
        <w:autoSpaceDE w:val="0"/>
        <w:autoSpaceDN w:val="0"/>
        <w:adjustRightInd w:val="0"/>
        <w:spacing w:after="240"/>
        <w:ind w:left="0" w:right="0"/>
        <w:jc w:val="center"/>
        <w:rPr>
          <w:b/>
        </w:rPr>
      </w:pPr>
      <w:r w:rsidRPr="00B55416">
        <w:rPr>
          <w:b/>
        </w:rPr>
        <w:t xml:space="preserve"> контракта (НМЦК</w:t>
      </w:r>
      <w:r w:rsidRPr="00DB3D51">
        <w:rPr>
          <w:b/>
        </w:rPr>
        <w:t>)</w:t>
      </w:r>
      <w:r w:rsidRPr="00C77DE0">
        <w:rPr>
          <w:b/>
        </w:rPr>
        <w:t>.</w:t>
      </w:r>
      <w:r w:rsidRPr="00B55416">
        <w:rPr>
          <w:b/>
        </w:rPr>
        <w:t xml:space="preserve"> </w:t>
      </w:r>
    </w:p>
    <w:p w:rsidR="002F3478" w:rsidRDefault="002F3478" w:rsidP="002F3478">
      <w:pPr>
        <w:ind w:left="426"/>
        <w:jc w:val="center"/>
        <w:rPr>
          <w:sz w:val="22"/>
          <w:szCs w:val="22"/>
          <w:u w:val="single"/>
        </w:rPr>
      </w:pPr>
      <w:r w:rsidRPr="001E7CC9">
        <w:rPr>
          <w:sz w:val="22"/>
          <w:szCs w:val="22"/>
          <w:u w:val="single"/>
        </w:rPr>
        <w:t>Поставка устройств хранения ключевой информации</w:t>
      </w:r>
    </w:p>
    <w:p w:rsidR="00E93627" w:rsidRPr="00B55416" w:rsidRDefault="00E93627" w:rsidP="00E93627">
      <w:pPr>
        <w:ind w:firstLine="0"/>
        <w:jc w:val="center"/>
      </w:pPr>
    </w:p>
    <w:tbl>
      <w:tblPr>
        <w:tblW w:w="15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5103"/>
        <w:gridCol w:w="7371"/>
      </w:tblGrid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Основные характеристики объекта закупки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B55416" w:rsidRDefault="00B55416" w:rsidP="00B55416">
            <w:pPr>
              <w:widowControl w:val="0"/>
              <w:spacing w:line="274" w:lineRule="exact"/>
              <w:ind w:left="0" w:right="0" w:firstLine="0"/>
              <w:rPr>
                <w:rFonts w:eastAsia="Times New Roman"/>
                <w:shd w:val="clear" w:color="auto" w:fill="FFFFFF"/>
              </w:rPr>
            </w:pPr>
            <w:r w:rsidRPr="00B55416">
              <w:rPr>
                <w:rFonts w:eastAsia="Times New Roman"/>
                <w:shd w:val="clear" w:color="auto" w:fill="FFFFFF"/>
              </w:rPr>
              <w:t>В соответствии с техническим заданием</w:t>
            </w:r>
          </w:p>
          <w:p w:rsidR="00B55416" w:rsidRPr="00B55416" w:rsidRDefault="00B55416" w:rsidP="00B55416">
            <w:pPr>
              <w:widowControl w:val="0"/>
              <w:spacing w:line="274" w:lineRule="exact"/>
              <w:ind w:left="0" w:right="0" w:firstLine="0"/>
              <w:rPr>
                <w:rFonts w:eastAsia="Times New Roman"/>
                <w:color w:val="FF0000"/>
                <w:sz w:val="26"/>
                <w:szCs w:val="26"/>
              </w:rPr>
            </w:pPr>
          </w:p>
        </w:tc>
      </w:tr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 xml:space="preserve">Используемый метод определения НМЦК </w:t>
            </w:r>
            <w:r w:rsidRPr="00B55416">
              <w:rPr>
                <w:rFonts w:eastAsia="Times New Roman"/>
                <w:b/>
                <w:bCs/>
              </w:rPr>
              <w:br/>
              <w:t>с обоснованием: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442156" w:rsidRDefault="00B55416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b/>
              </w:rPr>
            </w:pPr>
            <w:r w:rsidRPr="00B55416">
              <w:rPr>
                <w:rFonts w:eastAsia="Times New Roman"/>
                <w:b/>
              </w:rPr>
              <w:t xml:space="preserve">Использовался </w:t>
            </w:r>
            <w:r w:rsidR="004333C0">
              <w:rPr>
                <w:rFonts w:eastAsia="Times New Roman"/>
                <w:b/>
              </w:rPr>
              <w:t xml:space="preserve">нормативный </w:t>
            </w:r>
            <w:r w:rsidR="004333C0" w:rsidRPr="00B55416">
              <w:rPr>
                <w:rFonts w:eastAsia="Times New Roman"/>
                <w:b/>
              </w:rPr>
              <w:t>метод</w:t>
            </w:r>
            <w:r w:rsidR="004333C0">
              <w:rPr>
                <w:rFonts w:eastAsia="Times New Roman"/>
                <w:b/>
              </w:rPr>
              <w:t xml:space="preserve"> расчета</w:t>
            </w:r>
            <w:r w:rsidR="006C5B0C" w:rsidRPr="00442156">
              <w:rPr>
                <w:rFonts w:eastAsia="Times New Roman"/>
                <w:b/>
              </w:rPr>
              <w:t>.</w:t>
            </w:r>
          </w:p>
          <w:p w:rsidR="00B55416" w:rsidRPr="00B55416" w:rsidRDefault="00B55416" w:rsidP="00BC0F58">
            <w:pPr>
              <w:autoSpaceDE w:val="0"/>
              <w:autoSpaceDN w:val="0"/>
              <w:ind w:left="57" w:right="0" w:firstLine="0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Начальная максимальная цена определена в соответствии с п. 1 ч. 1 ст. 22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приказом Минэкономразвития России от 02.10.2013 № 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</w:t>
            </w:r>
            <w:r w:rsidR="004333C0" w:rsidRPr="00B55416">
              <w:rPr>
                <w:rFonts w:eastAsia="Times New Roman"/>
              </w:rPr>
              <w:t xml:space="preserve"> )»</w:t>
            </w:r>
            <w:r w:rsidR="004333C0">
              <w:rPr>
                <w:rFonts w:eastAsia="Times New Roman"/>
              </w:rPr>
              <w:t>, п</w:t>
            </w:r>
            <w:r w:rsidR="004333C0" w:rsidRPr="00D63778">
              <w:rPr>
                <w:rFonts w:eastAsia="Times New Roman"/>
              </w:rPr>
              <w:t>риказ  Росреестра от 29.12.2014 № П/65</w:t>
            </w:r>
            <w:r w:rsidR="004333C0">
              <w:rPr>
                <w:rFonts w:eastAsia="Times New Roman"/>
              </w:rPr>
              <w:t>1</w:t>
            </w:r>
            <w:r w:rsidR="004333C0" w:rsidRPr="00D63778">
              <w:rPr>
                <w:rFonts w:eastAsia="Times New Roman"/>
              </w:rPr>
              <w:t xml:space="preserve"> «Об утверждении расчетно-нормативных затрат на обеспечение деятельности центрального аппарата Федеральной службы государственной регистрации, кадастра и картографии» </w:t>
            </w:r>
            <w:r w:rsidR="00654515" w:rsidRPr="001A0777">
              <w:rPr>
                <w:rFonts w:eastAsia="Times New Roman"/>
              </w:rPr>
              <w:t>(</w:t>
            </w:r>
            <w:r w:rsidR="00C87231" w:rsidRPr="001A0777">
              <w:rPr>
                <w:rFonts w:eastAsia="Times New Roman"/>
              </w:rPr>
              <w:t xml:space="preserve">в редакции приказа от </w:t>
            </w:r>
            <w:r w:rsidR="00C87231" w:rsidRPr="00ED16F0">
              <w:rPr>
                <w:rFonts w:eastAsia="Times New Roman"/>
              </w:rPr>
              <w:t>2</w:t>
            </w:r>
            <w:r w:rsidR="00104839" w:rsidRPr="00104839">
              <w:rPr>
                <w:rFonts w:eastAsia="Times New Roman"/>
              </w:rPr>
              <w:t>8</w:t>
            </w:r>
            <w:r w:rsidR="00C87231" w:rsidRPr="00ED16F0">
              <w:rPr>
                <w:rFonts w:eastAsia="Times New Roman"/>
              </w:rPr>
              <w:t>.05.202</w:t>
            </w:r>
            <w:r w:rsidR="00104839" w:rsidRPr="00104839">
              <w:rPr>
                <w:rFonts w:eastAsia="Times New Roman"/>
              </w:rPr>
              <w:t>6</w:t>
            </w:r>
            <w:r w:rsidR="00C87231" w:rsidRPr="00ED16F0">
              <w:rPr>
                <w:rFonts w:eastAsia="Times New Roman"/>
              </w:rPr>
              <w:t xml:space="preserve"> №</w:t>
            </w:r>
            <w:r w:rsidR="00104839" w:rsidRPr="00104839">
              <w:rPr>
                <w:rFonts w:eastAsia="Times New Roman"/>
              </w:rPr>
              <w:t xml:space="preserve"> </w:t>
            </w:r>
            <w:r w:rsidR="00C87231" w:rsidRPr="00ED16F0">
              <w:rPr>
                <w:rFonts w:eastAsia="Times New Roman"/>
              </w:rPr>
              <w:t>П/</w:t>
            </w:r>
            <w:r w:rsidR="00104839" w:rsidRPr="00104839">
              <w:rPr>
                <w:rFonts w:eastAsia="Times New Roman"/>
              </w:rPr>
              <w:t>0265</w:t>
            </w:r>
            <w:r w:rsidR="00C87231" w:rsidRPr="00ED16F0">
              <w:rPr>
                <w:rFonts w:eastAsia="Times New Roman"/>
              </w:rPr>
              <w:t>/2</w:t>
            </w:r>
            <w:r w:rsidR="00104839" w:rsidRPr="00104839">
              <w:rPr>
                <w:rFonts w:eastAsia="Times New Roman"/>
              </w:rPr>
              <w:t>6</w:t>
            </w:r>
            <w:r w:rsidR="00654515" w:rsidRPr="001A0777">
              <w:rPr>
                <w:rFonts w:eastAsia="Times New Roman"/>
              </w:rPr>
              <w:t>).</w:t>
            </w:r>
          </w:p>
        </w:tc>
      </w:tr>
      <w:tr w:rsidR="00B55416" w:rsidRPr="00B55416" w:rsidTr="00B55416">
        <w:tc>
          <w:tcPr>
            <w:tcW w:w="3289" w:type="dxa"/>
            <w:vAlign w:val="center"/>
          </w:tcPr>
          <w:p w:rsidR="00B55416" w:rsidRPr="00B55416" w:rsidRDefault="00B55416" w:rsidP="00B55416">
            <w:pPr>
              <w:autoSpaceDE w:val="0"/>
              <w:autoSpaceDN w:val="0"/>
              <w:ind w:left="57" w:right="57" w:firstLine="0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Расчет НМЦК</w:t>
            </w:r>
          </w:p>
        </w:tc>
        <w:tc>
          <w:tcPr>
            <w:tcW w:w="12474" w:type="dxa"/>
            <w:gridSpan w:val="2"/>
            <w:vAlign w:val="center"/>
          </w:tcPr>
          <w:p w:rsidR="00B55416" w:rsidRPr="00B55416" w:rsidRDefault="007C729C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b/>
                <w:color w:val="000000" w:themeColor="text1"/>
              </w:rPr>
            </w:pPr>
            <w:r w:rsidRPr="007C729C">
              <w:rPr>
                <w:b/>
                <w:bCs/>
                <w:lang w:bidi="ru-RU"/>
              </w:rPr>
              <w:t>15 327,2</w:t>
            </w:r>
            <w:r w:rsidRPr="007C729C">
              <w:rPr>
                <w:b/>
                <w:lang w:bidi="ru-RU"/>
              </w:rPr>
              <w:t xml:space="preserve"> </w:t>
            </w:r>
            <w:r w:rsidR="006243FE">
              <w:rPr>
                <w:rFonts w:eastAsia="Times New Roman"/>
                <w:b/>
                <w:color w:val="000000" w:themeColor="text1"/>
              </w:rPr>
              <w:t xml:space="preserve">тысяч </w:t>
            </w:r>
            <w:r w:rsidR="00B55416" w:rsidRPr="00B55416">
              <w:rPr>
                <w:rFonts w:eastAsia="Times New Roman"/>
                <w:b/>
                <w:color w:val="000000" w:themeColor="text1"/>
              </w:rPr>
              <w:t>рублей</w:t>
            </w:r>
          </w:p>
          <w:p w:rsidR="00B55416" w:rsidRPr="00B55416" w:rsidRDefault="00B55416" w:rsidP="00B55416">
            <w:pPr>
              <w:autoSpaceDE w:val="0"/>
              <w:autoSpaceDN w:val="0"/>
              <w:ind w:left="57" w:right="0" w:firstLine="0"/>
              <w:rPr>
                <w:rFonts w:eastAsia="Times New Roman"/>
                <w:color w:val="FF0000"/>
              </w:rPr>
            </w:pPr>
            <w:r w:rsidRPr="00B55416">
              <w:rPr>
                <w:rFonts w:eastAsia="Times New Roman"/>
              </w:rPr>
              <w:t>Расчет приведен в Приложении № 1 к обоснованию</w:t>
            </w:r>
          </w:p>
        </w:tc>
      </w:tr>
      <w:tr w:rsidR="00B55416" w:rsidRPr="00B55416" w:rsidTr="0019208F">
        <w:trPr>
          <w:cantSplit/>
        </w:trPr>
        <w:tc>
          <w:tcPr>
            <w:tcW w:w="8392" w:type="dxa"/>
            <w:gridSpan w:val="2"/>
            <w:tcBorders>
              <w:right w:val="nil"/>
            </w:tcBorders>
          </w:tcPr>
          <w:p w:rsidR="00B55416" w:rsidRPr="00B55416" w:rsidRDefault="00B55416" w:rsidP="00B55416">
            <w:pPr>
              <w:autoSpaceDE w:val="0"/>
              <w:autoSpaceDN w:val="0"/>
              <w:ind w:left="0" w:right="57" w:firstLine="0"/>
              <w:jc w:val="right"/>
              <w:rPr>
                <w:rFonts w:eastAsia="Times New Roman"/>
                <w:b/>
                <w:bCs/>
              </w:rPr>
            </w:pPr>
            <w:r w:rsidRPr="00B55416">
              <w:rPr>
                <w:rFonts w:eastAsia="Times New Roman"/>
                <w:b/>
                <w:bCs/>
              </w:rPr>
              <w:t>Дата подготовки обоснования НМЦК:</w:t>
            </w:r>
          </w:p>
        </w:tc>
        <w:tc>
          <w:tcPr>
            <w:tcW w:w="7371" w:type="dxa"/>
            <w:tcBorders>
              <w:left w:val="nil"/>
            </w:tcBorders>
          </w:tcPr>
          <w:p w:rsidR="00B55416" w:rsidRPr="00C87231" w:rsidRDefault="002F3478" w:rsidP="00BC0F58">
            <w:pPr>
              <w:autoSpaceDE w:val="0"/>
              <w:autoSpaceDN w:val="0"/>
              <w:ind w:left="0" w:right="0" w:firstLine="0"/>
              <w:rPr>
                <w:rFonts w:eastAsia="Times New Roman"/>
                <w:b/>
                <w:bCs/>
                <w:lang w:val="en-US"/>
              </w:rPr>
            </w:pPr>
            <w:r>
              <w:rPr>
                <w:rFonts w:eastAsia="Times New Roman"/>
                <w:b/>
                <w:bCs/>
              </w:rPr>
              <w:t>2</w:t>
            </w:r>
            <w:r w:rsidR="00104839">
              <w:rPr>
                <w:rFonts w:eastAsia="Times New Roman"/>
                <w:b/>
                <w:bCs/>
                <w:lang w:val="en-US"/>
              </w:rPr>
              <w:t>8</w:t>
            </w:r>
            <w:r w:rsidR="00A74203">
              <w:rPr>
                <w:rFonts w:eastAsia="Times New Roman"/>
                <w:b/>
                <w:bCs/>
              </w:rPr>
              <w:t>.0</w:t>
            </w:r>
            <w:r>
              <w:rPr>
                <w:rFonts w:eastAsia="Times New Roman"/>
                <w:b/>
                <w:bCs/>
              </w:rPr>
              <w:t>5</w:t>
            </w:r>
            <w:r w:rsidR="00A74203">
              <w:rPr>
                <w:rFonts w:eastAsia="Times New Roman"/>
                <w:b/>
                <w:bCs/>
              </w:rPr>
              <w:t>.202</w:t>
            </w:r>
            <w:r w:rsidR="00C87231">
              <w:rPr>
                <w:rFonts w:eastAsia="Times New Roman"/>
                <w:b/>
                <w:bCs/>
                <w:lang w:val="en-US"/>
              </w:rPr>
              <w:t>6</w:t>
            </w:r>
          </w:p>
        </w:tc>
      </w:tr>
    </w:tbl>
    <w:p w:rsidR="00B55416" w:rsidRDefault="00B55416" w:rsidP="00B55416">
      <w:pPr>
        <w:tabs>
          <w:tab w:val="left" w:pos="13438"/>
        </w:tabs>
        <w:autoSpaceDE w:val="0"/>
        <w:autoSpaceDN w:val="0"/>
        <w:spacing w:before="120" w:after="120"/>
        <w:ind w:left="0" w:right="8250" w:firstLine="567"/>
        <w:jc w:val="both"/>
        <w:rPr>
          <w:rFonts w:eastAsia="Times New Roman"/>
          <w:bCs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49"/>
      </w:tblGrid>
      <w:tr w:rsidR="00654515" w:rsidRPr="00B55416" w:rsidTr="003074E0">
        <w:tc>
          <w:tcPr>
            <w:tcW w:w="65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Ведущий специалист-эксперт</w:t>
            </w:r>
            <w:r w:rsidRPr="00B55416">
              <w:rPr>
                <w:rFonts w:eastAsia="Times New Roman"/>
              </w:rPr>
              <w:t xml:space="preserve"> Управления Федеральной службы государственной регистрации, кадастра и картографии </w:t>
            </w:r>
            <w:r w:rsidRPr="00B55416">
              <w:rPr>
                <w:rFonts w:eastAsia="Times New Roman"/>
                <w:color w:val="000000" w:themeColor="text1"/>
              </w:rPr>
              <w:t>по Кировской области</w:t>
            </w:r>
          </w:p>
        </w:tc>
      </w:tr>
      <w:tr w:rsidR="00654515" w:rsidRPr="00B55416" w:rsidTr="003074E0">
        <w:tc>
          <w:tcPr>
            <w:tcW w:w="6549" w:type="dxa"/>
            <w:tcBorders>
              <w:top w:val="nil"/>
              <w:left w:val="nil"/>
              <w:bottom w:val="nil"/>
              <w:right w:val="nil"/>
            </w:tcBorders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55416">
              <w:rPr>
                <w:rFonts w:eastAsia="Times New Roman"/>
                <w:sz w:val="18"/>
                <w:szCs w:val="18"/>
              </w:rPr>
              <w:t>(должность)</w:t>
            </w:r>
          </w:p>
        </w:tc>
      </w:tr>
    </w:tbl>
    <w:p w:rsidR="00654515" w:rsidRPr="00B55416" w:rsidRDefault="00654515" w:rsidP="00654515">
      <w:pPr>
        <w:autoSpaceDE w:val="0"/>
        <w:autoSpaceDN w:val="0"/>
        <w:ind w:left="0" w:right="0" w:firstLine="0"/>
        <w:rPr>
          <w:rFonts w:eastAsia="Times New Roman"/>
          <w:sz w:val="2"/>
          <w:szCs w:val="2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89"/>
        <w:gridCol w:w="141"/>
        <w:gridCol w:w="2977"/>
        <w:gridCol w:w="142"/>
        <w:gridCol w:w="7"/>
      </w:tblGrid>
      <w:tr w:rsidR="00654515" w:rsidRPr="00B55416" w:rsidTr="003074E0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/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А.В. Шибанов </w:t>
            </w:r>
          </w:p>
        </w:tc>
        <w:tc>
          <w:tcPr>
            <w:tcW w:w="1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/</w:t>
            </w:r>
          </w:p>
        </w:tc>
      </w:tr>
      <w:tr w:rsidR="00654515" w:rsidRPr="00B55416" w:rsidTr="003074E0">
        <w:trPr>
          <w:gridAfter w:val="1"/>
          <w:wAfter w:w="7" w:type="dxa"/>
        </w:trPr>
        <w:tc>
          <w:tcPr>
            <w:tcW w:w="654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sz w:val="18"/>
                <w:szCs w:val="18"/>
              </w:rPr>
            </w:pPr>
            <w:r w:rsidRPr="00B55416">
              <w:rPr>
                <w:rFonts w:eastAsia="Times New Roman"/>
                <w:sz w:val="18"/>
                <w:szCs w:val="18"/>
              </w:rPr>
              <w:t>(подпись/расшифровка подписи)</w:t>
            </w:r>
          </w:p>
        </w:tc>
      </w:tr>
    </w:tbl>
    <w:p w:rsidR="00654515" w:rsidRDefault="00654515" w:rsidP="00654515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55"/>
        <w:gridCol w:w="1985"/>
        <w:gridCol w:w="397"/>
        <w:gridCol w:w="369"/>
        <w:gridCol w:w="397"/>
      </w:tblGrid>
      <w:tr w:rsidR="00654515" w:rsidRPr="001A0777" w:rsidTr="003074E0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515" w:rsidRPr="00B55416" w:rsidRDefault="00654515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B55416">
              <w:rPr>
                <w:rFonts w:eastAsia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104839" w:rsidRDefault="002F3478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  <w:lang w:val="en-US"/>
              </w:rPr>
            </w:pPr>
            <w:r>
              <w:rPr>
                <w:rFonts w:eastAsia="Times New Roman"/>
              </w:rPr>
              <w:t>2</w:t>
            </w:r>
            <w:r w:rsidR="00104839">
              <w:rPr>
                <w:rFonts w:eastAsia="Times New Roman"/>
                <w:lang w:val="en-US"/>
              </w:rPr>
              <w:t>8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515" w:rsidRPr="001A0777" w:rsidRDefault="00654515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”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C87231" w:rsidRDefault="002F3478" w:rsidP="003074E0">
            <w:pPr>
              <w:autoSpaceDE w:val="0"/>
              <w:autoSpaceDN w:val="0"/>
              <w:ind w:left="0" w:right="0" w:firstLine="0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515" w:rsidRPr="001A0777" w:rsidRDefault="00654515" w:rsidP="003074E0">
            <w:pPr>
              <w:autoSpaceDE w:val="0"/>
              <w:autoSpaceDN w:val="0"/>
              <w:ind w:left="0" w:right="0" w:firstLine="0"/>
              <w:jc w:val="right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54515" w:rsidRPr="001A0777" w:rsidRDefault="00654515" w:rsidP="003074E0">
            <w:pPr>
              <w:autoSpaceDE w:val="0"/>
              <w:autoSpaceDN w:val="0"/>
              <w:ind w:left="0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2</w:t>
            </w:r>
            <w:r w:rsidR="00C87231">
              <w:rPr>
                <w:rFonts w:eastAsia="Times New Roman"/>
              </w:rPr>
              <w:t>6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54515" w:rsidRPr="001A0777" w:rsidRDefault="00654515" w:rsidP="003074E0">
            <w:pPr>
              <w:autoSpaceDE w:val="0"/>
              <w:autoSpaceDN w:val="0"/>
              <w:ind w:left="57" w:right="0" w:firstLine="0"/>
              <w:rPr>
                <w:rFonts w:eastAsia="Times New Roman"/>
              </w:rPr>
            </w:pPr>
            <w:r w:rsidRPr="001A0777">
              <w:rPr>
                <w:rFonts w:eastAsia="Times New Roman"/>
              </w:rPr>
              <w:t>г.</w:t>
            </w:r>
          </w:p>
        </w:tc>
      </w:tr>
    </w:tbl>
    <w:p w:rsidR="002B5A4A" w:rsidRPr="00B55416" w:rsidRDefault="002B5A4A" w:rsidP="002B5A4A">
      <w:pPr>
        <w:autoSpaceDE w:val="0"/>
        <w:autoSpaceDN w:val="0"/>
        <w:spacing w:after="120"/>
        <w:ind w:left="0" w:right="0" w:firstLine="0"/>
        <w:rPr>
          <w:rFonts w:eastAsia="Times New Roman"/>
          <w:sz w:val="2"/>
          <w:szCs w:val="2"/>
        </w:rPr>
      </w:pPr>
    </w:p>
    <w:p w:rsidR="002B5A4A" w:rsidRDefault="002B5A4A" w:rsidP="002B5A4A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p w:rsidR="00C77DE0" w:rsidRDefault="00C77DE0" w:rsidP="00B55416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p w:rsidR="00BC0F58" w:rsidRDefault="00BC0F58" w:rsidP="00B55416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</w:pPr>
    </w:p>
    <w:p w:rsidR="00B55416" w:rsidRPr="00B55416" w:rsidRDefault="00BC0F58" w:rsidP="00B55416">
      <w:pPr>
        <w:autoSpaceDE w:val="0"/>
        <w:autoSpaceDN w:val="0"/>
        <w:spacing w:before="120"/>
        <w:ind w:left="567" w:right="0" w:firstLine="0"/>
        <w:rPr>
          <w:rFonts w:eastAsia="Times New Roman"/>
          <w:sz w:val="18"/>
          <w:szCs w:val="18"/>
        </w:rPr>
        <w:sectPr w:rsidR="00B55416" w:rsidRPr="00B55416" w:rsidSect="006243FE">
          <w:pgSz w:w="16840" w:h="11907" w:orient="landscape" w:code="9"/>
          <w:pgMar w:top="1418" w:right="567" w:bottom="567" w:left="567" w:header="397" w:footer="397" w:gutter="0"/>
          <w:cols w:space="709"/>
        </w:sectPr>
      </w:pPr>
      <w:r>
        <w:rPr>
          <w:rFonts w:eastAsia="Times New Roman"/>
          <w:sz w:val="18"/>
          <w:szCs w:val="18"/>
        </w:rPr>
        <w:t>Шибанов Алексей</w:t>
      </w:r>
      <w:r w:rsidR="00793A4D">
        <w:rPr>
          <w:rFonts w:eastAsia="Times New Roman"/>
          <w:sz w:val="18"/>
          <w:szCs w:val="18"/>
        </w:rPr>
        <w:t xml:space="preserve"> Владимирович</w:t>
      </w:r>
      <w:r w:rsidR="00B55416">
        <w:rPr>
          <w:rFonts w:eastAsia="Times New Roman"/>
          <w:sz w:val="18"/>
          <w:szCs w:val="18"/>
        </w:rPr>
        <w:t xml:space="preserve"> </w:t>
      </w:r>
      <w:r w:rsidR="00B55416" w:rsidRPr="00B55416">
        <w:rPr>
          <w:rFonts w:eastAsia="Times New Roman"/>
          <w:sz w:val="18"/>
          <w:szCs w:val="18"/>
        </w:rPr>
        <w:t xml:space="preserve"> (</w:t>
      </w:r>
      <w:r w:rsidR="00B55416">
        <w:rPr>
          <w:rFonts w:eastAsia="Times New Roman"/>
          <w:sz w:val="18"/>
          <w:szCs w:val="18"/>
        </w:rPr>
        <w:t>8332</w:t>
      </w:r>
      <w:r w:rsidR="00B55416" w:rsidRPr="00B55416">
        <w:rPr>
          <w:rFonts w:eastAsia="Times New Roman"/>
          <w:sz w:val="18"/>
          <w:szCs w:val="18"/>
        </w:rPr>
        <w:t>)</w:t>
      </w:r>
      <w:r w:rsidR="00002CE2">
        <w:rPr>
          <w:rFonts w:eastAsia="Times New Roman"/>
          <w:sz w:val="18"/>
          <w:szCs w:val="18"/>
          <w:lang w:val="en-US"/>
        </w:rPr>
        <w:t xml:space="preserve"> </w:t>
      </w:r>
      <w:r w:rsidR="00B55416">
        <w:rPr>
          <w:rFonts w:eastAsia="Times New Roman"/>
          <w:sz w:val="18"/>
          <w:szCs w:val="18"/>
        </w:rPr>
        <w:t>35</w:t>
      </w:r>
      <w:r w:rsidR="00B55416" w:rsidRPr="00B55416">
        <w:rPr>
          <w:rFonts w:eastAsia="Times New Roman"/>
          <w:sz w:val="18"/>
          <w:szCs w:val="18"/>
        </w:rPr>
        <w:t>-</w:t>
      </w:r>
      <w:r w:rsidR="00B55416">
        <w:rPr>
          <w:rFonts w:eastAsia="Times New Roman"/>
          <w:sz w:val="18"/>
          <w:szCs w:val="18"/>
        </w:rPr>
        <w:t>99-33</w:t>
      </w:r>
      <w:r w:rsidR="00B55416" w:rsidRPr="00B55416">
        <w:rPr>
          <w:rFonts w:eastAsia="Times New Roman"/>
          <w:sz w:val="18"/>
          <w:szCs w:val="18"/>
        </w:rPr>
        <w:t xml:space="preserve">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7"/>
        <w:gridCol w:w="8690"/>
      </w:tblGrid>
      <w:tr w:rsidR="00C77DE0" w:rsidTr="0019208F">
        <w:tc>
          <w:tcPr>
            <w:tcW w:w="6827" w:type="dxa"/>
          </w:tcPr>
          <w:p w:rsidR="00C77DE0" w:rsidRDefault="00C77DE0" w:rsidP="0019208F"/>
        </w:tc>
        <w:tc>
          <w:tcPr>
            <w:tcW w:w="9016" w:type="dxa"/>
          </w:tcPr>
          <w:p w:rsidR="00C77DE0" w:rsidRDefault="00C77DE0" w:rsidP="0019208F">
            <w:pPr>
              <w:ind w:right="-29"/>
              <w:jc w:val="center"/>
            </w:pPr>
            <w:r w:rsidRPr="00FF3CB1">
              <w:t xml:space="preserve">Приложение № </w:t>
            </w:r>
            <w:r>
              <w:t>1</w:t>
            </w:r>
          </w:p>
          <w:p w:rsidR="00C77DE0" w:rsidRDefault="00C77DE0" w:rsidP="000C7B73">
            <w:pPr>
              <w:ind w:right="-29"/>
              <w:jc w:val="both"/>
            </w:pPr>
            <w:r w:rsidRPr="00FF3CB1">
              <w:t xml:space="preserve">к обоснованию начальной (максимальной) цены контракта </w:t>
            </w:r>
          </w:p>
        </w:tc>
      </w:tr>
    </w:tbl>
    <w:p w:rsidR="00B55416" w:rsidRDefault="00B55416" w:rsidP="00C77DE0">
      <w:pPr>
        <w:autoSpaceDE w:val="0"/>
        <w:autoSpaceDN w:val="0"/>
        <w:ind w:left="0" w:right="-29" w:firstLine="0"/>
      </w:pPr>
    </w:p>
    <w:p w:rsidR="00C252A2" w:rsidRPr="00C252A2" w:rsidRDefault="00C252A2" w:rsidP="00C252A2">
      <w:pPr>
        <w:autoSpaceDE w:val="0"/>
        <w:autoSpaceDN w:val="0"/>
        <w:ind w:left="0" w:right="0" w:firstLine="0"/>
        <w:jc w:val="center"/>
        <w:rPr>
          <w:rFonts w:eastAsia="Times New Roman"/>
        </w:rPr>
      </w:pPr>
      <w:r w:rsidRPr="00C252A2">
        <w:rPr>
          <w:rFonts w:eastAsia="Times New Roman"/>
          <w:b/>
        </w:rPr>
        <w:t xml:space="preserve">Расчет начальной (максимальной) цены контракта нормативным методом </w:t>
      </w:r>
    </w:p>
    <w:p w:rsidR="00C252A2" w:rsidRPr="00045756" w:rsidRDefault="00C252A2" w:rsidP="00C252A2">
      <w:pPr>
        <w:ind w:firstLine="708"/>
        <w:jc w:val="both"/>
        <w:rPr>
          <w:szCs w:val="28"/>
        </w:rPr>
      </w:pPr>
      <w:r w:rsidRPr="00045756">
        <w:rPr>
          <w:szCs w:val="28"/>
        </w:rPr>
        <w:t>Начальная (максимальная) цена контракта обоснована с применением нормативного метода, предусмотренного</w:t>
      </w:r>
      <w:r w:rsidRPr="00045756">
        <w:t xml:space="preserve"> </w:t>
      </w:r>
      <w:r w:rsidRPr="00045756">
        <w:rPr>
          <w:szCs w:val="28"/>
        </w:rPr>
        <w:t>п. 2 ч.1 ст. 22 Федерального закона от 05.04.2013 №44-ФЗ «О контрактной системе в сфере закупок товаров, работ, услуг для обеспечения государственных нужд».</w:t>
      </w:r>
    </w:p>
    <w:p w:rsidR="003B65DD" w:rsidRDefault="003B65DD" w:rsidP="00A74203">
      <w:pPr>
        <w:ind w:firstLine="567"/>
        <w:jc w:val="both"/>
        <w:rPr>
          <w:color w:val="000000"/>
          <w:lang w:bidi="ru-RU"/>
        </w:rPr>
      </w:pPr>
      <w:r w:rsidRPr="008C631F">
        <w:rPr>
          <w:color w:val="000000"/>
          <w:lang w:bidi="ru-RU"/>
        </w:rPr>
        <w:t xml:space="preserve">Затраты </w:t>
      </w:r>
      <w:r w:rsidR="00017188" w:rsidRPr="00017188">
        <w:rPr>
          <w:color w:val="000000"/>
          <w:lang w:bidi="ru-RU"/>
        </w:rPr>
        <w:t xml:space="preserve">на </w:t>
      </w:r>
      <w:r w:rsidR="00DD2EB9">
        <w:rPr>
          <w:color w:val="000000"/>
          <w:lang w:bidi="ru-RU"/>
        </w:rPr>
        <w:t xml:space="preserve">поставку </w:t>
      </w:r>
      <w:r w:rsidR="00DD2EB9" w:rsidRPr="00DD2EB9">
        <w:rPr>
          <w:color w:val="000000"/>
          <w:lang w:bidi="ru-RU"/>
        </w:rPr>
        <w:t xml:space="preserve">устройств хранения ключевой информации </w:t>
      </w:r>
      <w:r w:rsidRPr="008C631F">
        <w:rPr>
          <w:color w:val="000000"/>
          <w:lang w:bidi="ru-RU"/>
        </w:rPr>
        <w:t xml:space="preserve">определяются в соответствии с </w:t>
      </w:r>
      <w:r>
        <w:rPr>
          <w:color w:val="000000"/>
          <w:lang w:bidi="ru-RU"/>
        </w:rPr>
        <w:t>п</w:t>
      </w:r>
      <w:r w:rsidRPr="008C631F">
        <w:rPr>
          <w:color w:val="000000"/>
          <w:lang w:bidi="ru-RU"/>
        </w:rPr>
        <w:t xml:space="preserve">риложением № </w:t>
      </w:r>
      <w:r w:rsidR="00DD2EB9">
        <w:rPr>
          <w:color w:val="000000"/>
          <w:lang w:bidi="ru-RU"/>
        </w:rPr>
        <w:t>39</w:t>
      </w:r>
      <w:r>
        <w:rPr>
          <w:color w:val="000000"/>
          <w:lang w:bidi="ru-RU"/>
        </w:rPr>
        <w:t xml:space="preserve"> </w:t>
      </w:r>
      <w:r w:rsidRPr="008C631F">
        <w:rPr>
          <w:color w:val="000000"/>
          <w:lang w:bidi="ru-RU"/>
        </w:rPr>
        <w:t xml:space="preserve">к </w:t>
      </w:r>
      <w:r>
        <w:rPr>
          <w:color w:val="000000"/>
          <w:lang w:bidi="ru-RU"/>
        </w:rPr>
        <w:t>р</w:t>
      </w:r>
      <w:r w:rsidRPr="008C631F">
        <w:rPr>
          <w:color w:val="000000"/>
          <w:lang w:bidi="ru-RU"/>
        </w:rPr>
        <w:t>асчетно-нормативным</w:t>
      </w:r>
      <w:r>
        <w:rPr>
          <w:color w:val="000000"/>
          <w:lang w:bidi="ru-RU"/>
        </w:rPr>
        <w:t xml:space="preserve"> </w:t>
      </w:r>
      <w:r w:rsidRPr="008C631F">
        <w:rPr>
          <w:color w:val="000000"/>
          <w:lang w:bidi="ru-RU"/>
        </w:rPr>
        <w:t>затратам, утвержденных приказом Росреестра от 29.12.2014 №П/651</w:t>
      </w:r>
      <w:r w:rsidR="00411F7A">
        <w:rPr>
          <w:color w:val="000000"/>
          <w:lang w:bidi="ru-RU"/>
        </w:rPr>
        <w:t xml:space="preserve"> </w:t>
      </w:r>
      <w:r w:rsidR="00411F7A" w:rsidRPr="001A0777">
        <w:rPr>
          <w:rFonts w:eastAsia="Times New Roman"/>
        </w:rPr>
        <w:t>(</w:t>
      </w:r>
      <w:r w:rsidR="00C87231" w:rsidRPr="001A0777">
        <w:rPr>
          <w:rFonts w:eastAsia="Times New Roman"/>
        </w:rPr>
        <w:t xml:space="preserve">в редакции приказа от </w:t>
      </w:r>
      <w:r w:rsidR="00C87231" w:rsidRPr="00ED16F0">
        <w:rPr>
          <w:rFonts w:eastAsia="Times New Roman"/>
        </w:rPr>
        <w:t>2</w:t>
      </w:r>
      <w:r w:rsidR="00104839" w:rsidRPr="00104839">
        <w:rPr>
          <w:rFonts w:eastAsia="Times New Roman"/>
        </w:rPr>
        <w:t>8</w:t>
      </w:r>
      <w:r w:rsidR="00C87231" w:rsidRPr="00ED16F0">
        <w:rPr>
          <w:rFonts w:eastAsia="Times New Roman"/>
        </w:rPr>
        <w:t>.05.202</w:t>
      </w:r>
      <w:r w:rsidR="00104839" w:rsidRPr="00104839">
        <w:rPr>
          <w:rFonts w:eastAsia="Times New Roman"/>
        </w:rPr>
        <w:t>6</w:t>
      </w:r>
      <w:r w:rsidR="00C87231" w:rsidRPr="00ED16F0">
        <w:rPr>
          <w:rFonts w:eastAsia="Times New Roman"/>
        </w:rPr>
        <w:t xml:space="preserve"> №</w:t>
      </w:r>
      <w:r w:rsidR="00104839" w:rsidRPr="00104839">
        <w:rPr>
          <w:rFonts w:eastAsia="Times New Roman"/>
        </w:rPr>
        <w:t xml:space="preserve"> </w:t>
      </w:r>
      <w:r w:rsidR="00104839" w:rsidRPr="00ED16F0">
        <w:rPr>
          <w:rFonts w:eastAsia="Times New Roman"/>
        </w:rPr>
        <w:t>П/</w:t>
      </w:r>
      <w:r w:rsidR="00104839" w:rsidRPr="00104839">
        <w:rPr>
          <w:rFonts w:eastAsia="Times New Roman"/>
        </w:rPr>
        <w:t>0265</w:t>
      </w:r>
      <w:r w:rsidR="00104839" w:rsidRPr="00ED16F0">
        <w:rPr>
          <w:rFonts w:eastAsia="Times New Roman"/>
        </w:rPr>
        <w:t>/2</w:t>
      </w:r>
      <w:r w:rsidR="00104839" w:rsidRPr="00104839">
        <w:rPr>
          <w:rFonts w:eastAsia="Times New Roman"/>
        </w:rPr>
        <w:t>6</w:t>
      </w:r>
      <w:r w:rsidR="00411F7A" w:rsidRPr="001A0777">
        <w:rPr>
          <w:rFonts w:eastAsia="Times New Roman"/>
        </w:rPr>
        <w:t>)</w:t>
      </w:r>
      <w:r w:rsidRPr="008C631F">
        <w:rPr>
          <w:color w:val="000000"/>
          <w:lang w:bidi="ru-RU"/>
        </w:rPr>
        <w:t xml:space="preserve">. Предельные нормативы цены взяты из таблицы </w:t>
      </w:r>
      <w:r w:rsidR="00DD2EB9">
        <w:rPr>
          <w:color w:val="000000"/>
          <w:lang w:bidi="ru-RU"/>
        </w:rPr>
        <w:t>23</w:t>
      </w:r>
      <w:r w:rsidRPr="008C631F">
        <w:rPr>
          <w:color w:val="000000"/>
          <w:lang w:bidi="ru-RU"/>
        </w:rPr>
        <w:t xml:space="preserve"> приказа.</w:t>
      </w:r>
    </w:p>
    <w:p w:rsidR="00DD2EB9" w:rsidRDefault="00DD2EB9" w:rsidP="00A74203">
      <w:pPr>
        <w:ind w:firstLine="567"/>
        <w:jc w:val="both"/>
        <w:rPr>
          <w:color w:val="000000"/>
          <w:lang w:bidi="ru-RU"/>
        </w:rPr>
      </w:pPr>
    </w:p>
    <w:p w:rsidR="00DD2EB9" w:rsidRDefault="00DD2EB9" w:rsidP="00DD2EB9">
      <w:pPr>
        <w:ind w:firstLine="567"/>
        <w:jc w:val="center"/>
        <w:rPr>
          <w:color w:val="000000"/>
          <w:lang w:bidi="ru-RU"/>
        </w:rPr>
      </w:pPr>
      <w:r w:rsidRPr="00FC14F8">
        <w:rPr>
          <w:noProof/>
          <w:position w:val="-28"/>
          <w:sz w:val="28"/>
          <w:szCs w:val="28"/>
        </w:rPr>
        <w:drawing>
          <wp:inline distT="0" distB="0" distL="0" distR="0" wp14:anchorId="6DAF62D2" wp14:editId="7C6F1509">
            <wp:extent cx="1676400" cy="466725"/>
            <wp:effectExtent l="0" t="0" r="0" b="9525"/>
            <wp:docPr id="138" name="Рисунок 3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EB9" w:rsidRPr="00DD2EB9" w:rsidRDefault="00DD2EB9" w:rsidP="00DD2EB9">
      <w:pPr>
        <w:ind w:firstLine="567"/>
        <w:jc w:val="both"/>
        <w:rPr>
          <w:color w:val="000000"/>
          <w:lang w:bidi="ru-RU"/>
        </w:rPr>
      </w:pPr>
      <w:r w:rsidRPr="00DD2EB9">
        <w:rPr>
          <w:color w:val="000000"/>
          <w:lang w:bidi="ru-RU"/>
        </w:rPr>
        <w:t>где:</w:t>
      </w:r>
    </w:p>
    <w:p w:rsidR="00DD2EB9" w:rsidRPr="00DD2EB9" w:rsidRDefault="00DD2EB9" w:rsidP="00DD2EB9">
      <w:pPr>
        <w:ind w:firstLine="567"/>
        <w:jc w:val="both"/>
        <w:rPr>
          <w:color w:val="000000"/>
          <w:lang w:bidi="ru-RU"/>
        </w:rPr>
      </w:pPr>
      <w:r w:rsidRPr="00DD2EB9">
        <w:rPr>
          <w:color w:val="000000"/>
          <w:lang w:bidi="ru-RU"/>
        </w:rPr>
        <w:t>Qi обин – количество i-го оборудования по обеспечению безопасности информации, но не более норматива количества, установленного в таблице;</w:t>
      </w:r>
    </w:p>
    <w:p w:rsidR="00DD2EB9" w:rsidRPr="00DD2EB9" w:rsidRDefault="00DD2EB9" w:rsidP="00DD2EB9">
      <w:pPr>
        <w:ind w:firstLine="567"/>
        <w:jc w:val="both"/>
        <w:rPr>
          <w:color w:val="000000"/>
          <w:lang w:bidi="ru-RU"/>
        </w:rPr>
      </w:pPr>
      <w:r w:rsidRPr="00DD2EB9">
        <w:rPr>
          <w:color w:val="000000"/>
          <w:lang w:bidi="ru-RU"/>
        </w:rPr>
        <w:t>Рi обин – цена приобретаемого i-го оборудования по обеспечению безопасности информации, но не более норматива цены, установленного в таблице</w:t>
      </w:r>
      <w:r>
        <w:rPr>
          <w:color w:val="000000"/>
          <w:lang w:bidi="ru-RU"/>
        </w:rPr>
        <w:t xml:space="preserve"> № 23</w:t>
      </w:r>
      <w:r w:rsidRPr="00DD2EB9">
        <w:rPr>
          <w:color w:val="000000"/>
          <w:lang w:bidi="ru-RU"/>
        </w:rPr>
        <w:t>.</w:t>
      </w:r>
    </w:p>
    <w:p w:rsidR="003B65DD" w:rsidRPr="008C631F" w:rsidRDefault="003B65DD" w:rsidP="003B65DD">
      <w:pPr>
        <w:ind w:firstLine="567"/>
        <w:jc w:val="both"/>
        <w:rPr>
          <w:color w:val="000000"/>
          <w:lang w:bidi="ru-RU"/>
        </w:rPr>
      </w:pPr>
    </w:p>
    <w:tbl>
      <w:tblPr>
        <w:tblW w:w="12615" w:type="dxa"/>
        <w:tblInd w:w="1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A0" w:firstRow="1" w:lastRow="0" w:firstColumn="1" w:lastColumn="0" w:noHBand="0" w:noVBand="0"/>
      </w:tblPr>
      <w:tblGrid>
        <w:gridCol w:w="992"/>
        <w:gridCol w:w="3685"/>
        <w:gridCol w:w="2977"/>
        <w:gridCol w:w="3119"/>
        <w:gridCol w:w="1842"/>
      </w:tblGrid>
      <w:tr w:rsidR="00DD2EB9" w:rsidRPr="00DD2EB9" w:rsidTr="00DD2EB9">
        <w:trPr>
          <w:cantSplit/>
          <w:trHeight w:val="823"/>
        </w:trPr>
        <w:tc>
          <w:tcPr>
            <w:tcW w:w="992" w:type="dxa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№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п/п</w:t>
            </w:r>
          </w:p>
        </w:tc>
        <w:tc>
          <w:tcPr>
            <w:tcW w:w="3685" w:type="dxa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Наименование средства защиты информации (техническое средство)</w:t>
            </w:r>
          </w:p>
        </w:tc>
        <w:tc>
          <w:tcPr>
            <w:tcW w:w="2977" w:type="dxa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Предельное (максимальное) количество i-го оборудования по обеспечению безопасности информации,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ед.</w:t>
            </w:r>
          </w:p>
        </w:tc>
        <w:tc>
          <w:tcPr>
            <w:tcW w:w="3119" w:type="dxa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Предельная максимальная цена приобретаемого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i-го оборудования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по обеспечению безопасности информации,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тыс. рублей</w:t>
            </w:r>
          </w:p>
        </w:tc>
        <w:tc>
          <w:tcPr>
            <w:tcW w:w="1842" w:type="dxa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</w:p>
          <w:p w:rsidR="00DD2EB9" w:rsidRPr="00DD2EB9" w:rsidRDefault="00DD2EB9" w:rsidP="00DD2EB9">
            <w:pPr>
              <w:tabs>
                <w:tab w:val="left" w:pos="0"/>
              </w:tabs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Срок полезного использования,</w:t>
            </w:r>
          </w:p>
          <w:p w:rsidR="00DD2EB9" w:rsidRPr="00DD2EB9" w:rsidRDefault="00DD2EB9" w:rsidP="00DD2EB9">
            <w:pPr>
              <w:tabs>
                <w:tab w:val="left" w:pos="0"/>
              </w:tabs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лет*</w:t>
            </w:r>
          </w:p>
        </w:tc>
      </w:tr>
      <w:tr w:rsidR="00DD2EB9" w:rsidRPr="00DD2EB9" w:rsidTr="00DD2EB9">
        <w:trPr>
          <w:cantSplit/>
          <w:trHeight w:val="544"/>
        </w:trPr>
        <w:tc>
          <w:tcPr>
            <w:tcW w:w="992" w:type="dxa"/>
            <w:vAlign w:val="center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685" w:type="dxa"/>
            <w:vAlign w:val="center"/>
          </w:tcPr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rPr>
                <w:lang w:eastAsia="en-US"/>
              </w:rPr>
            </w:pPr>
            <w:r w:rsidRPr="00DD2EB9">
              <w:rPr>
                <w:lang w:eastAsia="en-US"/>
              </w:rPr>
              <w:t>Ключевой носитель</w:t>
            </w:r>
          </w:p>
          <w:p w:rsidR="00DD2EB9" w:rsidRPr="00DD2EB9" w:rsidRDefault="00DD2EB9" w:rsidP="00DD2EB9">
            <w:pPr>
              <w:tabs>
                <w:tab w:val="left" w:pos="0"/>
              </w:tabs>
              <w:autoSpaceDE w:val="0"/>
              <w:autoSpaceDN w:val="0"/>
              <w:ind w:left="0" w:right="0" w:firstLine="0"/>
              <w:rPr>
                <w:lang w:eastAsia="en-US"/>
              </w:rPr>
            </w:pPr>
            <w:r w:rsidRPr="00DD2EB9">
              <w:rPr>
                <w:lang w:eastAsia="en-US"/>
              </w:rPr>
              <w:t>(электронный ключ)</w:t>
            </w:r>
          </w:p>
        </w:tc>
        <w:tc>
          <w:tcPr>
            <w:tcW w:w="2977" w:type="dxa"/>
            <w:vAlign w:val="center"/>
          </w:tcPr>
          <w:p w:rsidR="00DD2EB9" w:rsidRPr="00DD2EB9" w:rsidRDefault="00DD2EB9" w:rsidP="00DD2EB9">
            <w:pPr>
              <w:tabs>
                <w:tab w:val="left" w:pos="0"/>
              </w:tabs>
              <w:ind w:left="0" w:right="0" w:firstLine="0"/>
              <w:jc w:val="center"/>
              <w:rPr>
                <w:b/>
                <w:lang w:eastAsia="en-US"/>
              </w:rPr>
            </w:pPr>
            <w:r w:rsidRPr="00DD2EB9">
              <w:rPr>
                <w:lang w:eastAsia="en-US"/>
              </w:rPr>
              <w:t>2500</w:t>
            </w:r>
          </w:p>
        </w:tc>
        <w:tc>
          <w:tcPr>
            <w:tcW w:w="3119" w:type="dxa"/>
            <w:vAlign w:val="center"/>
          </w:tcPr>
          <w:p w:rsidR="00DD2EB9" w:rsidRPr="00DD2EB9" w:rsidRDefault="00DD2EB9" w:rsidP="00DD2EB9">
            <w:pPr>
              <w:tabs>
                <w:tab w:val="left" w:pos="0"/>
              </w:tabs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6,8</w:t>
            </w:r>
          </w:p>
        </w:tc>
        <w:tc>
          <w:tcPr>
            <w:tcW w:w="1842" w:type="dxa"/>
            <w:vAlign w:val="center"/>
          </w:tcPr>
          <w:p w:rsidR="00DD2EB9" w:rsidRPr="00DD2EB9" w:rsidRDefault="00DD2EB9" w:rsidP="00DD2EB9">
            <w:pPr>
              <w:tabs>
                <w:tab w:val="left" w:pos="0"/>
              </w:tabs>
              <w:ind w:left="0" w:right="0" w:firstLine="0"/>
              <w:jc w:val="center"/>
              <w:rPr>
                <w:lang w:eastAsia="en-US"/>
              </w:rPr>
            </w:pPr>
            <w:r w:rsidRPr="00DD2EB9">
              <w:rPr>
                <w:lang w:eastAsia="en-US"/>
              </w:rPr>
              <w:t>устанавливается изготовителем</w:t>
            </w:r>
          </w:p>
        </w:tc>
      </w:tr>
    </w:tbl>
    <w:p w:rsidR="003B65DD" w:rsidRDefault="003B65DD" w:rsidP="003B65DD"/>
    <w:p w:rsidR="003B65DD" w:rsidRDefault="007C729C" w:rsidP="002B033C">
      <w:pPr>
        <w:ind w:firstLine="567"/>
        <w:jc w:val="both"/>
        <w:rPr>
          <w:color w:val="000000"/>
          <w:lang w:bidi="ru-RU"/>
        </w:rPr>
      </w:pPr>
      <w:r>
        <w:t>На момент 2</w:t>
      </w:r>
      <w:r w:rsidR="00104839" w:rsidRPr="00104839">
        <w:t>8</w:t>
      </w:r>
      <w:bookmarkStart w:id="0" w:name="_GoBack"/>
      <w:bookmarkEnd w:id="0"/>
      <w:r>
        <w:t xml:space="preserve">.05.2026 года на балансе Управления находятся 246 носителей ключевой информации. </w:t>
      </w:r>
      <w:r w:rsidR="003B65DD" w:rsidRPr="008C631F">
        <w:t xml:space="preserve">Таким образом, </w:t>
      </w:r>
      <w:r>
        <w:t>предельные</w:t>
      </w:r>
      <w:r w:rsidR="003B65DD" w:rsidRPr="008C631F">
        <w:t xml:space="preserve"> затраты </w:t>
      </w:r>
      <w:r w:rsidR="00DD2EB9" w:rsidRPr="00017188">
        <w:rPr>
          <w:color w:val="000000"/>
          <w:lang w:bidi="ru-RU"/>
        </w:rPr>
        <w:t xml:space="preserve">на </w:t>
      </w:r>
      <w:r w:rsidR="00DD2EB9">
        <w:rPr>
          <w:color w:val="000000"/>
          <w:lang w:bidi="ru-RU"/>
        </w:rPr>
        <w:t xml:space="preserve">поставку </w:t>
      </w:r>
      <w:r w:rsidR="00DD2EB9" w:rsidRPr="00DD2EB9">
        <w:rPr>
          <w:color w:val="000000"/>
          <w:lang w:bidi="ru-RU"/>
        </w:rPr>
        <w:t>устройств хранения ключевой информации</w:t>
      </w:r>
      <w:r w:rsidR="00DD2EB9" w:rsidRPr="008C631F">
        <w:rPr>
          <w:color w:val="000000"/>
          <w:lang w:bidi="ru-RU"/>
        </w:rPr>
        <w:t xml:space="preserve"> </w:t>
      </w:r>
      <w:r w:rsidR="003B65DD" w:rsidRPr="008C631F">
        <w:rPr>
          <w:color w:val="000000"/>
          <w:lang w:bidi="ru-RU"/>
        </w:rPr>
        <w:t>для нужд Управления Росреестра по Кировской области составят</w:t>
      </w:r>
      <w:r>
        <w:rPr>
          <w:color w:val="000000"/>
          <w:lang w:bidi="ru-RU"/>
        </w:rPr>
        <w:t xml:space="preserve"> (2500-246)*6,8 =</w:t>
      </w:r>
      <w:r w:rsidR="003B65DD" w:rsidRPr="008C631F">
        <w:rPr>
          <w:color w:val="000000"/>
          <w:lang w:bidi="ru-RU"/>
        </w:rPr>
        <w:t xml:space="preserve"> </w:t>
      </w:r>
      <w:r w:rsidRPr="007C729C">
        <w:rPr>
          <w:b/>
          <w:bCs/>
          <w:lang w:bidi="ru-RU"/>
        </w:rPr>
        <w:t>15 327</w:t>
      </w:r>
      <w:r w:rsidR="003B65DD" w:rsidRPr="007C729C">
        <w:rPr>
          <w:b/>
          <w:bCs/>
          <w:lang w:bidi="ru-RU"/>
        </w:rPr>
        <w:t>,</w:t>
      </w:r>
      <w:r w:rsidRPr="007C729C">
        <w:rPr>
          <w:b/>
          <w:bCs/>
          <w:lang w:bidi="ru-RU"/>
        </w:rPr>
        <w:t>2</w:t>
      </w:r>
      <w:r w:rsidR="003B65DD" w:rsidRPr="007C729C">
        <w:rPr>
          <w:b/>
          <w:lang w:bidi="ru-RU"/>
        </w:rPr>
        <w:t xml:space="preserve"> тыс.</w:t>
      </w:r>
      <w:r w:rsidR="00411F7A" w:rsidRPr="007C729C">
        <w:rPr>
          <w:b/>
          <w:lang w:bidi="ru-RU"/>
        </w:rPr>
        <w:t xml:space="preserve"> </w:t>
      </w:r>
      <w:r w:rsidR="003B65DD" w:rsidRPr="007C729C">
        <w:rPr>
          <w:b/>
          <w:lang w:bidi="ru-RU"/>
        </w:rPr>
        <w:t>руб. в год</w:t>
      </w:r>
      <w:r w:rsidR="003B65DD" w:rsidRPr="008C631F">
        <w:rPr>
          <w:color w:val="000000"/>
          <w:lang w:bidi="ru-RU"/>
        </w:rPr>
        <w:t>.</w:t>
      </w:r>
    </w:p>
    <w:p w:rsidR="003B65DD" w:rsidRPr="008C631F" w:rsidRDefault="003B65DD" w:rsidP="003B65DD">
      <w:pPr>
        <w:ind w:firstLine="567"/>
        <w:jc w:val="both"/>
      </w:pPr>
    </w:p>
    <w:sectPr w:rsidR="003B65DD" w:rsidRPr="008C631F" w:rsidSect="006243FE">
      <w:pgSz w:w="16838" w:h="11906" w:orient="landscape"/>
      <w:pgMar w:top="709" w:right="1134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/>
      </w:rPr>
    </w:lvl>
  </w:abstractNum>
  <w:abstractNum w:abstractNumId="1" w15:restartNumberingAfterBreak="0">
    <w:nsid w:val="639E7D2D"/>
    <w:multiLevelType w:val="hybridMultilevel"/>
    <w:tmpl w:val="12349288"/>
    <w:lvl w:ilvl="0" w:tplc="B66E2D0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BA0FFD"/>
    <w:multiLevelType w:val="hybridMultilevel"/>
    <w:tmpl w:val="FA727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416"/>
    <w:rsid w:val="00002CE2"/>
    <w:rsid w:val="00017188"/>
    <w:rsid w:val="00035EE0"/>
    <w:rsid w:val="00065E6B"/>
    <w:rsid w:val="000A4544"/>
    <w:rsid w:val="000A747A"/>
    <w:rsid w:val="000C7B73"/>
    <w:rsid w:val="00104839"/>
    <w:rsid w:val="00127FD9"/>
    <w:rsid w:val="0019208F"/>
    <w:rsid w:val="00296E79"/>
    <w:rsid w:val="002B033C"/>
    <w:rsid w:val="002B5A4A"/>
    <w:rsid w:val="002C3285"/>
    <w:rsid w:val="002F3478"/>
    <w:rsid w:val="00334C32"/>
    <w:rsid w:val="003A42A7"/>
    <w:rsid w:val="003B65DD"/>
    <w:rsid w:val="003D276D"/>
    <w:rsid w:val="003E5249"/>
    <w:rsid w:val="003F2147"/>
    <w:rsid w:val="003F385A"/>
    <w:rsid w:val="00411F7A"/>
    <w:rsid w:val="0041705B"/>
    <w:rsid w:val="004333C0"/>
    <w:rsid w:val="00442156"/>
    <w:rsid w:val="004965F5"/>
    <w:rsid w:val="004A7FBA"/>
    <w:rsid w:val="004B61A6"/>
    <w:rsid w:val="004D0A00"/>
    <w:rsid w:val="004F4C58"/>
    <w:rsid w:val="005609E2"/>
    <w:rsid w:val="005806FC"/>
    <w:rsid w:val="00591458"/>
    <w:rsid w:val="005A7974"/>
    <w:rsid w:val="005B5E29"/>
    <w:rsid w:val="005C66C8"/>
    <w:rsid w:val="005E19AE"/>
    <w:rsid w:val="006243FE"/>
    <w:rsid w:val="00627380"/>
    <w:rsid w:val="006350D6"/>
    <w:rsid w:val="00654515"/>
    <w:rsid w:val="006B2522"/>
    <w:rsid w:val="006C318D"/>
    <w:rsid w:val="006C5B0C"/>
    <w:rsid w:val="006D032D"/>
    <w:rsid w:val="006D5BE2"/>
    <w:rsid w:val="00710B7B"/>
    <w:rsid w:val="0078381C"/>
    <w:rsid w:val="00793A4D"/>
    <w:rsid w:val="00796207"/>
    <w:rsid w:val="007B14DB"/>
    <w:rsid w:val="007B6B9A"/>
    <w:rsid w:val="007C729C"/>
    <w:rsid w:val="008033FD"/>
    <w:rsid w:val="008140EF"/>
    <w:rsid w:val="00832233"/>
    <w:rsid w:val="00844444"/>
    <w:rsid w:val="00857680"/>
    <w:rsid w:val="00873AEA"/>
    <w:rsid w:val="00883660"/>
    <w:rsid w:val="008972D5"/>
    <w:rsid w:val="009A5FD9"/>
    <w:rsid w:val="00A3254C"/>
    <w:rsid w:val="00A74203"/>
    <w:rsid w:val="00A90307"/>
    <w:rsid w:val="00AA25AA"/>
    <w:rsid w:val="00AA4C1D"/>
    <w:rsid w:val="00AA5F0F"/>
    <w:rsid w:val="00AD5749"/>
    <w:rsid w:val="00AF68F9"/>
    <w:rsid w:val="00B51818"/>
    <w:rsid w:val="00B55416"/>
    <w:rsid w:val="00BC0F58"/>
    <w:rsid w:val="00BF1E5B"/>
    <w:rsid w:val="00C218DC"/>
    <w:rsid w:val="00C252A2"/>
    <w:rsid w:val="00C62791"/>
    <w:rsid w:val="00C67428"/>
    <w:rsid w:val="00C77DE0"/>
    <w:rsid w:val="00C87231"/>
    <w:rsid w:val="00C92D3C"/>
    <w:rsid w:val="00D8597C"/>
    <w:rsid w:val="00DC3352"/>
    <w:rsid w:val="00DD2EB9"/>
    <w:rsid w:val="00E16E89"/>
    <w:rsid w:val="00E835F2"/>
    <w:rsid w:val="00E93627"/>
    <w:rsid w:val="00E959EA"/>
    <w:rsid w:val="00ED46E7"/>
    <w:rsid w:val="00F329EE"/>
    <w:rsid w:val="00F71119"/>
    <w:rsid w:val="00F87F8E"/>
    <w:rsid w:val="00FA5000"/>
    <w:rsid w:val="00FA7C84"/>
    <w:rsid w:val="00FC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D5185"/>
  <w15:docId w15:val="{1D54D843-2735-4F76-A12F-EFB2E786E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416"/>
    <w:pPr>
      <w:spacing w:after="0" w:line="240" w:lineRule="auto"/>
      <w:ind w:left="1134" w:right="567" w:firstLine="709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3B65DD"/>
    <w:pPr>
      <w:spacing w:before="240" w:after="60"/>
      <w:ind w:left="0" w:right="0" w:firstLine="0"/>
      <w:outlineLvl w:val="4"/>
    </w:pPr>
    <w:rPr>
      <w:rFonts w:eastAsia="Times New Roman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7DE0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B6B9A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A5FD9"/>
    <w:rPr>
      <w:color w:val="0000FF" w:themeColor="hyperlink"/>
      <w:u w:val="single"/>
    </w:rPr>
  </w:style>
  <w:style w:type="paragraph" w:styleId="a6">
    <w:name w:val="Normal (Web)"/>
    <w:basedOn w:val="a"/>
    <w:uiPriority w:val="99"/>
    <w:rsid w:val="009A5FD9"/>
    <w:pPr>
      <w:spacing w:before="100" w:beforeAutospacing="1" w:after="100" w:afterAutospacing="1"/>
      <w:ind w:left="0" w:right="0" w:firstLine="0"/>
    </w:pPr>
    <w:rPr>
      <w:rFonts w:eastAsia="Times New Roman"/>
    </w:rPr>
  </w:style>
  <w:style w:type="paragraph" w:styleId="a7">
    <w:name w:val="Balloon Text"/>
    <w:basedOn w:val="a"/>
    <w:link w:val="a8"/>
    <w:uiPriority w:val="99"/>
    <w:semiHidden/>
    <w:unhideWhenUsed/>
    <w:rsid w:val="009A5F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A5FD9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E16E89"/>
    <w:pPr>
      <w:spacing w:before="100" w:beforeAutospacing="1" w:after="100" w:afterAutospacing="1"/>
      <w:ind w:left="0" w:right="0" w:firstLine="0"/>
    </w:pPr>
    <w:rPr>
      <w:rFonts w:eastAsiaTheme="minorEastAsia"/>
    </w:rPr>
  </w:style>
  <w:style w:type="character" w:customStyle="1" w:styleId="50">
    <w:name w:val="Заголовок 5 Знак"/>
    <w:basedOn w:val="a0"/>
    <w:link w:val="5"/>
    <w:rsid w:val="003B65DD"/>
    <w:rPr>
      <w:rFonts w:ascii="Times New Roman" w:eastAsia="Times New Roman" w:hAnsi="Times New Roman" w:cs="Times New Roman"/>
      <w:b/>
      <w:i/>
      <w:sz w:val="26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8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77674-05D2-4AB8-B860-C37C29EF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Шибанов Алексей Владимирович</cp:lastModifiedBy>
  <cp:revision>9</cp:revision>
  <cp:lastPrinted>2020-11-13T11:54:00Z</cp:lastPrinted>
  <dcterms:created xsi:type="dcterms:W3CDTF">2025-04-08T10:22:00Z</dcterms:created>
  <dcterms:modified xsi:type="dcterms:W3CDTF">2026-06-02T07:28:00Z</dcterms:modified>
</cp:coreProperties>
</file>