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5B9D">
      <w:pPr>
        <w:ind w:firstLine="709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b/>
          <w:lang w:val="ru-RU"/>
        </w:rPr>
        <w:t>К</w:t>
      </w:r>
      <w:r>
        <w:rPr>
          <w:b/>
        </w:rPr>
        <w:t xml:space="preserve">онтракт № </w:t>
      </w:r>
    </w:p>
    <w:p w14:paraId="31271295"/>
    <w:p w14:paraId="5974633D">
      <w:r>
        <w:t xml:space="preserve">г. </w:t>
      </w:r>
      <w:r>
        <w:rPr>
          <w:lang w:val="ru-RU"/>
        </w:rPr>
        <w:t>Хабаровск</w:t>
      </w:r>
      <w:r>
        <w:rPr>
          <w:rFonts w:hint="default"/>
          <w:lang w:val="ru-RU"/>
        </w:rPr>
        <w:t xml:space="preserve">          </w:t>
      </w:r>
      <w:r>
        <w:t xml:space="preserve">                                                                                     </w:t>
      </w:r>
      <w:r>
        <w:rPr>
          <w:rFonts w:hint="default"/>
          <w:lang w:val="ru-RU"/>
        </w:rPr>
        <w:t xml:space="preserve">           </w:t>
      </w:r>
      <w:r>
        <w:t>«</w:t>
      </w:r>
      <w:r>
        <w:rPr>
          <w:rFonts w:hint="default"/>
          <w:lang w:val="ru-RU"/>
        </w:rPr>
        <w:t>___</w:t>
      </w:r>
      <w:r>
        <w:t xml:space="preserve">» </w:t>
      </w:r>
      <w:r>
        <w:rPr>
          <w:rFonts w:hint="default"/>
          <w:lang w:val="ru-RU"/>
        </w:rPr>
        <w:t>____</w:t>
      </w:r>
      <w:r>
        <w:t xml:space="preserve"> 20</w:t>
      </w:r>
      <w:r>
        <w:rPr>
          <w:rFonts w:hint="default"/>
          <w:lang w:val="ru-RU"/>
        </w:rPr>
        <w:t>26</w:t>
      </w:r>
      <w:r>
        <w:t xml:space="preserve"> г.</w:t>
      </w:r>
    </w:p>
    <w:p w14:paraId="14953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</w:p>
    <w:p w14:paraId="1AD61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eastAsiaTheme="minorHAnsi"/>
          <w:lang w:eastAsia="en-US"/>
        </w:rPr>
      </w:pPr>
      <w:r>
        <w:t xml:space="preserve">Федеральное государственное бюджетное учреждение науки Хабаровский Федеральный исследовательский центр Дальневосточного отделения Российской академии наук (ХФИЦ ДВО РАН), именуемый  в дальнейшем «Заказчик», в лице , действующей на основании , именуемое в дальнейшем «Заказчик»,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_______________________</w:t>
      </w:r>
      <w:r>
        <w:rPr>
          <w:rFonts w:hint="default"/>
          <w:b/>
          <w:lang w:val="ru-RU"/>
        </w:rPr>
        <w:t xml:space="preserve"> </w:t>
      </w:r>
      <w:r>
        <w:t xml:space="preserve">в лице </w:t>
      </w:r>
      <w:r>
        <w:rPr>
          <w:rFonts w:hint="default"/>
          <w:lang w:val="ru-RU"/>
        </w:rPr>
        <w:t>_________________________</w:t>
      </w:r>
      <w:r>
        <w:t>,</w:t>
      </w:r>
      <w:r>
        <w:rPr>
          <w:rFonts w:hint="default"/>
          <w:lang w:val="ru-RU"/>
        </w:rPr>
        <w:t xml:space="preserve"> </w:t>
      </w:r>
      <w:r>
        <w:rPr>
          <w:bCs/>
          <w:spacing w:val="-6"/>
        </w:rPr>
        <w:t>именуемо</w:t>
      </w:r>
      <w:r>
        <w:rPr>
          <w:bCs/>
          <w:spacing w:val="-6"/>
          <w:lang w:val="ru-RU"/>
        </w:rPr>
        <w:t>го</w:t>
      </w:r>
      <w:r>
        <w:rPr>
          <w:bCs/>
          <w:spacing w:val="-6"/>
        </w:rPr>
        <w:t xml:space="preserve"> в дальнейшем  «</w:t>
      </w:r>
      <w:r>
        <w:rPr>
          <w:bCs/>
          <w:spacing w:val="-6"/>
          <w:lang w:val="ru-RU"/>
        </w:rPr>
        <w:t>Исполнитель</w:t>
      </w:r>
      <w:r>
        <w:rPr>
          <w:bCs/>
          <w:spacing w:val="-6"/>
        </w:rPr>
        <w:t>»</w:t>
      </w:r>
      <w:r>
        <w:rPr>
          <w:rFonts w:hint="default"/>
          <w:bCs/>
          <w:spacing w:val="-6"/>
          <w:lang w:val="ru-RU"/>
        </w:rPr>
        <w:t>,</w:t>
      </w:r>
      <w:r>
        <w:t xml:space="preserve"> действу</w:t>
      </w:r>
      <w:r>
        <w:rPr>
          <w:lang w:val="ru-RU"/>
        </w:rPr>
        <w:t>ющего</w:t>
      </w:r>
      <w:r>
        <w:t xml:space="preserve"> на основании Устава</w:t>
      </w:r>
      <w:r>
        <w:rPr>
          <w:rFonts w:hint="default"/>
          <w:lang w:val="ru-RU"/>
        </w:rPr>
        <w:t>,</w:t>
      </w:r>
      <w:r>
        <w:rPr>
          <w:bCs/>
          <w:spacing w:val="-6"/>
        </w:rPr>
        <w:t xml:space="preserve"> с другой стороны, </w:t>
      </w:r>
      <w:r>
        <w:rPr>
          <w:bCs/>
        </w:rPr>
        <w:t>в дальнейшем вместе именуемые «Стороны»,</w:t>
      </w:r>
      <w:r>
        <w:t xml:space="preserve"> и каждый в отдельности «Сторона»,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 xml:space="preserve">вместе именуемые в дальнейшем "Стороны", </w:t>
      </w:r>
      <w:r>
        <w:rPr>
          <w:rFonts w:hint="default" w:ascii="Times New Roman" w:hAnsi="Times New Roman" w:eastAsia="Times" w:cs="Times New Roman"/>
          <w:color w:val="000000"/>
          <w:sz w:val="24"/>
          <w:szCs w:val="24"/>
        </w:rPr>
        <w:t xml:space="preserve">на основании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п. 4 ч.1 ст. 93 </w:t>
      </w:r>
      <w:r>
        <w:rPr>
          <w:rFonts w:hint="default" w:ascii="Times New Roman" w:hAnsi="Times New Roman" w:cs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>
        <w:t xml:space="preserve"> заключили настоящий контракт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t xml:space="preserve"> о нижеследующем:</w:t>
      </w:r>
    </w:p>
    <w:p w14:paraId="231443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AEE970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ПРЕДМЕТ КОНТРАКТА</w:t>
      </w:r>
    </w:p>
    <w:p w14:paraId="60FD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both"/>
        <w:textAlignment w:val="auto"/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</w:pPr>
      <w:r>
        <w:t>1.1. Предмет контракта: Оказание</w:t>
      </w:r>
      <w:r>
        <w:rPr>
          <w:lang w:val="en-US"/>
        </w:rPr>
        <w:t xml:space="preserve"> </w:t>
      </w:r>
      <w:r>
        <w:t xml:space="preserve">услуг по техническому обслуживанию кондиционеров </w:t>
      </w:r>
      <w:r>
        <w:rPr>
          <w:rFonts w:hint="default"/>
          <w:lang w:val="ru-RU"/>
        </w:rPr>
        <w:t>(</w:t>
      </w:r>
      <w:r>
        <w:rPr>
          <w:lang w:val="ru-RU"/>
        </w:rPr>
        <w:t>ИВЭП</w:t>
      </w:r>
      <w:r>
        <w:rPr>
          <w:rFonts w:hint="default"/>
          <w:lang w:val="ru-RU"/>
        </w:rPr>
        <w:t xml:space="preserve"> ДВО РАН)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u-RU"/>
        </w:rPr>
        <w:t>.</w:t>
      </w:r>
    </w:p>
    <w:p w14:paraId="795B36BE">
      <w:pPr>
        <w:tabs>
          <w:tab w:val="left" w:pos="62"/>
        </w:tabs>
        <w:ind w:firstLine="709"/>
        <w:jc w:val="both"/>
      </w:pPr>
      <w:r>
        <w:rPr>
          <w:lang w:val="ru-RU"/>
        </w:rPr>
        <w:t>Исполнитель</w:t>
      </w:r>
      <w:r>
        <w:t xml:space="preserve"> обязуется </w:t>
      </w:r>
      <w:r>
        <w:rPr>
          <w:lang w:val="ru-RU"/>
        </w:rPr>
        <w:t>оказать</w:t>
      </w:r>
      <w:r>
        <w:rPr>
          <w:rFonts w:hint="default"/>
          <w:lang w:val="ru-RU"/>
        </w:rPr>
        <w:t xml:space="preserve"> услуги</w:t>
      </w:r>
      <w:r>
        <w:t xml:space="preserve"> в соответствии со Спецификацией (Приложение 1 к контракту) (далее – </w:t>
      </w:r>
      <w:r>
        <w:rPr>
          <w:lang w:val="ru-RU"/>
        </w:rPr>
        <w:t>Услуга</w:t>
      </w:r>
      <w:r>
        <w:t xml:space="preserve">) и с Технической частью (Приложение 2 к контракту), а Заказчик обязуется принять и оплатить </w:t>
      </w:r>
      <w:r>
        <w:rPr>
          <w:lang w:val="ru-RU"/>
        </w:rPr>
        <w:t>оказанные</w:t>
      </w:r>
      <w:r>
        <w:rPr>
          <w:rFonts w:hint="default"/>
          <w:lang w:val="ru-RU"/>
        </w:rPr>
        <w:t xml:space="preserve"> услуги</w:t>
      </w:r>
      <w:r>
        <w:t xml:space="preserve"> в порядке и на условиях, предусмотренных Контрактом.</w:t>
      </w:r>
    </w:p>
    <w:p w14:paraId="5854698E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B269CEF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2. ЦЕНА КОНТРАКТА</w:t>
      </w:r>
      <w:r>
        <w:rPr>
          <w:rStyle w:val="5"/>
          <w:color w:val="FFFFFF" w:themeColor="background1"/>
          <w14:textFill>
            <w14:solidFill>
              <w14:schemeClr w14:val="bg1"/>
            </w14:solidFill>
          </w14:textFill>
        </w:rPr>
        <w:footnoteReference w:id="0"/>
      </w:r>
      <w:r>
        <w:rPr>
          <w:rStyle w:val="5"/>
          <w:rFonts w:eastAsiaTheme="minorHAnsi"/>
          <w:color w:val="FFFFFF" w:themeColor="background1"/>
          <w:lang w:eastAsia="en-US"/>
          <w14:textFill>
            <w14:solidFill>
              <w14:schemeClr w14:val="bg1"/>
            </w14:solidFill>
          </w14:textFill>
        </w:rPr>
        <w:footnoteReference w:id="1"/>
      </w:r>
    </w:p>
    <w:p w14:paraId="3B66D6CB">
      <w:pPr>
        <w:autoSpaceDE w:val="0"/>
        <w:autoSpaceDN w:val="0"/>
        <w:adjustRightInd w:val="0"/>
        <w:ind w:firstLine="708"/>
        <w:jc w:val="both"/>
        <w:rPr>
          <w:rFonts w:hint="default"/>
          <w:lang w:val="ru-RU"/>
        </w:rPr>
      </w:pPr>
      <w:r>
        <w:t xml:space="preserve">2.1. Цена контракта составляет </w:t>
      </w:r>
      <w:r>
        <w:rPr>
          <w:rFonts w:hint="default"/>
          <w:lang w:val="ru-RU"/>
        </w:rPr>
        <w:t>_______________</w:t>
      </w:r>
      <w:r>
        <w:t>(</w:t>
      </w:r>
      <w:r>
        <w:rPr>
          <w:rFonts w:hint="default"/>
          <w:lang w:val="ru-RU"/>
        </w:rPr>
        <w:t>______________</w:t>
      </w:r>
      <w:r>
        <w:t>)</w:t>
      </w:r>
      <w:r>
        <w:rPr>
          <w:rFonts w:hint="default"/>
          <w:lang w:val="ru-RU"/>
        </w:rPr>
        <w:t xml:space="preserve"> рублей ____ копеек</w:t>
      </w:r>
      <w:r>
        <w:t xml:space="preserve">, </w:t>
      </w:r>
      <w:r>
        <w:rPr>
          <w:lang w:val="ru-RU"/>
        </w:rPr>
        <w:t>с</w:t>
      </w:r>
      <w:r>
        <w:rPr>
          <w:rFonts w:hint="default"/>
          <w:lang w:val="ru-RU"/>
        </w:rPr>
        <w:t>/без НДС.</w:t>
      </w:r>
    </w:p>
    <w:p w14:paraId="5BF9042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Сумма, подлежащая уплате Заказчиком </w:t>
      </w:r>
      <w:r>
        <w:rPr>
          <w:rFonts w:eastAsiaTheme="minorHAnsi"/>
          <w:lang w:val="ru-RU" w:eastAsia="en-US"/>
        </w:rPr>
        <w:t>Исполнителю</w:t>
      </w:r>
      <w:r>
        <w:rPr>
          <w:rFonts w:eastAsiaTheme="minorHAnsi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>
        <w:rPr>
          <w:rFonts w:eastAsia="Calibri"/>
          <w:lang w:eastAsia="en-US"/>
        </w:rPr>
        <w:t>.</w:t>
      </w:r>
    </w:p>
    <w:p w14:paraId="5A007518">
      <w:pPr>
        <w:jc w:val="center"/>
        <w:rPr>
          <w:rFonts w:eastAsia="Calibri"/>
        </w:rPr>
      </w:pPr>
    </w:p>
    <w:p w14:paraId="41A2EB97">
      <w:pPr>
        <w:jc w:val="center"/>
        <w:rPr>
          <w:rFonts w:eastAsia="Calibri"/>
        </w:rPr>
      </w:pPr>
      <w:r>
        <w:rPr>
          <w:b/>
        </w:rPr>
        <w:t>3. ПОРЯДОК РАСЧЕТОВ</w:t>
      </w:r>
    </w:p>
    <w:p w14:paraId="4B6D535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 </w:t>
      </w:r>
      <w:r>
        <w:rPr>
          <w:bCs/>
        </w:rPr>
        <w:t xml:space="preserve">Оплата за </w:t>
      </w:r>
      <w:r>
        <w:rPr>
          <w:bCs/>
          <w:lang w:val="ru-RU"/>
        </w:rPr>
        <w:t>оказанные</w:t>
      </w:r>
      <w:r>
        <w:rPr>
          <w:rFonts w:hint="default"/>
          <w:bCs/>
          <w:lang w:val="ru-RU"/>
        </w:rPr>
        <w:t xml:space="preserve"> услуги</w:t>
      </w:r>
      <w:r>
        <w:rPr>
          <w:bCs/>
        </w:rPr>
        <w:t xml:space="preserve"> осуществляется по цене, установленной п. 2.1 к</w:t>
      </w:r>
      <w:r>
        <w:t>онтракта</w:t>
      </w:r>
      <w:r>
        <w:rPr>
          <w:bCs/>
        </w:rPr>
        <w:t>.</w:t>
      </w:r>
      <w:r>
        <w:t xml:space="preserve"> </w:t>
      </w:r>
    </w:p>
    <w:p w14:paraId="564F3358">
      <w:pPr>
        <w:autoSpaceDE w:val="0"/>
        <w:autoSpaceDN w:val="0"/>
        <w:adjustRightInd w:val="0"/>
        <w:ind w:firstLine="709"/>
        <w:jc w:val="both"/>
      </w:pPr>
      <w:r>
        <w:t xml:space="preserve">3.2. Оплата за </w:t>
      </w:r>
      <w:r>
        <w:rPr>
          <w:lang w:val="ru-RU"/>
        </w:rPr>
        <w:t>оказанные</w:t>
      </w:r>
      <w:r>
        <w:rPr>
          <w:rFonts w:hint="default"/>
          <w:lang w:val="ru-RU"/>
        </w:rPr>
        <w:t xml:space="preserve"> услуги</w:t>
      </w:r>
      <w:r>
        <w:t xml:space="preserve"> осуществляется по безналичному расчету путем перечисления Заказчиком денежных средств на счет </w:t>
      </w:r>
      <w:r>
        <w:rPr>
          <w:lang w:val="ru-RU"/>
        </w:rPr>
        <w:t>Исполнителя</w:t>
      </w:r>
      <w:r>
        <w:t xml:space="preserve"> указанный в контракте, на основании выставленного </w:t>
      </w:r>
      <w:r>
        <w:rPr>
          <w:lang w:val="ru-RU"/>
        </w:rPr>
        <w:t>Исполнителем</w:t>
      </w:r>
      <w:r>
        <w:t xml:space="preserve"> счета или счета-фактуры </w:t>
      </w:r>
      <w:r>
        <w:rPr>
          <w:lang w:val="ru-RU"/>
        </w:rPr>
        <w:t>посредством</w:t>
      </w:r>
      <w:r>
        <w:rPr>
          <w:rFonts w:hint="default"/>
          <w:lang w:val="ru-RU"/>
        </w:rPr>
        <w:t xml:space="preserve"> системы электронного документооборота </w:t>
      </w:r>
      <w:r>
        <w:t xml:space="preserve"> в течение 7 рабочих дней с даты подписания Заказчиком документа о </w:t>
      </w:r>
      <w:r>
        <w:rPr>
          <w:lang w:val="ru-RU"/>
        </w:rPr>
        <w:t>приёмке</w:t>
      </w:r>
    </w:p>
    <w:p w14:paraId="506474AA">
      <w:pPr>
        <w:autoSpaceDE w:val="0"/>
        <w:autoSpaceDN w:val="0"/>
        <w:adjustRightInd w:val="0"/>
        <w:ind w:firstLine="709"/>
        <w:jc w:val="both"/>
      </w:pPr>
      <w:r>
        <w:rPr>
          <w:lang w:val="ru-RU"/>
        </w:rPr>
        <w:t>Расчёт</w:t>
      </w:r>
      <w:r>
        <w:t xml:space="preserve"> осуществляется по факту </w:t>
      </w:r>
      <w:r>
        <w:rPr>
          <w:lang w:val="ru-RU"/>
        </w:rPr>
        <w:t>оказания</w:t>
      </w:r>
      <w:r>
        <w:rPr>
          <w:rFonts w:hint="default"/>
          <w:lang w:val="ru-RU"/>
        </w:rPr>
        <w:t xml:space="preserve"> услуги</w:t>
      </w:r>
      <w:r>
        <w:t>.</w:t>
      </w:r>
    </w:p>
    <w:p w14:paraId="3BEA383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3.3. Обязательство Заказчика по оплате за </w:t>
      </w:r>
      <w:r>
        <w:rPr>
          <w:lang w:val="ru-RU"/>
        </w:rPr>
        <w:t>оказанную</w:t>
      </w:r>
      <w:r>
        <w:rPr>
          <w:rFonts w:hint="default"/>
          <w:lang w:val="ru-RU"/>
        </w:rPr>
        <w:t xml:space="preserve"> услугу</w:t>
      </w:r>
      <w:r>
        <w:t xml:space="preserve"> считается исполненным с момента списания денежных средств со счета Заказчика. </w:t>
      </w:r>
    </w:p>
    <w:p w14:paraId="3BD315F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3.4.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При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приёмке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услуг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Заказчиком составляется акт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приёмки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услуг по ф.0510452 согласно  Методическим указаниям,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утверждённым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Приказом Минфина России от 15.04.2021 г. № 61н. В случае обнаружения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некачественной оказанной услуги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Заказчик направляет </w:t>
      </w:r>
      <w:r>
        <w:rPr>
          <w:rFonts w:hint="default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Исполнителю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 акт   ф.0510452   в течение 3 (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трёх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 xml:space="preserve">) рабочих дней со дня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приёмки услуг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  </w:t>
      </w:r>
    </w:p>
    <w:p w14:paraId="39FBEF5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14:paraId="20E8EF5B">
      <w:pPr>
        <w:tabs>
          <w:tab w:val="left" w:pos="709"/>
          <w:tab w:val="left" w:pos="1134"/>
        </w:tabs>
        <w:jc w:val="center"/>
        <w:rPr>
          <w:b/>
        </w:rPr>
      </w:pPr>
      <w:r>
        <w:rPr>
          <w:b/>
        </w:rPr>
        <w:t>4. ПРАВА И ОБЯЗАННОСТИ СТОРОН</w:t>
      </w:r>
    </w:p>
    <w:p w14:paraId="4CC7742F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</w:rPr>
        <w:t>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988541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Требовать от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в соответствии с условиями контракта.</w:t>
      </w:r>
    </w:p>
    <w:p w14:paraId="6FC6DBD0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Требовать от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11D80E2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Запрашивать у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ходе и состоянии исполнения обязательств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контракту.</w:t>
      </w:r>
    </w:p>
    <w:p w14:paraId="05495090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2E4028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Своевременно принять и оплатить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контракта.</w:t>
      </w:r>
    </w:p>
    <w:p w14:paraId="7BFB578A">
      <w:pPr>
        <w:pStyle w:val="15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Своевременно предоставлять разъяснения и уточнения по запросам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 части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 условиями настоящего  контракта.</w:t>
      </w:r>
    </w:p>
    <w:p w14:paraId="7E4A6CA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4.2.3. В случае просрочки исполнения </w:t>
      </w:r>
      <w:r>
        <w:rPr>
          <w:lang w:val="ru-RU"/>
        </w:rPr>
        <w:t>Исполнителем</w:t>
      </w:r>
      <w:r>
        <w:rPr>
          <w:rFonts w:hint="default"/>
          <w:lang w:val="ru-RU"/>
        </w:rPr>
        <w:t xml:space="preserve"> </w:t>
      </w:r>
      <w:r>
        <w:t xml:space="preserve">обязательств, предусмотренных контрактом, а также в иных случаях ненадлежащего исполнения </w:t>
      </w:r>
      <w:r>
        <w:rPr>
          <w:lang w:val="ru-RU"/>
        </w:rPr>
        <w:t>Исполнителем</w:t>
      </w:r>
      <w:r>
        <w:t xml:space="preserve"> обязательств, предусмотренных контрактом, направлять </w:t>
      </w:r>
      <w:r>
        <w:rPr>
          <w:lang w:val="ru-RU"/>
        </w:rPr>
        <w:t>Исполнителю</w:t>
      </w:r>
      <w:r>
        <w:t xml:space="preserve"> требование об уплате в добровольном порядке сумм неустойки, предусмотренных контрактом, за неисполнение (ненадлежащее исполнение) им своих обязательств (в том числе гарантийных,</w:t>
      </w:r>
      <w:r>
        <w:rPr>
          <w:rFonts w:eastAsia="Calibri"/>
          <w:lang w:eastAsia="en-US"/>
        </w:rPr>
        <w:t xml:space="preserve"> если таковые установлены</w:t>
      </w:r>
      <w:r>
        <w:t xml:space="preserve">)  по настоящему контракту </w:t>
      </w:r>
      <w:r>
        <w:rPr>
          <w:bCs/>
        </w:rPr>
        <w:t>(за исключением неустойки, подлежащей списанию в случаях и порядке, которые установлены Правительством Российской Федерации)</w:t>
      </w:r>
      <w:r>
        <w:t>.</w:t>
      </w:r>
    </w:p>
    <w:p w14:paraId="1413EB6A">
      <w:pPr>
        <w:autoSpaceDE w:val="0"/>
        <w:autoSpaceDN w:val="0"/>
        <w:adjustRightInd w:val="0"/>
        <w:jc w:val="both"/>
      </w:pPr>
      <w:bookmarkStart w:id="0" w:name="Par5"/>
      <w:bookmarkEnd w:id="0"/>
      <w:bookmarkStart w:id="1" w:name="Par1"/>
      <w:bookmarkEnd w:id="1"/>
    </w:p>
    <w:p w14:paraId="251745B5">
      <w:pPr>
        <w:shd w:val="clear" w:color="auto" w:fill="FFFFFF"/>
        <w:tabs>
          <w:tab w:val="left" w:pos="709"/>
        </w:tabs>
        <w:jc w:val="center"/>
        <w:rPr>
          <w:rFonts w:hint="default"/>
          <w:b/>
          <w:lang w:val="ru-RU"/>
        </w:rPr>
      </w:pPr>
      <w:r>
        <w:rPr>
          <w:b/>
        </w:rPr>
        <w:t xml:space="preserve">5. СРОК, МЕСТО И УСЛОВИЯ </w:t>
      </w:r>
      <w:r>
        <w:rPr>
          <w:b/>
          <w:lang w:val="ru-RU"/>
        </w:rPr>
        <w:t>ОКАЗАНИЯ</w:t>
      </w:r>
      <w:r>
        <w:rPr>
          <w:rFonts w:hint="default"/>
          <w:b/>
          <w:lang w:val="ru-RU"/>
        </w:rPr>
        <w:t xml:space="preserve"> УСЛУГ</w:t>
      </w:r>
    </w:p>
    <w:p w14:paraId="2637F6B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 xml:space="preserve">5.1. Срок </w:t>
      </w:r>
      <w:r>
        <w:rPr>
          <w:lang w:val="ru-RU"/>
        </w:rPr>
        <w:t>оказания</w:t>
      </w:r>
      <w:r>
        <w:rPr>
          <w:rFonts w:hint="default"/>
          <w:lang w:val="ru-RU"/>
        </w:rPr>
        <w:t xml:space="preserve"> услуги</w:t>
      </w:r>
      <w:r>
        <w:t xml:space="preserve">: </w:t>
      </w:r>
      <w:r>
        <w:rPr>
          <w:lang w:val="ru-RU"/>
        </w:rPr>
        <w:t>с</w:t>
      </w:r>
      <w:r>
        <w:rPr>
          <w:rFonts w:hint="default"/>
          <w:lang w:val="ru-RU"/>
        </w:rPr>
        <w:t xml:space="preserve"> даты заключения контракта в течение 20 календарных дней</w:t>
      </w:r>
      <w:bookmarkStart w:id="3" w:name="_GoBack"/>
      <w:bookmarkEnd w:id="3"/>
      <w:r>
        <w:t>.</w:t>
      </w:r>
      <w:r>
        <w:rPr>
          <w:color w:val="FF0000"/>
        </w:rPr>
        <w:t xml:space="preserve"> </w:t>
      </w:r>
    </w:p>
    <w:p w14:paraId="0FD8F6FF">
      <w:pPr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5.1.1. Дата начала исполнения контракта: с даты заключения контракта. </w:t>
      </w:r>
    </w:p>
    <w:p w14:paraId="47183EF4">
      <w:pPr>
        <w:ind w:firstLine="709"/>
        <w:jc w:val="both"/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</w:pPr>
      <w:r>
        <w:t xml:space="preserve">5.2. </w:t>
      </w:r>
      <w:r>
        <w:rPr>
          <w:lang w:val="ru-RU"/>
        </w:rPr>
        <w:t>Место</w:t>
      </w:r>
      <w:r>
        <w:rPr>
          <w:rFonts w:hint="default"/>
          <w:lang w:val="ru-RU"/>
        </w:rPr>
        <w:t xml:space="preserve"> оказания услуг: г. Хабаровск ул. Дикопольцева, д. 56 (номера кабинетов указаны в Приложении к Технической части)</w:t>
      </w:r>
    </w:p>
    <w:p w14:paraId="57A29391">
      <w:pPr>
        <w:tabs>
          <w:tab w:val="left" w:pos="709"/>
        </w:tabs>
        <w:jc w:val="center"/>
        <w:rPr>
          <w:b/>
        </w:rPr>
      </w:pPr>
    </w:p>
    <w:p w14:paraId="694B53B9">
      <w:pPr>
        <w:numPr>
          <w:ilvl w:val="0"/>
          <w:numId w:val="2"/>
        </w:numPr>
        <w:tabs>
          <w:tab w:val="left" w:pos="709"/>
        </w:tabs>
        <w:jc w:val="center"/>
        <w:rPr>
          <w:b/>
        </w:rPr>
      </w:pPr>
      <w:r>
        <w:rPr>
          <w:b/>
        </w:rPr>
        <w:t xml:space="preserve">ПОРЯДОК ПРИЕМКИ </w:t>
      </w:r>
      <w:r>
        <w:rPr>
          <w:b/>
          <w:lang w:val="ru-RU"/>
        </w:rPr>
        <w:t>ОКАЗАННЫХ</w:t>
      </w:r>
      <w:r>
        <w:rPr>
          <w:rFonts w:hint="default"/>
          <w:b/>
          <w:lang w:val="ru-RU"/>
        </w:rPr>
        <w:t xml:space="preserve"> УСЛУГ</w:t>
      </w:r>
    </w:p>
    <w:p w14:paraId="63640DB6">
      <w:pPr>
        <w:numPr>
          <w:ilvl w:val="0"/>
          <w:numId w:val="0"/>
        </w:numPr>
        <w:tabs>
          <w:tab w:val="left" w:pos="709"/>
        </w:tabs>
        <w:jc w:val="both"/>
        <w:rPr>
          <w:b/>
        </w:rPr>
      </w:pPr>
    </w:p>
    <w:p w14:paraId="4EA52188">
      <w:pPr>
        <w:ind w:firstLine="709"/>
        <w:jc w:val="both"/>
      </w:pPr>
      <w:r>
        <w:t xml:space="preserve">6.1. Приемка </w:t>
      </w:r>
      <w:r>
        <w:rPr>
          <w:lang w:val="ru-RU"/>
        </w:rPr>
        <w:t>оказанных</w:t>
      </w:r>
      <w:r>
        <w:rPr>
          <w:rFonts w:hint="default"/>
          <w:lang w:val="ru-RU"/>
        </w:rPr>
        <w:t xml:space="preserve"> услуг</w:t>
      </w:r>
      <w:r>
        <w:t xml:space="preserve"> по настоящему контракту на соответствие их требованиям, установленным в настоящем контракте, осуществляется по окончании </w:t>
      </w:r>
      <w:r>
        <w:rPr>
          <w:lang w:val="ru-RU"/>
        </w:rPr>
        <w:t>их</w:t>
      </w:r>
      <w:r>
        <w:rPr>
          <w:rFonts w:hint="default"/>
          <w:lang w:val="ru-RU"/>
        </w:rPr>
        <w:t xml:space="preserve"> оказания </w:t>
      </w:r>
      <w:r>
        <w:t>на основании документа о приемке.</w:t>
      </w:r>
    </w:p>
    <w:p w14:paraId="1303FD07">
      <w:pPr>
        <w:ind w:firstLine="709"/>
        <w:jc w:val="both"/>
        <w:rPr>
          <w:rFonts w:eastAsia="Calibri"/>
          <w:lang w:eastAsia="en-US"/>
        </w:rPr>
      </w:pPr>
      <w:r>
        <w:t xml:space="preserve">6.2. </w:t>
      </w:r>
      <w:r>
        <w:rPr>
          <w:rFonts w:eastAsia="Calibri"/>
          <w:bCs/>
          <w:iCs/>
        </w:rPr>
        <w:t xml:space="preserve">К </w:t>
      </w:r>
      <w:r>
        <w:rPr>
          <w:rFonts w:eastAsia="Calibri"/>
        </w:rPr>
        <w:t>документу о приемке</w:t>
      </w:r>
      <w:r>
        <w:rPr>
          <w:rFonts w:eastAsia="Calibri"/>
          <w:bCs/>
          <w:iCs/>
        </w:rPr>
        <w:t xml:space="preserve"> могут прилагаться документы, которые считаются его неотъемлемой частью. </w:t>
      </w:r>
      <w:r>
        <w:rPr>
          <w:rFonts w:eastAsia="Calibri"/>
          <w:lang w:eastAsia="en-US"/>
        </w:rPr>
        <w:t>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4FE48B55">
      <w:pPr>
        <w:ind w:firstLine="709"/>
        <w:jc w:val="both"/>
        <w:rPr>
          <w:rFonts w:ascii="Verdana" w:hAnsi="Verdana"/>
          <w:sz w:val="21"/>
          <w:szCs w:val="21"/>
        </w:rPr>
      </w:pPr>
      <w:r>
        <w:t>6.</w:t>
      </w:r>
      <w:r>
        <w:rPr>
          <w:rFonts w:hint="default"/>
          <w:lang w:val="ru-RU"/>
        </w:rPr>
        <w:t>3</w:t>
      </w:r>
      <w:r>
        <w:t xml:space="preserve">. Заказчик проводит проверку предоставленных результатов </w:t>
      </w:r>
      <w:r>
        <w:rPr>
          <w:lang w:val="ru-RU"/>
        </w:rPr>
        <w:t>оказанных</w:t>
      </w:r>
      <w:r>
        <w:rPr>
          <w:rFonts w:hint="default"/>
          <w:lang w:val="ru-RU"/>
        </w:rPr>
        <w:t xml:space="preserve"> услуг</w:t>
      </w:r>
      <w:r>
        <w:t>, предусмотренных контрактом, в части их соответствия условиям контракта.</w:t>
      </w:r>
    </w:p>
    <w:p w14:paraId="0E16D06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>
        <w:rPr>
          <w:rFonts w:hint="default" w:eastAsia="Calibri"/>
          <w:lang w:val="ru-RU" w:eastAsia="en-US"/>
        </w:rPr>
        <w:t>4</w:t>
      </w:r>
      <w:r>
        <w:rPr>
          <w:rFonts w:eastAsia="Calibri"/>
          <w:lang w:eastAsia="en-US"/>
        </w:rPr>
        <w:t xml:space="preserve">. По решению Заказчика для приемки </w:t>
      </w:r>
      <w:r>
        <w:rPr>
          <w:rFonts w:eastAsia="Calibri"/>
          <w:lang w:val="ru-RU" w:eastAsia="en-US"/>
        </w:rPr>
        <w:t>оказанных</w:t>
      </w:r>
      <w:r>
        <w:rPr>
          <w:rFonts w:hint="default" w:eastAsia="Calibri"/>
          <w:lang w:val="ru-RU" w:eastAsia="en-US"/>
        </w:rPr>
        <w:t xml:space="preserve"> услуг</w:t>
      </w:r>
      <w:r>
        <w:rPr>
          <w:rFonts w:eastAsia="Calibri"/>
          <w:lang w:eastAsia="en-US"/>
        </w:rPr>
        <w:t xml:space="preserve"> может создаваться приемочная комиссия, которая состоит не менее чем из пяти человек.</w:t>
      </w:r>
    </w:p>
    <w:p w14:paraId="31909F0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</w:t>
      </w:r>
      <w:r>
        <w:rPr>
          <w:rFonts w:hint="default" w:eastAsia="Calibri"/>
          <w:lang w:val="ru-RU" w:eastAsia="en-US"/>
        </w:rPr>
        <w:t>5</w:t>
      </w:r>
      <w:r>
        <w:rPr>
          <w:rFonts w:eastAsia="Calibri"/>
          <w:lang w:eastAsia="en-US"/>
        </w:rPr>
        <w:t xml:space="preserve">. В случае привлечения Заказчиком для проведения экспертизы экспертов, экспертных организаций при принятии решения о приемке или об отказе в приемке </w:t>
      </w:r>
      <w:r>
        <w:rPr>
          <w:rFonts w:eastAsia="Calibri"/>
          <w:lang w:val="ru-RU" w:eastAsia="en-US"/>
        </w:rPr>
        <w:t>оказанных</w:t>
      </w:r>
      <w:r>
        <w:rPr>
          <w:rFonts w:hint="default" w:eastAsia="Calibri"/>
          <w:lang w:val="ru-RU" w:eastAsia="en-US"/>
        </w:rPr>
        <w:t xml:space="preserve"> услуг</w:t>
      </w:r>
      <w:r>
        <w:rPr>
          <w:rFonts w:eastAsia="Calibri"/>
          <w:lang w:eastAsia="en-US"/>
        </w:rPr>
        <w:t xml:space="preserve">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31E4A5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6.9. В случае получения мотивированного отказа от подписания документа о приемке </w:t>
      </w:r>
      <w:r>
        <w:rPr>
          <w:rFonts w:eastAsia="Calibri"/>
          <w:lang w:val="ru-RU"/>
        </w:rPr>
        <w:t>Исполнитель</w:t>
      </w:r>
      <w:r>
        <w:rPr>
          <w:rFonts w:eastAsia="Calibri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</w:t>
      </w:r>
      <w:r>
        <w:rPr>
          <w:rFonts w:eastAsia="Calibri"/>
          <w:lang w:val="ru-RU"/>
        </w:rPr>
        <w:t>законодательством</w:t>
      </w:r>
      <w:r>
        <w:rPr>
          <w:rFonts w:hint="default" w:eastAsia="Calibri"/>
          <w:lang w:val="ru-RU"/>
        </w:rPr>
        <w:t xml:space="preserve"> РФ</w:t>
      </w:r>
      <w:r>
        <w:rPr>
          <w:rFonts w:eastAsia="Calibri"/>
        </w:rPr>
        <w:t>.</w:t>
      </w:r>
    </w:p>
    <w:p w14:paraId="2D02662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7F1BFC54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leftChars="0" w:firstLine="0" w:firstLineChars="0"/>
        <w:jc w:val="center"/>
        <w:rPr>
          <w:b/>
        </w:rPr>
      </w:pPr>
      <w:r>
        <w:rPr>
          <w:b/>
        </w:rPr>
        <w:t>ГАРАНТИЙНЫЕ ОБЯЗАТЕЛЬСТВА</w:t>
      </w:r>
    </w:p>
    <w:p w14:paraId="0A463C72">
      <w:pPr>
        <w:widowControl w:val="0"/>
        <w:spacing w:after="160"/>
        <w:ind w:left="-567" w:firstLine="567"/>
        <w:contextualSpacing/>
        <w:jc w:val="both"/>
        <w:rPr>
          <w:sz w:val="24"/>
          <w:szCs w:val="24"/>
        </w:rPr>
      </w:pPr>
    </w:p>
    <w:p w14:paraId="213A9602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7.1. </w:t>
      </w:r>
      <w:r>
        <w:rPr>
          <w:rFonts w:hint="default" w:ascii="Times New Roman" w:hAnsi="Times New Roman" w:cs="Times New Roman"/>
          <w:sz w:val="24"/>
          <w:szCs w:val="24"/>
        </w:rPr>
        <w:t xml:space="preserve">Гарантийный срок на монтаж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 xml:space="preserve"> месяц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ев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Начало гарантийного периода исчисляется с даты подписания Заказчиком документов о приемке. </w:t>
      </w:r>
    </w:p>
    <w:p w14:paraId="231BB7FE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.2. Если в течение гарантийного срока, будут обнаружены недостатки  монтажа, заказчик уведомляет об этом </w:t>
      </w:r>
      <w:r>
        <w:rPr>
          <w:rFonts w:hint="default" w:cs="Times New Roman"/>
          <w:sz w:val="24"/>
          <w:szCs w:val="24"/>
          <w:lang w:val="ru-RU"/>
        </w:rPr>
        <w:t>Исполнителя</w:t>
      </w:r>
      <w:r>
        <w:rPr>
          <w:rFonts w:hint="default" w:ascii="Times New Roman" w:hAnsi="Times New Roman" w:cs="Times New Roman"/>
          <w:sz w:val="24"/>
          <w:szCs w:val="24"/>
        </w:rPr>
        <w:t xml:space="preserve"> в порядке, предусмотренном Контрактом для направления уведомлений.</w:t>
      </w:r>
    </w:p>
    <w:p w14:paraId="1138474B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.3. Не позднее 10-го дня со дня получения </w:t>
      </w:r>
      <w:r>
        <w:rPr>
          <w:rFonts w:hint="default" w:cs="Times New Roman"/>
          <w:sz w:val="24"/>
          <w:szCs w:val="24"/>
          <w:lang w:val="ru-RU"/>
        </w:rPr>
        <w:t>Исполнителя</w:t>
      </w:r>
      <w:r>
        <w:rPr>
          <w:rFonts w:hint="default" w:ascii="Times New Roman" w:hAnsi="Times New Roman" w:cs="Times New Roman"/>
          <w:sz w:val="24"/>
          <w:szCs w:val="24"/>
        </w:rPr>
        <w:t xml:space="preserve"> уведомления о выявленных недостатках (дефектах) стороны составляют акт о выявленных недостатках (дефектах) с указанием таких недостатков (дефектов), причин их возникновения, порядка и сроков их устранения.</w:t>
      </w:r>
    </w:p>
    <w:p w14:paraId="2046F973">
      <w:pPr>
        <w:ind w:firstLine="709"/>
        <w:jc w:val="both"/>
      </w:pPr>
    </w:p>
    <w:p w14:paraId="79A0EECC">
      <w:pPr>
        <w:autoSpaceDE w:val="0"/>
        <w:autoSpaceDN w:val="0"/>
        <w:adjustRightInd w:val="0"/>
        <w:ind w:firstLine="709"/>
        <w:jc w:val="center"/>
        <w:rPr>
          <w:b/>
          <w:spacing w:val="-3"/>
        </w:rPr>
      </w:pPr>
      <w:r>
        <w:rPr>
          <w:rFonts w:hint="default"/>
          <w:b/>
          <w:spacing w:val="-3"/>
          <w:lang w:val="ru-RU"/>
        </w:rPr>
        <w:t>8</w:t>
      </w:r>
      <w:r>
        <w:rPr>
          <w:b/>
          <w:spacing w:val="-3"/>
        </w:rPr>
        <w:t>. ОТВЕТСТВЕННОСТЬ СТОРОН</w:t>
      </w:r>
    </w:p>
    <w:p w14:paraId="57A6739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rFonts w:hint="default"/>
          <w:lang w:val="ru-RU"/>
        </w:rPr>
        <w:t>8</w:t>
      </w:r>
      <w: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536ED236">
      <w:pPr>
        <w:pStyle w:val="17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14:paraId="4A71165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9</w:t>
      </w:r>
      <w:r>
        <w:rPr>
          <w:b/>
        </w:rPr>
        <w:t>. ПРИЛОЖЕНИЯ К КОНТРАКТУ</w:t>
      </w:r>
    </w:p>
    <w:p w14:paraId="7A29ABDA">
      <w:pPr>
        <w:tabs>
          <w:tab w:val="left" w:pos="709"/>
        </w:tabs>
        <w:ind w:firstLine="709"/>
      </w:pPr>
      <w:r>
        <w:t xml:space="preserve">16.1. Приложение 1. Спецификация – на </w:t>
      </w:r>
      <w:r>
        <w:rPr>
          <w:rFonts w:hint="default"/>
          <w:lang w:val="ru-RU"/>
        </w:rPr>
        <w:t>1</w:t>
      </w:r>
      <w:r>
        <w:t xml:space="preserve"> л.   </w:t>
      </w:r>
    </w:p>
    <w:p w14:paraId="7CF95597">
      <w:pPr>
        <w:tabs>
          <w:tab w:val="left" w:pos="709"/>
        </w:tabs>
        <w:ind w:firstLine="709"/>
      </w:pPr>
      <w:r>
        <w:t xml:space="preserve">16.2. Приложение 2. Техническая часть – на </w:t>
      </w:r>
      <w:r>
        <w:rPr>
          <w:rFonts w:hint="default"/>
          <w:lang w:val="ru-RU"/>
        </w:rPr>
        <w:t>1</w:t>
      </w:r>
      <w:r>
        <w:t xml:space="preserve"> л.</w:t>
      </w:r>
    </w:p>
    <w:p w14:paraId="76A1C7FD">
      <w:pPr>
        <w:pStyle w:val="17"/>
        <w:ind w:firstLine="0"/>
        <w:rPr>
          <w:rFonts w:ascii="Times New Roman" w:hAnsi="Times New Roman"/>
          <w:b/>
          <w:sz w:val="24"/>
          <w:szCs w:val="24"/>
        </w:rPr>
      </w:pPr>
    </w:p>
    <w:p w14:paraId="53E3906E">
      <w:pPr>
        <w:pStyle w:val="17"/>
        <w:numPr>
          <w:ilvl w:val="0"/>
          <w:numId w:val="3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МЕСТОНАХОЖДЕНИЕ И БАНКОВСКИЕ РЕКВИЗИТЫ  СТОРОН</w:t>
      </w:r>
    </w:p>
    <w:p w14:paraId="274C1F16">
      <w:pPr>
        <w:pStyle w:val="17"/>
        <w:widowControl w:val="0"/>
        <w:numPr>
          <w:ilvl w:val="0"/>
          <w:numId w:val="0"/>
        </w:num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672E5C2E">
      <w:pPr>
        <w:pStyle w:val="17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pPr w:leftFromText="180" w:rightFromText="180" w:vertAnchor="text" w:horzAnchor="page" w:tblpX="1144" w:tblpY="328"/>
        <w:tblOverlap w:val="never"/>
        <w:tblW w:w="102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819"/>
      </w:tblGrid>
      <w:tr w14:paraId="306B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738C139D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ЗАКАЗЧИК</w:t>
            </w:r>
          </w:p>
        </w:tc>
        <w:tc>
          <w:tcPr>
            <w:tcW w:w="4819" w:type="dxa"/>
          </w:tcPr>
          <w:p w14:paraId="46226435">
            <w:pPr>
              <w:rPr>
                <w:rFonts w:hint="default"/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ИСПОЛНИТЕЛЬ</w:t>
            </w:r>
          </w:p>
        </w:tc>
      </w:tr>
    </w:tbl>
    <w:p w14:paraId="13F0ADE2"/>
    <w:p w14:paraId="6CAF75C6">
      <w:pPr>
        <w:ind w:left="7082"/>
        <w:jc w:val="both"/>
        <w:rPr>
          <w:sz w:val="20"/>
          <w:szCs w:val="20"/>
        </w:rPr>
      </w:pPr>
    </w:p>
    <w:p w14:paraId="262B52E8">
      <w:pPr>
        <w:ind w:left="7082"/>
        <w:jc w:val="both"/>
        <w:rPr>
          <w:sz w:val="20"/>
          <w:szCs w:val="20"/>
        </w:rPr>
      </w:pPr>
    </w:p>
    <w:p w14:paraId="1AA2FA66">
      <w:pPr>
        <w:ind w:left="7082"/>
        <w:jc w:val="both"/>
        <w:rPr>
          <w:sz w:val="20"/>
          <w:szCs w:val="20"/>
        </w:rPr>
      </w:pPr>
    </w:p>
    <w:p w14:paraId="0F070207">
      <w:pPr>
        <w:ind w:left="7082"/>
        <w:jc w:val="both"/>
        <w:rPr>
          <w:sz w:val="20"/>
          <w:szCs w:val="20"/>
        </w:rPr>
      </w:pPr>
    </w:p>
    <w:p w14:paraId="2C72F225">
      <w:pPr>
        <w:ind w:left="7082"/>
        <w:jc w:val="both"/>
        <w:rPr>
          <w:sz w:val="20"/>
          <w:szCs w:val="20"/>
        </w:rPr>
      </w:pPr>
    </w:p>
    <w:p w14:paraId="0835EC0D">
      <w:pPr>
        <w:ind w:left="7082"/>
        <w:jc w:val="both"/>
        <w:rPr>
          <w:sz w:val="20"/>
          <w:szCs w:val="20"/>
        </w:rPr>
      </w:pPr>
    </w:p>
    <w:p w14:paraId="3FE91D9D">
      <w:pPr>
        <w:ind w:left="7082"/>
        <w:jc w:val="both"/>
        <w:rPr>
          <w:sz w:val="20"/>
          <w:szCs w:val="20"/>
        </w:rPr>
      </w:pPr>
    </w:p>
    <w:p w14:paraId="351967B9">
      <w:pPr>
        <w:ind w:left="7082"/>
        <w:jc w:val="both"/>
        <w:rPr>
          <w:sz w:val="20"/>
          <w:szCs w:val="20"/>
        </w:rPr>
      </w:pPr>
    </w:p>
    <w:p w14:paraId="4D90E560">
      <w:pPr>
        <w:ind w:left="7082"/>
        <w:jc w:val="both"/>
        <w:rPr>
          <w:sz w:val="20"/>
          <w:szCs w:val="20"/>
        </w:rPr>
      </w:pPr>
    </w:p>
    <w:p w14:paraId="223CC87D">
      <w:pPr>
        <w:ind w:left="7082"/>
        <w:jc w:val="both"/>
        <w:rPr>
          <w:sz w:val="20"/>
          <w:szCs w:val="20"/>
        </w:rPr>
      </w:pPr>
    </w:p>
    <w:p w14:paraId="4FC9E851">
      <w:pPr>
        <w:ind w:left="7082"/>
        <w:jc w:val="both"/>
        <w:rPr>
          <w:sz w:val="20"/>
          <w:szCs w:val="20"/>
        </w:rPr>
      </w:pPr>
    </w:p>
    <w:p w14:paraId="24D8D7B2">
      <w:pPr>
        <w:ind w:left="7082"/>
        <w:jc w:val="both"/>
        <w:rPr>
          <w:sz w:val="20"/>
          <w:szCs w:val="20"/>
        </w:rPr>
      </w:pPr>
    </w:p>
    <w:p w14:paraId="0FB3FF93">
      <w:pPr>
        <w:ind w:left="7082"/>
        <w:jc w:val="both"/>
        <w:rPr>
          <w:sz w:val="20"/>
          <w:szCs w:val="20"/>
        </w:rPr>
      </w:pPr>
    </w:p>
    <w:p w14:paraId="630142E8">
      <w:pPr>
        <w:ind w:left="7082"/>
        <w:jc w:val="both"/>
        <w:rPr>
          <w:sz w:val="20"/>
          <w:szCs w:val="20"/>
        </w:rPr>
      </w:pPr>
    </w:p>
    <w:p w14:paraId="018E7A8D">
      <w:pPr>
        <w:ind w:left="7082"/>
        <w:jc w:val="both"/>
        <w:rPr>
          <w:sz w:val="20"/>
          <w:szCs w:val="20"/>
        </w:rPr>
      </w:pPr>
    </w:p>
    <w:p w14:paraId="023B6C1E">
      <w:pPr>
        <w:ind w:left="7082"/>
        <w:jc w:val="both"/>
        <w:rPr>
          <w:sz w:val="20"/>
          <w:szCs w:val="20"/>
        </w:rPr>
      </w:pPr>
    </w:p>
    <w:p w14:paraId="13E3B344">
      <w:pPr>
        <w:ind w:left="7082"/>
        <w:jc w:val="both"/>
        <w:rPr>
          <w:sz w:val="20"/>
          <w:szCs w:val="20"/>
        </w:rPr>
      </w:pPr>
    </w:p>
    <w:p w14:paraId="23C68072">
      <w:pPr>
        <w:ind w:left="7082"/>
        <w:jc w:val="both"/>
        <w:rPr>
          <w:sz w:val="20"/>
          <w:szCs w:val="20"/>
        </w:rPr>
      </w:pPr>
    </w:p>
    <w:p w14:paraId="38B69C77">
      <w:pPr>
        <w:ind w:left="7082"/>
        <w:jc w:val="both"/>
        <w:rPr>
          <w:sz w:val="20"/>
          <w:szCs w:val="20"/>
        </w:rPr>
      </w:pPr>
    </w:p>
    <w:p w14:paraId="7685F92E">
      <w:pPr>
        <w:ind w:left="7082"/>
        <w:jc w:val="both"/>
        <w:rPr>
          <w:sz w:val="20"/>
          <w:szCs w:val="20"/>
        </w:rPr>
      </w:pPr>
    </w:p>
    <w:p w14:paraId="3BBC2CA2">
      <w:pPr>
        <w:ind w:left="7082"/>
        <w:jc w:val="both"/>
        <w:rPr>
          <w:sz w:val="20"/>
          <w:szCs w:val="20"/>
        </w:rPr>
      </w:pPr>
    </w:p>
    <w:p w14:paraId="7063686F">
      <w:pPr>
        <w:ind w:left="7082"/>
        <w:jc w:val="both"/>
        <w:rPr>
          <w:sz w:val="20"/>
          <w:szCs w:val="20"/>
        </w:rPr>
      </w:pPr>
    </w:p>
    <w:p w14:paraId="0C5B3FE4">
      <w:pPr>
        <w:ind w:left="7082"/>
        <w:jc w:val="both"/>
        <w:rPr>
          <w:sz w:val="20"/>
          <w:szCs w:val="20"/>
        </w:rPr>
      </w:pPr>
    </w:p>
    <w:p w14:paraId="5638A969">
      <w:pPr>
        <w:ind w:left="7082"/>
        <w:jc w:val="both"/>
        <w:rPr>
          <w:sz w:val="20"/>
          <w:szCs w:val="20"/>
        </w:rPr>
      </w:pPr>
    </w:p>
    <w:p w14:paraId="0A2DF63C">
      <w:pPr>
        <w:ind w:left="7082"/>
        <w:jc w:val="both"/>
        <w:rPr>
          <w:sz w:val="20"/>
          <w:szCs w:val="20"/>
        </w:rPr>
      </w:pPr>
    </w:p>
    <w:p w14:paraId="6F9DC88D">
      <w:pPr>
        <w:ind w:left="7082"/>
        <w:jc w:val="both"/>
        <w:rPr>
          <w:sz w:val="20"/>
          <w:szCs w:val="20"/>
        </w:rPr>
      </w:pPr>
    </w:p>
    <w:p w14:paraId="45249767">
      <w:pPr>
        <w:ind w:left="7082"/>
        <w:jc w:val="both"/>
        <w:rPr>
          <w:sz w:val="20"/>
          <w:szCs w:val="20"/>
        </w:rPr>
      </w:pPr>
    </w:p>
    <w:p w14:paraId="29D712C0">
      <w:pPr>
        <w:ind w:left="7082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1 к контракту</w:t>
      </w:r>
    </w:p>
    <w:p w14:paraId="0072570F">
      <w:pPr>
        <w:ind w:left="7082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sz w:val="20"/>
          <w:szCs w:val="20"/>
        </w:rPr>
        <w:t xml:space="preserve">от________ </w:t>
      </w:r>
      <w:r>
        <w:rPr>
          <w:rFonts w:hint="default" w:ascii="Times New Roman" w:hAnsi="Times New Roman" w:cs="Times New Roman"/>
          <w:sz w:val="20"/>
          <w:szCs w:val="20"/>
        </w:rPr>
        <w:t>№</w:t>
      </w:r>
      <w:r>
        <w:rPr>
          <w:rFonts w:hint="default" w:eastAsia="Roboto" w:cs="Times New Roman"/>
          <w:i w:val="0"/>
          <w:iCs w:val="0"/>
          <w:caps w:val="0"/>
          <w:spacing w:val="0"/>
          <w:sz w:val="20"/>
          <w:szCs w:val="20"/>
          <w:u w:val="none"/>
          <w:shd w:val="clear" w:fill="FFFFFF"/>
          <w:lang w:val="ru-RU"/>
        </w:rPr>
        <w:t xml:space="preserve"> </w:t>
      </w:r>
    </w:p>
    <w:p w14:paraId="5A5F53A3">
      <w:pPr>
        <w:jc w:val="center"/>
        <w:rPr>
          <w:b/>
        </w:rPr>
      </w:pPr>
      <w:r>
        <w:rPr>
          <w:b/>
        </w:rPr>
        <w:t>СПЕЦИФИКАЦИ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Я</w:t>
      </w:r>
    </w:p>
    <w:p w14:paraId="5E627B8B">
      <w:pPr>
        <w:jc w:val="both"/>
      </w:pPr>
    </w:p>
    <w:tbl>
      <w:tblPr>
        <w:tblStyle w:val="13"/>
        <w:tblW w:w="97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222"/>
        <w:gridCol w:w="1292"/>
        <w:gridCol w:w="1489"/>
        <w:gridCol w:w="1759"/>
        <w:gridCol w:w="1177"/>
      </w:tblGrid>
      <w:tr w14:paraId="62F98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4B3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32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28635B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услуги </w:t>
            </w:r>
          </w:p>
          <w:p w14:paraId="3D418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1E84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4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2F3E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7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159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Цена за ед. 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eastAsia="en-US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CFC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Сумма (руб.)</w:t>
            </w:r>
          </w:p>
        </w:tc>
      </w:tr>
      <w:tr w14:paraId="37B86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B23E3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  <w:r>
              <w:rPr>
                <w:rFonts w:hint="default" w:cs="Times New Roman"/>
                <w:sz w:val="24"/>
                <w:lang w:val="ru-RU" w:eastAsia="en-US"/>
              </w:rPr>
              <w:t>1.</w:t>
            </w:r>
          </w:p>
        </w:tc>
        <w:tc>
          <w:tcPr>
            <w:tcW w:w="32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245E42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2DB3D5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97C2E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7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019FB7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4DF69">
            <w:pPr>
              <w:jc w:val="both"/>
              <w:rPr>
                <w:rFonts w:hint="default" w:ascii="Times New Roman" w:hAnsi="Times New Roman" w:cs="Times New Roman"/>
                <w:sz w:val="24"/>
                <w:lang w:val="ru-RU" w:eastAsia="en-US"/>
              </w:rPr>
            </w:pPr>
          </w:p>
        </w:tc>
      </w:tr>
      <w:tr w14:paraId="4EB44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00F0D4">
            <w:pPr>
              <w:autoSpaceDE w:val="0"/>
              <w:autoSpaceDN w:val="0"/>
              <w:adjustRightInd w:val="0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Итого: </w:t>
            </w:r>
          </w:p>
          <w:p w14:paraId="4107CD85">
            <w:pPr>
              <w:jc w:val="both"/>
              <w:rPr>
                <w:rFonts w:hint="default" w:asciiTheme="minorHAnsi" w:hAnsiTheme="minorHAnsi" w:cstheme="minorBidi"/>
                <w:sz w:val="22"/>
                <w:lang w:val="ru-RU" w:eastAsia="en-US"/>
              </w:rPr>
            </w:pPr>
          </w:p>
        </w:tc>
      </w:tr>
    </w:tbl>
    <w:p w14:paraId="50B1DF2C">
      <w:pPr>
        <w:jc w:val="both"/>
        <w:rPr>
          <w:b/>
        </w:rPr>
      </w:pPr>
    </w:p>
    <w:p w14:paraId="3A251373">
      <w:pPr>
        <w:jc w:val="both"/>
        <w:rPr>
          <w:b/>
        </w:rPr>
      </w:pPr>
    </w:p>
    <w:p w14:paraId="3933AAA5">
      <w:pPr>
        <w:jc w:val="both"/>
        <w:rPr>
          <w:b/>
        </w:rPr>
      </w:pPr>
    </w:p>
    <w:tbl>
      <w:tblPr>
        <w:tblStyle w:val="4"/>
        <w:tblpPr w:leftFromText="180" w:rightFromText="180" w:vertAnchor="text" w:horzAnchor="page" w:tblpX="880" w:tblpY="72"/>
        <w:tblW w:w="11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5635"/>
      </w:tblGrid>
      <w:tr w14:paraId="0E0E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405" w:type="dxa"/>
          </w:tcPr>
          <w:p w14:paraId="4BC1627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hint="default" w:eastAsia="Calibri"/>
                <w:b/>
                <w:bCs/>
                <w:lang w:val="ru-RU"/>
              </w:rPr>
            </w:pPr>
            <w:bookmarkStart w:id="2" w:name="_Hlk178258094"/>
            <w:r>
              <w:rPr>
                <w:rFonts w:eastAsia="Calibri"/>
                <w:b/>
                <w:bCs/>
                <w:lang w:val="ru-RU"/>
              </w:rPr>
              <w:t>Исполнитель</w:t>
            </w:r>
          </w:p>
        </w:tc>
        <w:tc>
          <w:tcPr>
            <w:tcW w:w="5635" w:type="dxa"/>
          </w:tcPr>
          <w:p w14:paraId="54EAABA5">
            <w:pPr>
              <w:ind w:firstLine="709"/>
              <w:rPr>
                <w:rFonts w:eastAsia="Calibri"/>
                <w:b/>
                <w:bCs/>
              </w:rPr>
            </w:pPr>
          </w:p>
          <w:p w14:paraId="49C7B8ED">
            <w:pPr>
              <w:ind w:firstLine="709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Заказчик</w:t>
            </w:r>
          </w:p>
        </w:tc>
      </w:tr>
      <w:tr w14:paraId="00C4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405" w:type="dxa"/>
          </w:tcPr>
          <w:p w14:paraId="1409AA2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</w:tc>
        <w:tc>
          <w:tcPr>
            <w:tcW w:w="5635" w:type="dxa"/>
          </w:tcPr>
          <w:p w14:paraId="50238A7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  <w:p w14:paraId="7E82F381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</w:tc>
      </w:tr>
      <w:tr w14:paraId="2CBF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5" w:type="dxa"/>
          </w:tcPr>
          <w:p w14:paraId="0FC6DF6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«___» ____________________ 20_ г.</w:t>
            </w:r>
          </w:p>
        </w:tc>
        <w:tc>
          <w:tcPr>
            <w:tcW w:w="5635" w:type="dxa"/>
          </w:tcPr>
          <w:p w14:paraId="5B74D93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«___» _______________________ 20_ г.</w:t>
            </w:r>
          </w:p>
        </w:tc>
      </w:tr>
      <w:tr w14:paraId="0900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5" w:type="dxa"/>
          </w:tcPr>
          <w:p w14:paraId="36FC74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  <w:tc>
          <w:tcPr>
            <w:tcW w:w="5635" w:type="dxa"/>
          </w:tcPr>
          <w:p w14:paraId="0E164FCC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</w:tr>
      <w:bookmarkEnd w:id="2"/>
    </w:tbl>
    <w:p w14:paraId="36532AD3">
      <w:pPr>
        <w:jc w:val="both"/>
        <w:rPr>
          <w:b/>
        </w:rPr>
      </w:pPr>
    </w:p>
    <w:p w14:paraId="116074EB">
      <w:pPr>
        <w:jc w:val="both"/>
        <w:rPr>
          <w:b/>
        </w:rPr>
      </w:pPr>
    </w:p>
    <w:p w14:paraId="2895654A">
      <w:pPr>
        <w:jc w:val="both"/>
        <w:rPr>
          <w:b/>
        </w:rPr>
      </w:pPr>
    </w:p>
    <w:p w14:paraId="157C5FB9">
      <w:pPr>
        <w:jc w:val="both"/>
        <w:rPr>
          <w:b/>
        </w:rPr>
      </w:pPr>
    </w:p>
    <w:p w14:paraId="04462B84">
      <w:pPr>
        <w:jc w:val="both"/>
        <w:rPr>
          <w:b/>
        </w:rPr>
      </w:pPr>
    </w:p>
    <w:p w14:paraId="543744FC">
      <w:pPr>
        <w:jc w:val="both"/>
        <w:rPr>
          <w:b/>
        </w:rPr>
      </w:pPr>
    </w:p>
    <w:p w14:paraId="17AF9F6A">
      <w:pPr>
        <w:jc w:val="both"/>
        <w:rPr>
          <w:b/>
        </w:rPr>
      </w:pPr>
    </w:p>
    <w:p w14:paraId="4D83143E">
      <w:pPr>
        <w:jc w:val="both"/>
        <w:rPr>
          <w:b/>
        </w:rPr>
      </w:pPr>
    </w:p>
    <w:p w14:paraId="268C5A9C">
      <w:pPr>
        <w:jc w:val="both"/>
        <w:rPr>
          <w:b/>
        </w:rPr>
      </w:pPr>
    </w:p>
    <w:p w14:paraId="76F20502">
      <w:pPr>
        <w:jc w:val="both"/>
        <w:rPr>
          <w:b/>
        </w:rPr>
      </w:pPr>
    </w:p>
    <w:p w14:paraId="56D75F5E">
      <w:pPr>
        <w:jc w:val="both"/>
        <w:rPr>
          <w:b/>
        </w:rPr>
      </w:pPr>
    </w:p>
    <w:p w14:paraId="7EA1AB9A">
      <w:pPr>
        <w:jc w:val="both"/>
        <w:rPr>
          <w:b/>
        </w:rPr>
      </w:pPr>
    </w:p>
    <w:p w14:paraId="786FDDED">
      <w:pPr>
        <w:jc w:val="both"/>
        <w:rPr>
          <w:b/>
        </w:rPr>
      </w:pPr>
    </w:p>
    <w:p w14:paraId="4933FFD4">
      <w:pPr>
        <w:jc w:val="both"/>
        <w:rPr>
          <w:b/>
        </w:rPr>
      </w:pPr>
    </w:p>
    <w:p w14:paraId="352865D2">
      <w:pPr>
        <w:jc w:val="both"/>
        <w:rPr>
          <w:b/>
        </w:rPr>
      </w:pPr>
    </w:p>
    <w:p w14:paraId="709C9D6B">
      <w:pPr>
        <w:jc w:val="both"/>
        <w:rPr>
          <w:b/>
        </w:rPr>
      </w:pPr>
    </w:p>
    <w:p w14:paraId="368EA0A1">
      <w:pPr>
        <w:jc w:val="both"/>
        <w:rPr>
          <w:b/>
        </w:rPr>
      </w:pPr>
    </w:p>
    <w:p w14:paraId="3F4622F7">
      <w:pPr>
        <w:jc w:val="both"/>
        <w:rPr>
          <w:b/>
        </w:rPr>
      </w:pPr>
    </w:p>
    <w:p w14:paraId="6B99AA91">
      <w:pPr>
        <w:jc w:val="both"/>
        <w:rPr>
          <w:b/>
        </w:rPr>
      </w:pPr>
    </w:p>
    <w:p w14:paraId="41DFB665">
      <w:pPr>
        <w:jc w:val="both"/>
        <w:rPr>
          <w:b/>
        </w:rPr>
      </w:pPr>
    </w:p>
    <w:p w14:paraId="2D75E43B">
      <w:pPr>
        <w:jc w:val="both"/>
        <w:rPr>
          <w:b/>
        </w:rPr>
      </w:pPr>
    </w:p>
    <w:p w14:paraId="6EDCFA31">
      <w:pPr>
        <w:jc w:val="both"/>
        <w:rPr>
          <w:b/>
        </w:rPr>
      </w:pPr>
    </w:p>
    <w:p w14:paraId="5CD7FD57">
      <w:pPr>
        <w:jc w:val="both"/>
        <w:rPr>
          <w:b/>
        </w:rPr>
      </w:pPr>
    </w:p>
    <w:p w14:paraId="781FE4B9">
      <w:pPr>
        <w:jc w:val="both"/>
        <w:rPr>
          <w:b/>
        </w:rPr>
      </w:pPr>
    </w:p>
    <w:p w14:paraId="21FFE071">
      <w:pPr>
        <w:jc w:val="both"/>
        <w:rPr>
          <w:b/>
        </w:rPr>
      </w:pPr>
    </w:p>
    <w:p w14:paraId="1867C103">
      <w:pPr>
        <w:jc w:val="both"/>
        <w:rPr>
          <w:b/>
        </w:rPr>
      </w:pPr>
    </w:p>
    <w:p w14:paraId="3DF1AF5F">
      <w:pPr>
        <w:jc w:val="both"/>
        <w:rPr>
          <w:b/>
        </w:rPr>
      </w:pPr>
    </w:p>
    <w:p w14:paraId="548E929D">
      <w:pPr>
        <w:jc w:val="both"/>
        <w:rPr>
          <w:b/>
        </w:rPr>
      </w:pPr>
    </w:p>
    <w:p w14:paraId="5E01BFED">
      <w:pPr>
        <w:ind w:left="7082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Приложение 2 к контракту</w:t>
      </w:r>
    </w:p>
    <w:p w14:paraId="31E3F4CE">
      <w:pPr>
        <w:ind w:left="7082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от________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№</w:t>
      </w:r>
      <w:r>
        <w:rPr>
          <w:rFonts w:hint="default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4CC1D447">
      <w:pPr>
        <w:spacing w:line="240" w:lineRule="exact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A33C1E4">
      <w:pPr>
        <w:spacing w:line="240" w:lineRule="exact"/>
        <w:jc w:val="center"/>
        <w:rPr>
          <w:b/>
        </w:rPr>
      </w:pPr>
      <w:r>
        <w:rPr>
          <w:b/>
        </w:rPr>
        <w:t>ТЕХНИЧЕСКАЯ ЧАСТЬ</w:t>
      </w:r>
    </w:p>
    <w:p w14:paraId="48E3F64E">
      <w:pPr>
        <w:autoSpaceDE w:val="0"/>
        <w:autoSpaceDN w:val="0"/>
        <w:adjustRightInd w:val="0"/>
        <w:ind w:firstLine="539"/>
        <w:jc w:val="center"/>
        <w:rPr>
          <w:bCs/>
          <w:lang w:eastAsia="en-US"/>
        </w:rPr>
      </w:pPr>
    </w:p>
    <w:tbl>
      <w:tblPr>
        <w:tblStyle w:val="4"/>
        <w:tblpPr w:leftFromText="180" w:rightFromText="180" w:vertAnchor="text" w:horzAnchor="page" w:tblpX="880" w:tblpY="72"/>
        <w:tblW w:w="11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5635"/>
      </w:tblGrid>
      <w:tr w14:paraId="41A5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405" w:type="dxa"/>
          </w:tcPr>
          <w:p w14:paraId="677B548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hint="default"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Исполнитель</w:t>
            </w:r>
          </w:p>
        </w:tc>
        <w:tc>
          <w:tcPr>
            <w:tcW w:w="5635" w:type="dxa"/>
          </w:tcPr>
          <w:p w14:paraId="26FACFF2">
            <w:pPr>
              <w:ind w:firstLine="709"/>
              <w:rPr>
                <w:rFonts w:eastAsia="Calibri"/>
                <w:b/>
                <w:bCs/>
              </w:rPr>
            </w:pPr>
          </w:p>
          <w:p w14:paraId="69B8786D">
            <w:pPr>
              <w:ind w:firstLine="709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Заказчик</w:t>
            </w:r>
          </w:p>
        </w:tc>
      </w:tr>
      <w:tr w14:paraId="1EBC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405" w:type="dxa"/>
          </w:tcPr>
          <w:p w14:paraId="1E3DE946">
            <w:pPr>
              <w:tabs>
                <w:tab w:val="left" w:pos="5628"/>
              </w:tabs>
              <w:rPr>
                <w:bCs/>
              </w:rPr>
            </w:pPr>
          </w:p>
          <w:p w14:paraId="0B35848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</w:tc>
        <w:tc>
          <w:tcPr>
            <w:tcW w:w="5635" w:type="dxa"/>
          </w:tcPr>
          <w:p w14:paraId="1AFB516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  <w:p w14:paraId="79664F1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</w:tc>
      </w:tr>
      <w:tr w14:paraId="5732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5" w:type="dxa"/>
          </w:tcPr>
          <w:p w14:paraId="0A854B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«___» ____________________ 20_ г.</w:t>
            </w:r>
          </w:p>
        </w:tc>
        <w:tc>
          <w:tcPr>
            <w:tcW w:w="5635" w:type="dxa"/>
          </w:tcPr>
          <w:p w14:paraId="7D1DC81C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«___» _______________________ 20_ г.</w:t>
            </w:r>
          </w:p>
        </w:tc>
      </w:tr>
      <w:tr w14:paraId="5A917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5" w:type="dxa"/>
          </w:tcPr>
          <w:p w14:paraId="3F96888B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  <w:tc>
          <w:tcPr>
            <w:tcW w:w="5635" w:type="dxa"/>
          </w:tcPr>
          <w:p w14:paraId="08DA93E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</w:tr>
    </w:tbl>
    <w:p w14:paraId="74AC2B47">
      <w:pPr>
        <w:tabs>
          <w:tab w:val="left" w:pos="2295"/>
        </w:tabs>
      </w:pPr>
    </w:p>
    <w:sectPr>
      <w:headerReference r:id="rId4" w:type="default"/>
      <w:pgSz w:w="11906" w:h="16838"/>
      <w:pgMar w:top="1174" w:right="720" w:bottom="1174" w:left="1684" w:header="708" w:footer="709" w:gutter="0"/>
      <w:cols w:space="0" w:num="1"/>
      <w:titlePg/>
      <w:rtlGutter w:val="0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ultant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4C740C78">
      <w:pPr>
        <w:pStyle w:val="8"/>
      </w:pPr>
    </w:p>
  </w:footnote>
  <w:footnote w:id="1">
    <w:p w14:paraId="40B9E0CA">
      <w:pPr>
        <w:pStyle w:val="8"/>
        <w:jc w:val="both"/>
      </w:pPr>
    </w:p>
  </w:footnote>
  <w:footnote w:id="2">
    <w:p w14:paraId="3E4BB4C6">
      <w:pPr>
        <w:widowControl w:val="0"/>
        <w:snapToGrid w:val="0"/>
        <w:jc w:val="both"/>
      </w:pPr>
      <w:r>
        <w:rPr>
          <w:rStyle w:val="5"/>
        </w:rPr>
        <w:footnoteRef/>
      </w:r>
      <w:r>
        <w:t xml:space="preserve"> </w:t>
      </w:r>
      <w:r>
        <w:rPr>
          <w:sz w:val="20"/>
          <w:szCs w:val="20"/>
        </w:rPr>
        <w:t>В случае если проектом контракта предусмотрена поставка нескольких позиций товара, то итоговая цена единицы товара по каждой позиции рассчитывается пропорционально коэффициенту снижения начальной (максимальной) цены контракта к цене контракта, предложенной победителем в ходе проведения аукциона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6178417"/>
      <w:docPartObj>
        <w:docPartGallery w:val="autotext"/>
      </w:docPartObj>
    </w:sdtPr>
    <w:sdtContent>
      <w:p w14:paraId="01BCC72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490702A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07B96"/>
    <w:multiLevelType w:val="singleLevel"/>
    <w:tmpl w:val="A0E07B96"/>
    <w:lvl w:ilvl="0" w:tentative="0">
      <w:start w:val="17"/>
      <w:numFmt w:val="decimal"/>
      <w:suff w:val="space"/>
      <w:lvlText w:val="%1."/>
      <w:lvlJc w:val="left"/>
    </w:lvl>
  </w:abstractNum>
  <w:abstractNum w:abstractNumId="1">
    <w:nsid w:val="A2CB9B84"/>
    <w:multiLevelType w:val="singleLevel"/>
    <w:tmpl w:val="A2CB9B8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6B1F9B1"/>
    <w:multiLevelType w:val="singleLevel"/>
    <w:tmpl w:val="B6B1F9B1"/>
    <w:lvl w:ilvl="0" w:tentative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6"/>
    <w:footnote w:id="7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C2"/>
    <w:rsid w:val="005E18C2"/>
    <w:rsid w:val="007B03B2"/>
    <w:rsid w:val="00892AB3"/>
    <w:rsid w:val="00D71D51"/>
    <w:rsid w:val="0BF169DD"/>
    <w:rsid w:val="10DE5847"/>
    <w:rsid w:val="17137397"/>
    <w:rsid w:val="239A7C66"/>
    <w:rsid w:val="23C06D7D"/>
    <w:rsid w:val="2572684A"/>
    <w:rsid w:val="264346FC"/>
    <w:rsid w:val="2CA34D0D"/>
    <w:rsid w:val="32B26621"/>
    <w:rsid w:val="3C355544"/>
    <w:rsid w:val="3D697D26"/>
    <w:rsid w:val="402B4DF9"/>
    <w:rsid w:val="426B3F09"/>
    <w:rsid w:val="43173D1D"/>
    <w:rsid w:val="493B3321"/>
    <w:rsid w:val="4E176EFD"/>
    <w:rsid w:val="58970DFB"/>
    <w:rsid w:val="5A9E2597"/>
    <w:rsid w:val="677604AF"/>
    <w:rsid w:val="67DB35E7"/>
    <w:rsid w:val="69F11685"/>
    <w:rsid w:val="7C3E1F66"/>
    <w:rsid w:val="7DB2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26"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9"/>
    <w:unhideWhenUsed/>
    <w:qFormat/>
    <w:uiPriority w:val="0"/>
    <w:pPr>
      <w:spacing w:after="120"/>
      <w:jc w:val="both"/>
    </w:pPr>
    <w:rPr>
      <w:szCs w:val="20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13">
    <w:name w:val="Table Grid"/>
    <w:basedOn w:val="4"/>
    <w:qFormat/>
    <w:uiPriority w:val="59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ConsPlusNormal"/>
    <w:link w:val="21"/>
    <w:qFormat/>
    <w:uiPriority w:val="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6">
    <w:name w:val="ConsNonformat"/>
    <w:qFormat/>
    <w:uiPriority w:val="0"/>
    <w:pPr>
      <w:widowControl w:val="0"/>
      <w:ind w:firstLine="0"/>
      <w:jc w:val="left"/>
    </w:pPr>
    <w:rPr>
      <w:rFonts w:ascii="Courier New" w:hAnsi="Courier New" w:eastAsia="Times New Roman" w:cs="Times New Roman"/>
      <w:snapToGrid w:val="0"/>
      <w:sz w:val="20"/>
      <w:szCs w:val="20"/>
      <w:lang w:val="ru-RU" w:eastAsia="ru-RU" w:bidi="ar-SA"/>
    </w:rPr>
  </w:style>
  <w:style w:type="paragraph" w:customStyle="1" w:styleId="17">
    <w:name w:val="ConsNormal"/>
    <w:link w:val="18"/>
    <w:qFormat/>
    <w:uiPriority w:val="0"/>
    <w:pPr>
      <w:widowControl w:val="0"/>
      <w:suppressAutoHyphens/>
      <w:ind w:firstLine="720"/>
      <w:jc w:val="left"/>
    </w:pPr>
    <w:rPr>
      <w:rFonts w:ascii="Consultant" w:hAnsi="Consultant" w:eastAsia="Arial" w:cs="Times New Roman"/>
      <w:sz w:val="28"/>
      <w:szCs w:val="22"/>
      <w:lang w:val="ru-RU" w:eastAsia="ar-SA" w:bidi="ar-SA"/>
    </w:rPr>
  </w:style>
  <w:style w:type="character" w:customStyle="1" w:styleId="18">
    <w:name w:val="ConsNormal Знак"/>
    <w:link w:val="17"/>
    <w:qFormat/>
    <w:uiPriority w:val="0"/>
    <w:rPr>
      <w:rFonts w:ascii="Consultant" w:hAnsi="Consultant" w:eastAsia="Arial"/>
      <w:sz w:val="28"/>
      <w:lang w:eastAsia="ar-SA"/>
    </w:rPr>
  </w:style>
  <w:style w:type="character" w:customStyle="1" w:styleId="19">
    <w:name w:val="Основной текст Знак"/>
    <w:basedOn w:val="3"/>
    <w:link w:val="10"/>
    <w:qFormat/>
    <w:uiPriority w:val="0"/>
    <w:rPr>
      <w:rFonts w:eastAsia="Times New Roman"/>
      <w:szCs w:val="20"/>
      <w:lang w:eastAsia="ru-RU"/>
    </w:rPr>
  </w:style>
  <w:style w:type="character" w:customStyle="1" w:styleId="20">
    <w:name w:val="Стиль (латиница) Arial 8 пт Синий"/>
    <w:qFormat/>
    <w:uiPriority w:val="99"/>
    <w:rPr>
      <w:rFonts w:hint="default" w:ascii="Times New Roman" w:hAnsi="Times New Roman" w:cs="Times New Roman"/>
      <w:color w:val="0000FF"/>
      <w:sz w:val="24"/>
    </w:rPr>
  </w:style>
  <w:style w:type="character" w:customStyle="1" w:styleId="21">
    <w:name w:val="ConsPlusNormal Знак"/>
    <w:link w:val="15"/>
    <w:qFormat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22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3">
    <w:name w:val="Верхний колонтитул Знак"/>
    <w:basedOn w:val="3"/>
    <w:link w:val="9"/>
    <w:qFormat/>
    <w:uiPriority w:val="99"/>
    <w:rPr>
      <w:rFonts w:eastAsia="Times New Roman"/>
      <w:szCs w:val="24"/>
      <w:lang w:eastAsia="ru-RU"/>
    </w:rPr>
  </w:style>
  <w:style w:type="character" w:customStyle="1" w:styleId="24">
    <w:name w:val="Нижний колонтитул Знак"/>
    <w:basedOn w:val="3"/>
    <w:link w:val="11"/>
    <w:qFormat/>
    <w:uiPriority w:val="99"/>
    <w:rPr>
      <w:rFonts w:eastAsia="Times New Roman"/>
      <w:szCs w:val="24"/>
      <w:lang w:eastAsia="ru-RU"/>
    </w:rPr>
  </w:style>
  <w:style w:type="paragraph" w:customStyle="1" w:styleId="25">
    <w:name w:val="Normal_0"/>
    <w:qFormat/>
    <w:uiPriority w:val="0"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6">
    <w:name w:val="Текст сноски Знак"/>
    <w:basedOn w:val="3"/>
    <w:link w:val="8"/>
    <w:qFormat/>
    <w:uiPriority w:val="99"/>
    <w:rPr>
      <w:rFonts w:eastAsia="Times New Roman"/>
      <w:sz w:val="20"/>
      <w:szCs w:val="20"/>
      <w:lang w:eastAsia="ru-RU"/>
    </w:rPr>
  </w:style>
  <w:style w:type="paragraph" w:styleId="27">
    <w:name w:val="No Spacing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Normal unindented"/>
    <w:qFormat/>
    <w:uiPriority w:val="0"/>
    <w:pPr>
      <w:spacing w:before="120" w:after="120" w:line="276" w:lineRule="auto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customStyle="1" w:styleId="29">
    <w:name w:val="Style5"/>
    <w:basedOn w:val="1"/>
    <w:qFormat/>
    <w:uiPriority w:val="99"/>
    <w:pPr>
      <w:spacing w:line="252" w:lineRule="exact"/>
      <w:ind w:firstLine="785"/>
      <w:jc w:val="both"/>
    </w:pPr>
  </w:style>
  <w:style w:type="character" w:customStyle="1" w:styleId="30">
    <w:name w:val="Font Style12"/>
    <w:basedOn w:val="3"/>
    <w:qFormat/>
    <w:uiPriority w:val="99"/>
    <w:rPr>
      <w:rFonts w:ascii="Times New Roman" w:hAnsi="Times New Roman" w:cs="Times New Roman"/>
      <w:sz w:val="20"/>
      <w:szCs w:val="20"/>
    </w:rPr>
  </w:style>
  <w:style w:type="paragraph" w:customStyle="1" w:styleId="31">
    <w:name w:val="Style6"/>
    <w:basedOn w:val="1"/>
    <w:qFormat/>
    <w:uiPriority w:val="99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6914-6614-44A8-8040-EA799AB35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gzakaz</Company>
  <Pages>5</Pages>
  <Words>925</Words>
  <Characters>6355</Characters>
  <Lines>320</Lines>
  <Paragraphs>90</Paragraphs>
  <TotalTime>2</TotalTime>
  <ScaleCrop>false</ScaleCrop>
  <LinksUpToDate>false</LinksUpToDate>
  <CharactersWithSpaces>7343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2025-01-30T23:31:00Z</dcterms:created>
  <dc:creator>gz29</dc:creator>
  <cp:lastModifiedBy>WPS_1777417676</cp:lastModifiedBy>
  <cp:lastPrinted>2014-01-21T06:28:00Z</cp:lastPrinted>
  <dcterms:modified xsi:type="dcterms:W3CDTF">2026-06-17T00:55:19Z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5D33C4BFD27B4662819487B64B9DA52F_13</vt:lpwstr>
  </property>
  <property fmtid="{D5CDD505-2E9C-101B-9397-08002B2CF9AE}" pid="4" name="KSOTemplateDocerSaveRecord">
    <vt:lpwstr>eyJoZGlkIjoiY2VmYzE4NmE0NDY1MmRlNjhiODUxZTEyMWNmYmNjODciLCJ1c2VySWQiOiI4MjQ2MzQ4ODM1MDkifQ==</vt:lpwstr>
  </property>
</Properties>
</file>