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ТЕХНИЧЕСКОЕ ЗАДАНИЕ</w:t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Оказание услуг по п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роведени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ю</w:t>
      </w: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 xml:space="preserve"> периодического медицинского осмотра»</w:t>
      </w:r>
    </w:p>
    <w:p>
      <w:pPr>
        <w:spacing w:after="0" w:line="240" w:lineRule="auto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0"/>
          <w:sz w:val="24"/>
          <w:szCs w:val="24"/>
        </w:rPr>
        <w:tab/>
      </w:r>
    </w:p>
    <w:p>
      <w:pPr>
        <w:spacing w:after="0" w:line="240" w:lineRule="auto"/>
        <w:rPr>
          <w:rFonts w:ascii="Times New Roman" w:hAnsi="Times New Roman" w:cs="Times New Roman" w:eastAsiaTheme="minorHAnsi"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ОКПД2: </w:t>
      </w:r>
      <w:r>
        <w:rPr>
          <w:rFonts w:ascii="Times New Roman" w:hAnsi="Times New Roman" w:cs="Times New Roman"/>
          <w:sz w:val="24"/>
          <w:szCs w:val="24"/>
        </w:rPr>
        <w:t xml:space="preserve">86.90</w:t>
      </w:r>
      <w:r>
        <w:rPr>
          <w:rFonts w:ascii="Times New Roman" w:hAnsi="Times New Roman" w:cs="Times New Roman" w:eastAsiaTheme="minorHAnsi"/>
          <w:iCs/>
          <w:sz w:val="24"/>
          <w:szCs w:val="24"/>
          <w:lang w:eastAsia="en-US"/>
        </w:rPr>
        <w:t xml:space="preserve">.19.190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требования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>
        <w:rPr>
          <w:rFonts w:ascii="Times New Roman" w:hAnsi="Times New Roman" w:cs="Times New Roman"/>
          <w:sz w:val="24"/>
          <w:szCs w:val="24"/>
        </w:rPr>
        <w:t xml:space="preserve">Целью данной услуги является: прохождение периодического медицинского осмотра  работников </w:t>
      </w:r>
      <w:r>
        <w:rPr>
          <w:rFonts w:ascii="Times New Roman" w:hAnsi="Times New Roman" w:cs="Times New Roman"/>
          <w:sz w:val="24"/>
          <w:szCs w:val="24"/>
        </w:rPr>
        <w:t xml:space="preserve"> в Фед</w:t>
      </w:r>
      <w:r>
        <w:rPr>
          <w:rFonts w:ascii="Times New Roman" w:hAnsi="Times New Roman" w:cs="Times New Roman"/>
          <w:sz w:val="24"/>
          <w:szCs w:val="24"/>
        </w:rPr>
        <w:t xml:space="preserve">еральном государственном бюджетном образовательном учреждении высшего образования «Воронежский государственный медицинский университет имени Н. Н. Бурденко» Министерства здравоохранения Российской Федерации (ФГБОУ ВО ВГМУ им. Н.Н. Бурденко Минздрава России</w:t>
      </w:r>
      <w:r>
        <w:rPr>
          <w:rFonts w:ascii="Times New Roman" w:hAnsi="Times New Roman" w:cs="Times New Roman"/>
          <w:sz w:val="24"/>
          <w:szCs w:val="24"/>
        </w:rPr>
        <w:t xml:space="preserve">)(</w:t>
      </w:r>
      <w:r>
        <w:rPr>
          <w:rFonts w:ascii="Times New Roman" w:hAnsi="Times New Roman" w:cs="Times New Roman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sz w:val="24"/>
          <w:szCs w:val="24"/>
        </w:rPr>
        <w:t xml:space="preserve">Заказчик).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Количество работников, подл</w:t>
      </w:r>
      <w:r>
        <w:rPr>
          <w:rFonts w:ascii="Times New Roman" w:hAnsi="Times New Roman" w:cs="Times New Roman"/>
          <w:sz w:val="24"/>
          <w:szCs w:val="24"/>
        </w:rPr>
        <w:t xml:space="preserve">ежащих медицинскому </w:t>
      </w:r>
      <w:r>
        <w:rPr>
          <w:rFonts w:ascii="Times New Roman" w:hAnsi="Times New Roman" w:cs="Times New Roman"/>
          <w:sz w:val="24"/>
          <w:szCs w:val="24"/>
        </w:rPr>
        <w:t xml:space="preserve">осмотру: 390</w:t>
      </w:r>
      <w:r>
        <w:rPr>
          <w:rFonts w:ascii="Times New Roman" w:hAnsi="Times New Roman" w:cs="Times New Roman"/>
          <w:sz w:val="24"/>
          <w:szCs w:val="24"/>
        </w:rPr>
        <w:t xml:space="preserve"> человек, из них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299 </w:t>
      </w:r>
      <w:r>
        <w:rPr>
          <w:rFonts w:ascii="Times New Roman" w:hAnsi="Times New Roman" w:cs="Times New Roman"/>
          <w:sz w:val="24"/>
          <w:szCs w:val="24"/>
        </w:rPr>
        <w:t xml:space="preserve">женщин.</w:t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Основанием для оказания услуг является Трудовой кодекс РФ (</w:t>
      </w:r>
      <w:hyperlink r:id="rId9" w:tooltip="http://www.consultant.ru/document/cons_doc_LAW_34683/4569271b398f6626f013b7810841287b4792d81f/" w:history="1">
        <w:r>
          <w:rPr>
            <w:rStyle w:val="83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статья</w:t>
        </w:r>
      </w:hyperlink>
      <w:r>
        <w:rPr>
          <w:rStyle w:val="836"/>
          <w:rFonts w:ascii="Times New Roman" w:hAnsi="Times New Roman" w:cs="Times New Roman"/>
          <w:color w:val="auto"/>
          <w:sz w:val="24"/>
          <w:szCs w:val="24"/>
          <w:u w:val="none"/>
        </w:rPr>
        <w:t xml:space="preserve"> 213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</w:t>
      </w:r>
      <w:r>
        <w:rPr>
          <w:rFonts w:ascii="Times New Roman" w:hAnsi="Times New Roman" w:cs="Times New Roman"/>
          <w:sz w:val="24"/>
          <w:szCs w:val="24"/>
        </w:rPr>
        <w:t xml:space="preserve">закон</w:t>
      </w:r>
      <w:r>
        <w:rPr>
          <w:rFonts w:ascii="Times New Roman" w:hAnsi="Times New Roman" w:cs="Times New Roman"/>
          <w:sz w:val="24"/>
          <w:szCs w:val="24"/>
        </w:rPr>
        <w:t xml:space="preserve">№52-ФЗ от 30 марта 1999г.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hyperlink r:id="rId10" w:tooltip="http://base.consultant.ru/cons/cgi/online.cgi?req=doc;base=LAW;n=22481" w:history="1">
        <w:r>
          <w:rPr>
            <w:rStyle w:val="836"/>
            <w:rFonts w:ascii="Times New Roman" w:hAnsi="Times New Roman" w:cs="Times New Roman"/>
            <w:color w:val="auto"/>
            <w:sz w:val="24"/>
            <w:szCs w:val="24"/>
          </w:rPr>
          <w:t xml:space="preserve">О санитарно-эпидемиологическом благополучии населения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», Приказ</w:t>
      </w:r>
      <w:r>
        <w:rPr>
          <w:rFonts w:ascii="Times New Roman" w:hAnsi="Times New Roman" w:cs="Times New Roman"/>
          <w:sz w:val="24"/>
          <w:szCs w:val="24"/>
        </w:rPr>
        <w:t xml:space="preserve"> Минздрава России №29н от 28.01.2021</w:t>
      </w:r>
      <w:r>
        <w:rPr>
          <w:rFonts w:ascii="Times New Roman" w:hAnsi="Times New Roman" w:cs="Times New Roman"/>
          <w:sz w:val="24"/>
          <w:szCs w:val="24"/>
        </w:rPr>
        <w:t xml:space="preserve"> года «Об утверждении Порядка проведения обязательных предварительных и периодических медицинских осмотров</w:t>
      </w:r>
      <w:r>
        <w:rPr>
          <w:rFonts w:ascii="Times New Roman" w:hAnsi="Times New Roman" w:cs="Times New Roman"/>
          <w:sz w:val="24"/>
          <w:szCs w:val="24"/>
        </w:rPr>
        <w:t xml:space="preserve"> работников, предусмотренных частью четвертой статьи 213 Трудового кодекс</w:t>
      </w:r>
      <w:r>
        <w:rPr>
          <w:rFonts w:ascii="Times New Roman" w:hAnsi="Times New Roman" w:cs="Times New Roman"/>
          <w:sz w:val="24"/>
          <w:szCs w:val="24"/>
        </w:rPr>
        <w:t xml:space="preserve">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>
        <w:rPr>
          <w:rFonts w:ascii="Times New Roman" w:hAnsi="Times New Roman" w:cs="Times New Roman"/>
          <w:sz w:val="24"/>
          <w:szCs w:val="24"/>
        </w:rPr>
        <w:t xml:space="preserve">, Приказ Минтруда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988н, Минздрава России № 1420н от 31.12.2020 «Об утверждении перечня вредных и (или) опасных производственных факторов и работ, при выполнении которых проводятся обязательные медицинские осмотры при поступлении на работу и периоди</w:t>
      </w:r>
      <w:r>
        <w:rPr>
          <w:rFonts w:ascii="Times New Roman" w:hAnsi="Times New Roman" w:cs="Times New Roman"/>
          <w:sz w:val="24"/>
          <w:szCs w:val="24"/>
        </w:rPr>
        <w:t xml:space="preserve">ческие медицинские осмотры».</w:t>
      </w:r>
    </w:p>
    <w:p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Наименование, характеристика и объем оказываемых услуг</w:t>
      </w:r>
    </w:p>
    <w:p>
      <w:pPr>
        <w:spacing w:after="0" w:line="240" w:lineRule="auto"/>
        <w:ind w:firstLine="652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Таблица 1</w:t>
      </w:r>
    </w:p>
    <w:tbl>
      <w:tblPr>
        <w:tblpPr w:horzAnchor="margin" w:tblpXSpec="left" w:vertAnchor="text" w:tblpY="208" w:leftFromText="180" w:topFromText="0" w:rightFromText="180" w:bottomFromText="0"/>
        <w:tblW w:w="4945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86"/>
        <w:gridCol w:w="7267"/>
        <w:gridCol w:w="2097"/>
      </w:tblGrid>
      <w:tr>
        <w:trPr>
          <w:trHeight w:val="411"/>
        </w:trPr>
        <w:tc>
          <w:tcPr>
            <w:tcW w:w="432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  <w:t xml:space="preserve">№ п.п</w:t>
            </w: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  <w:t xml:space="preserve">.</w:t>
            </w:r>
          </w:p>
        </w:tc>
        <w:tc>
          <w:tcPr>
            <w:tcW w:w="3545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  <w:t xml:space="preserve">Наименование услуги</w:t>
            </w:r>
          </w:p>
        </w:tc>
        <w:tc>
          <w:tcPr>
            <w:tcW w:w="1023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  <w:t xml:space="preserve">Количество (чел.)</w:t>
            </w:r>
          </w:p>
        </w:tc>
      </w:tr>
      <w:tr>
        <w:trPr>
          <w:trHeight w:val="167"/>
        </w:trPr>
        <w:tc>
          <w:tcPr>
            <w:tcW w:w="43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  <w:t xml:space="preserve">ИССЛЕДОВАНИЯ</w:t>
            </w:r>
          </w:p>
        </w:tc>
        <w:tc>
          <w:tcPr>
            <w:tcW w:w="1023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32" w:type="pct"/>
            <w:vMerge w:val="restart"/>
            <w:shd w:val="clear" w:color="ffffff" w:fill="ffffff"/>
            <w:noWrap w:val="false"/>
            <w:textDirection w:val="lrTb"/>
            <w:vAlign w:val="center"/>
          </w:tcPr>
          <w:p>
            <w:pPr>
              <w:numPr>
                <w:numId w:val="4"/>
                <w:ilvl w:val="0"/>
              </w:numPr>
              <w:spacing w:after="0" w:line="240" w:lineRule="auto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анализ крови (гемоглобин, цветной показатель, эритроциты, тромбоциты, лейкоциты, лейкоцитарная формула, СОЭ)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3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tabs>
                <w:tab w:val="center" w:pos="926" w:leader="none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vMerge w:val="restart"/>
            <w:shd w:val="clear" w:color="ffffff" w:fill="ffffff"/>
            <w:noWrap w:val="false"/>
            <w:textDirection w:val="lrTb"/>
            <w:vAlign w:val="center"/>
          </w:tcPr>
          <w:p>
            <w:pPr>
              <w:numPr>
                <w:numId w:val="4"/>
                <w:ilvl w:val="0"/>
              </w:numPr>
              <w:spacing w:after="0" w:line="240" w:lineRule="auto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Биохимический скрининг: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в сыворотке крови глюкозы натощак, общего холестерина)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3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vMerge w:val="restart"/>
            <w:shd w:val="clear" w:color="ffffff" w:fill="ffffff"/>
            <w:noWrap w:val="false"/>
            <w:textDirection w:val="lrTb"/>
            <w:vAlign w:val="center"/>
          </w:tcPr>
          <w:p>
            <w:pPr>
              <w:numPr>
                <w:numId w:val="4"/>
                <w:ilvl w:val="0"/>
              </w:numPr>
              <w:spacing w:after="0" w:line="240" w:lineRule="auto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Клинический анализ мочи (удельный вес, белок, сахар, микроскопия осадка)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3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vMerge w:val="restart"/>
            <w:shd w:val="clear" w:color="ffffff" w:fill="ffffff"/>
            <w:noWrap w:val="false"/>
            <w:textDirection w:val="lrTb"/>
            <w:vAlign w:val="center"/>
          </w:tcPr>
          <w:p>
            <w:pPr>
              <w:numPr>
                <w:numId w:val="4"/>
                <w:ilvl w:val="0"/>
              </w:numPr>
              <w:spacing w:after="0" w:line="240" w:lineRule="auto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Электрокардиография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3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vMerge w:val="restart"/>
            <w:shd w:val="clear" w:color="ffffff" w:fill="ffffff"/>
            <w:noWrap w:val="false"/>
            <w:textDirection w:val="lrTb"/>
            <w:vAlign w:val="center"/>
          </w:tcPr>
          <w:p>
            <w:pPr>
              <w:numPr>
                <w:numId w:val="4"/>
                <w:ilvl w:val="0"/>
              </w:numPr>
              <w:spacing w:after="0" w:line="240" w:lineRule="auto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Исследования на гельминтозы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3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390</w:t>
            </w:r>
          </w:p>
        </w:tc>
      </w:tr>
      <w:tr>
        <w:trPr/>
        <w:tc>
          <w:tcPr>
            <w:tcW w:w="432" w:type="pct"/>
            <w:vMerge w:val="restart"/>
            <w:shd w:val="clear" w:color="ffffff" w:fill="ffffff"/>
            <w:noWrap w:val="false"/>
            <w:textDirection w:val="lrTb"/>
            <w:vAlign w:val="center"/>
          </w:tcPr>
          <w:p>
            <w:pPr>
              <w:numPr>
                <w:numId w:val="4"/>
                <w:ilvl w:val="0"/>
              </w:numPr>
              <w:spacing w:after="0" w:line="240" w:lineRule="auto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Исследование крови на сифилис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3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numPr>
                <w:numId w:val="4"/>
                <w:ilvl w:val="0"/>
              </w:numPr>
              <w:spacing w:after="0" w:line="240" w:lineRule="auto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влагалищного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на бактериологическое (на флору) и цитологическое(на атипичные клетки)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299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numPr>
                <w:numId w:val="4"/>
                <w:ilvl w:val="0"/>
              </w:numPr>
              <w:spacing w:after="0" w:line="240" w:lineRule="auto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УЗИ органов малого таза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299</w:t>
            </w:r>
          </w:p>
        </w:tc>
      </w:tr>
      <w:tr>
        <w:trPr/>
        <w:tc>
          <w:tcPr>
            <w:tcW w:w="432" w:type="pct"/>
            <w:vMerge w:val="restart"/>
            <w:shd w:val="clear" w:color="ffffff" w:fill="ffffff"/>
            <w:noWrap w:val="false"/>
            <w:textDirection w:val="lrTb"/>
            <w:vAlign w:val="center"/>
          </w:tcPr>
          <w:p>
            <w:pPr>
              <w:numPr>
                <w:numId w:val="4"/>
                <w:ilvl w:val="0"/>
              </w:numPr>
              <w:spacing w:after="0" w:line="240" w:lineRule="auto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Маммография обеих молочных желез в двух проекциях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 40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23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232</w:t>
            </w:r>
          </w:p>
        </w:tc>
      </w:tr>
      <w:tr>
        <w:trPr/>
        <w:tc>
          <w:tcPr>
            <w:tcW w:w="432" w:type="pct"/>
            <w:vMerge w:val="restart"/>
            <w:shd w:val="clear" w:color="ffffff" w:fill="ffffff"/>
            <w:noWrap w:val="false"/>
            <w:textDirection w:val="lrTb"/>
            <w:vAlign w:val="center"/>
          </w:tcPr>
          <w:p>
            <w:pPr>
              <w:numPr>
                <w:numId w:val="4"/>
                <w:ilvl w:val="0"/>
              </w:numPr>
              <w:spacing w:after="0" w:line="240" w:lineRule="auto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Измерение внутриглазного давления  для лиц старше 40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(офтальмотонометрия)</w:t>
            </w:r>
          </w:p>
        </w:tc>
        <w:tc>
          <w:tcPr>
            <w:tcW w:w="1023" w:type="pct"/>
            <w:vMerge w:val="restart"/>
            <w:shd w:val="clear" w:color="ffffff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291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ind w:left="720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ВРАЧИ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ind w:left="720" w:firstLine="0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  <w:t xml:space="preserve">1.</w:t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профпатолога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ind w:left="720" w:firstLine="0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врача акушера-гинеколога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299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ind w:left="720" w:firstLine="0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врача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дерматовенеролога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ind w:left="720" w:firstLine="0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  <w:t xml:space="preserve">4</w:t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врача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оториноларинголога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ind w:left="720" w:firstLine="0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  <w:t xml:space="preserve">5</w:t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врача психиатра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ind w:left="720" w:firstLine="0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  <w:t xml:space="preserve">6</w:t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врача нарколога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ind w:left="720" w:firstLine="0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  <w:t xml:space="preserve">7</w:t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врача стоматолога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390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ind w:left="720" w:firstLine="0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  <w:t xml:space="preserve">8</w:t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врача терапевта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  <w:tr>
        <w:trPr/>
        <w:tc>
          <w:tcPr>
            <w:tcW w:w="432" w:type="pct"/>
            <w:shd w:val="clear" w:color="auto" w:fill="ffffff"/>
            <w:noWrap w:val="false"/>
            <w:textDirection w:val="lrTb"/>
            <w:vAlign w:val="center"/>
          </w:tcPr>
          <w:p>
            <w:pPr>
              <w:spacing w:after="0" w:line="240" w:lineRule="auto"/>
              <w:ind w:left="720" w:firstLine="0"/>
              <w:contextualSpacing/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Cs/>
                <w:color w:val="000000"/>
                <w:sz w:val="24"/>
                <w:szCs w:val="24"/>
              </w:rPr>
              <w:t xml:space="preserve">9</w:t>
            </w:r>
          </w:p>
        </w:tc>
        <w:tc>
          <w:tcPr>
            <w:tcW w:w="3545" w:type="pct"/>
            <w:shd w:val="clear" w:color="auto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Осмотр врача невролога</w:t>
            </w:r>
          </w:p>
        </w:tc>
        <w:tc>
          <w:tcPr>
            <w:tcW w:w="1023" w:type="pct"/>
            <w:shd w:val="clear" w:color="auto" w:fill="ffffff"/>
            <w:noWrap w:val="false"/>
            <w:textDirection w:val="lrTb"/>
            <w:vAlign w:val="bottom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390</w:t>
            </w:r>
          </w:p>
        </w:tc>
      </w:tr>
    </w:tbl>
    <w:p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3.Требования к объему </w:t>
      </w:r>
      <w:r>
        <w:rPr>
          <w:rFonts w:ascii="Times New Roman" w:hAnsi="Times New Roman" w:cs="Times New Roman"/>
          <w:b/>
          <w:sz w:val="24"/>
          <w:szCs w:val="24"/>
        </w:rPr>
        <w:t xml:space="preserve">и</w:t>
      </w:r>
      <w:r>
        <w:rPr>
          <w:rFonts w:ascii="Times New Roman" w:hAnsi="Times New Roman" w:cs="Times New Roman"/>
          <w:b/>
          <w:sz w:val="24"/>
          <w:szCs w:val="24"/>
        </w:rPr>
        <w:t xml:space="preserve"> качеств</w:t>
      </w:r>
      <w:r>
        <w:rPr>
          <w:rFonts w:ascii="Times New Roman" w:hAnsi="Times New Roman" w:cs="Times New Roman"/>
          <w:b/>
          <w:sz w:val="24"/>
          <w:szCs w:val="24"/>
        </w:rPr>
        <w:t xml:space="preserve">у</w:t>
      </w:r>
      <w:r>
        <w:rPr>
          <w:rFonts w:ascii="Times New Roman" w:hAnsi="Times New Roman" w:cs="Times New Roman"/>
          <w:b/>
          <w:sz w:val="24"/>
          <w:szCs w:val="24"/>
        </w:rPr>
        <w:t xml:space="preserve"> оказываемых услуг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Медицинские услуги по проведению медицинского осмотра осуществляются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Пр</w:t>
      </w:r>
      <w:r>
        <w:rPr>
          <w:rFonts w:ascii="Times New Roman" w:hAnsi="Times New Roman" w:cs="Times New Roman"/>
          <w:sz w:val="24"/>
          <w:szCs w:val="24"/>
        </w:rPr>
        <w:t xml:space="preserve">иказом Минздрава России от 28</w:t>
      </w:r>
      <w:r>
        <w:rPr>
          <w:rFonts w:ascii="Times New Roman" w:hAnsi="Times New Roman" w:cs="Times New Roman"/>
          <w:sz w:val="24"/>
          <w:szCs w:val="24"/>
        </w:rPr>
        <w:t xml:space="preserve">.01.202</w:t>
      </w:r>
      <w:r>
        <w:rPr>
          <w:rFonts w:ascii="Times New Roman" w:hAnsi="Times New Roman" w:cs="Times New Roman"/>
          <w:sz w:val="24"/>
          <w:szCs w:val="24"/>
        </w:rPr>
        <w:t xml:space="preserve">1г. №29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 и Приказа Мин</w:t>
      </w:r>
      <w:r>
        <w:rPr>
          <w:rFonts w:ascii="Times New Roman" w:hAnsi="Times New Roman" w:cs="Times New Roman"/>
          <w:sz w:val="24"/>
          <w:szCs w:val="24"/>
        </w:rPr>
        <w:t xml:space="preserve">труда России № 988н, Минздрава России № 1420н от 31.12.2020г.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Проведение медицинского осмотра работников Заказчика осуществляется Исполнителем на основании поименного списка, выданного Заказчиком ответственному лицу Исполнителя </w:t>
      </w:r>
      <w:r>
        <w:rPr>
          <w:rFonts w:ascii="Times New Roman" w:hAnsi="Times New Roman" w:cs="Times New Roman"/>
          <w:sz w:val="24"/>
          <w:szCs w:val="24"/>
        </w:rPr>
        <w:t xml:space="preserve">в порядке, предусмотренном </w:t>
      </w:r>
      <w:r>
        <w:rPr>
          <w:rFonts w:ascii="Times New Roman" w:hAnsi="Times New Roman" w:cs="Times New Roman"/>
          <w:sz w:val="24"/>
          <w:szCs w:val="24"/>
        </w:rPr>
        <w:t xml:space="preserve">Приказом Минздрава России от 28.01.2021г. №29н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Медицинский осмотр осуществляется в соответствии с режимом работы Заказчика (ежедневно с 09-00ч. до 17-00ч., кроме выходных и праздничных дней).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Исполнитель обязан оказывать медицинские услуги, соблюдая утвержденные стандарты оказания лечебно-профилактической помощи, технику безопасности, санитарно-эпидемиологические правила и нормативы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Исполнитель обязан оказывать медицинские услуги силами квалифицированных специалистов.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По итогам проведения медицинского осмотра 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выдает работнику на руки выписку из медицинской карты.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По итогам проведения медицинского осмотра Исполнитель выдает заключительный акт по проведению медицинского осмотра и направляет его Заказчику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Медицинский осмотр должен осуществляться медицинским учреждением, имеющ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действующую лицензию на осуществление медицинской деятельности, включая </w:t>
      </w:r>
      <w:r>
        <w:rPr>
          <w:rFonts w:ascii="Times New Roman" w:hAnsi="Times New Roman" w:cs="Times New Roman"/>
          <w:iCs/>
          <w:sz w:val="24"/>
          <w:szCs w:val="24"/>
        </w:rPr>
        <w:t xml:space="preserve">работы (услуги) по: </w:t>
      </w:r>
      <w:r>
        <w:rPr>
          <w:rFonts w:ascii="Times New Roman" w:hAnsi="Times New Roman" w:cs="Times New Roman"/>
          <w:sz w:val="24"/>
          <w:szCs w:val="24"/>
        </w:rPr>
        <w:t xml:space="preserve">медицинским осмотрам (предварительным и периодическим), экспертизе профессиональной пригодности в соответствии с Федеральным законом от 4 мая 2011 г. N 99-ФЗ «О лицензировании отдельных видов деятельности»,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постановлением Правительства Российской Федерации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 1 июня 2021 г. N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r>
        <w:rPr>
          <w:rFonts w:ascii="Times New Roman" w:hAnsi="Times New Roman" w:cs="Times New Roman"/>
          <w:bCs/>
          <w:sz w:val="24"/>
          <w:szCs w:val="24"/>
        </w:rPr>
        <w:t xml:space="preserve">Сколково</w:t>
      </w:r>
      <w:r>
        <w:rPr>
          <w:rFonts w:ascii="Times New Roman" w:hAnsi="Times New Roman" w:cs="Times New Roman"/>
          <w:bCs/>
          <w:sz w:val="24"/>
          <w:szCs w:val="24"/>
        </w:rPr>
        <w:t xml:space="preserve">") и признании утратившими силу некоторых актов Правительства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tabs>
          <w:tab w:val="left" w:pos="851" w:leader="none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4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оказания услуг: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по месту нахождения Исполнителя, в пределах городского округа город Воронеж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.</w:t>
      </w:r>
    </w:p>
    <w:p>
      <w:pPr>
        <w:spacing w:after="0" w:line="240" w:lineRule="auto"/>
        <w:ind w:firstLine="709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</w:t>
      </w:r>
      <w:r>
        <w:rPr>
          <w:rFonts w:ascii="Times New Roman" w:hAnsi="Times New Roman" w:cs="Times New Roman"/>
          <w:b/>
          <w:sz w:val="24"/>
          <w:szCs w:val="24"/>
        </w:rPr>
        <w:t xml:space="preserve">.Обязательные условия: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Исполнитель обязан обеспечи</w:t>
      </w:r>
      <w:r>
        <w:rPr>
          <w:rFonts w:ascii="Times New Roman" w:hAnsi="Times New Roman" w:cs="Times New Roman"/>
          <w:sz w:val="24"/>
          <w:szCs w:val="24"/>
        </w:rPr>
        <w:t xml:space="preserve">ть своих работников (специалистов) необходимым медицинским инструментом, медицинскими приборами, медицинским оборудованием, спецодеждой и другими средствами индивидуальной защиты, согласно требованиям Правил техники безопасности, необходимыми для оказания </w:t>
      </w:r>
      <w:r>
        <w:rPr>
          <w:rFonts w:ascii="Times New Roman" w:hAnsi="Times New Roman" w:cs="Times New Roman"/>
          <w:sz w:val="24"/>
          <w:szCs w:val="24"/>
        </w:rPr>
        <w:t xml:space="preserve">услуг по настоящему техническому заданию</w:t>
      </w:r>
      <w:r>
        <w:rPr>
          <w:rFonts w:ascii="Times New Roman" w:hAnsi="Times New Roman" w:cs="Times New Roman"/>
          <w:sz w:val="24"/>
          <w:szCs w:val="24"/>
        </w:rPr>
        <w:t xml:space="preserve">, с учетом </w:t>
      </w:r>
      <w:r>
        <w:rPr>
          <w:rFonts w:ascii="Times New Roman" w:hAnsi="Times New Roman" w:cs="Times New Roman"/>
          <w:sz w:val="24"/>
          <w:szCs w:val="24"/>
        </w:rPr>
        <w:t xml:space="preserve">неукоснительного соблюдения предупредительно-профилактических мер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. Сроки </w:t>
      </w:r>
      <w:r>
        <w:rPr>
          <w:rFonts w:ascii="Times New Roman" w:hAnsi="Times New Roman" w:cs="Times New Roman"/>
          <w:b/>
          <w:sz w:val="24"/>
          <w:szCs w:val="24"/>
        </w:rPr>
        <w:t xml:space="preserve">оказания услуг: </w:t>
      </w:r>
      <w:r>
        <w:rPr>
          <w:rFonts w:ascii="Times New Roman" w:hAnsi="Times New Roman" w:cs="Times New Roman"/>
          <w:sz w:val="24"/>
          <w:szCs w:val="24"/>
        </w:rPr>
        <w:t xml:space="preserve">с момента з</w:t>
      </w:r>
      <w:r>
        <w:rPr>
          <w:rFonts w:ascii="Times New Roman" w:hAnsi="Times New Roman" w:cs="Times New Roman"/>
          <w:sz w:val="24"/>
          <w:szCs w:val="24"/>
        </w:rPr>
        <w:t xml:space="preserve">аключения </w:t>
      </w:r>
      <w:r>
        <w:rPr>
          <w:rFonts w:ascii="Times New Roman" w:hAnsi="Times New Roman" w:cs="Times New Roman"/>
          <w:sz w:val="24"/>
          <w:szCs w:val="24"/>
        </w:rPr>
        <w:t xml:space="preserve">контракта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.09</w:t>
      </w:r>
      <w:r>
        <w:rPr>
          <w:rFonts w:ascii="Times New Roman" w:hAnsi="Times New Roman" w:cs="Times New Roman"/>
          <w:sz w:val="24"/>
          <w:szCs w:val="24"/>
        </w:rPr>
        <w:t xml:space="preserve">.2026</w:t>
      </w:r>
      <w:r>
        <w:rPr>
          <w:rFonts w:ascii="Times New Roman" w:hAnsi="Times New Roman" w:cs="Times New Roman"/>
          <w:sz w:val="24"/>
          <w:szCs w:val="24"/>
        </w:rPr>
        <w:t xml:space="preserve"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(включительно).</w:t>
      </w:r>
    </w:p>
    <w:p>
      <w:pPr>
        <w:pStyle w:val="828"/>
        <w:numPr>
          <w:numId w:val="6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График прохождения медицинского осмотра сотрудников, по подразделениям будет сформирован и утвержден после заключения контракта.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службы охраны труда    </w:t>
      </w:r>
      <w:r>
        <w:rPr>
          <w:rFonts w:ascii="Times New Roman" w:hAnsi="Times New Roman" w:cs="Times New Roman"/>
          <w:sz w:val="24"/>
          <w:szCs w:val="24"/>
        </w:rPr>
        <w:t xml:space="preserve">_____________</w:t>
      </w:r>
      <w:r>
        <w:rPr>
          <w:rFonts w:ascii="Times New Roman" w:hAnsi="Times New Roman" w:cs="Times New Roman"/>
          <w:sz w:val="24"/>
          <w:szCs w:val="24"/>
        </w:rPr>
        <w:t xml:space="preserve">     В.М. </w:t>
      </w:r>
      <w:r>
        <w:rPr>
          <w:rFonts w:ascii="Times New Roman" w:hAnsi="Times New Roman" w:cs="Times New Roman"/>
          <w:sz w:val="24"/>
          <w:szCs w:val="24"/>
        </w:rPr>
        <w:t xml:space="preserve">Распопин</w:t>
      </w:r>
    </w:p>
    <w:sectPr>
      <w:footnotePr/>
      <w:endnotePr/>
      <w:type w:val="nextPage"/>
      <w:pgSz w:w="11906" w:h="16838" w:orient="portrait"/>
      <w:pgMar w:top="624" w:right="624" w:bottom="73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tabs>
          <w:tab w:val="num" w:pos="861" w:leader="none"/>
        </w:tabs>
        <w:ind w:left="861" w:hanging="43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suff w:val="tab"/>
      <w:lvlText w:val="%1.%2.%3."/>
      <w:lvlJc w:val="left"/>
      <w:pPr>
        <w:tabs>
          <w:tab w:val="num" w:pos="720" w:leader="none"/>
        </w:tabs>
        <w:ind w:left="72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tabs>
          <w:tab w:val="num" w:pos="720" w:leader="none"/>
        </w:tabs>
        <w:ind w:left="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tabs>
          <w:tab w:val="num" w:pos="1080" w:leader="none"/>
        </w:tabs>
        <w:ind w:left="10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tabs>
          <w:tab w:val="num" w:pos="1440" w:leader="none"/>
        </w:tabs>
        <w:ind w:left="144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tabs>
          <w:tab w:val="num" w:pos="1440" w:leader="none"/>
        </w:tabs>
        <w:ind w:left="144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tabs>
          <w:tab w:val="num" w:pos="1800" w:leader="none"/>
        </w:tabs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tabs>
          <w:tab w:val="num" w:pos="435" w:leader="none"/>
        </w:tabs>
        <w:ind w:left="435" w:hanging="43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suff w:val="tab"/>
      <w:lvlText w:val="%1.%2.%3."/>
      <w:lvlJc w:val="left"/>
      <w:pPr>
        <w:tabs>
          <w:tab w:val="num" w:pos="720" w:leader="none"/>
        </w:tabs>
        <w:ind w:left="720" w:hanging="720"/>
      </w:pPr>
    </w:lvl>
    <w:lvl w:ilvl="3">
      <w:start w:val="1"/>
      <w:numFmt w:val="decimal"/>
      <w:isLgl/>
      <w:suff w:val="tab"/>
      <w:lvlText w:val="%1.%2.%3.%4."/>
      <w:lvlJc w:val="left"/>
      <w:pPr>
        <w:tabs>
          <w:tab w:val="num" w:pos="720" w:leader="none"/>
        </w:tabs>
        <w:ind w:left="720" w:hanging="720"/>
      </w:pPr>
    </w:lvl>
    <w:lvl w:ilvl="4">
      <w:start w:val="1"/>
      <w:numFmt w:val="decimal"/>
      <w:isLgl/>
      <w:suff w:val="tab"/>
      <w:lvlText w:val="%1.%2.%3.%4.%5."/>
      <w:lvlJc w:val="left"/>
      <w:pPr>
        <w:tabs>
          <w:tab w:val="num" w:pos="1080" w:leader="none"/>
        </w:tabs>
        <w:ind w:left="1080" w:hanging="1080"/>
      </w:pPr>
    </w:lvl>
    <w:lvl w:ilvl="5">
      <w:start w:val="1"/>
      <w:numFmt w:val="decimal"/>
      <w:isLgl/>
      <w:suff w:val="tab"/>
      <w:lvlText w:val="%1.%2.%3.%4.%5.%6."/>
      <w:lvlJc w:val="left"/>
      <w:pPr>
        <w:tabs>
          <w:tab w:val="num" w:pos="1080" w:leader="none"/>
        </w:tabs>
        <w:ind w:left="1080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tabs>
          <w:tab w:val="num" w:pos="1440" w:leader="none"/>
        </w:tabs>
        <w:ind w:left="1440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tabs>
          <w:tab w:val="num" w:pos="1440" w:leader="none"/>
        </w:tabs>
        <w:ind w:left="1440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tabs>
          <w:tab w:val="num" w:pos="1800" w:leader="none"/>
        </w:tabs>
        <w:ind w:left="1800" w:hanging="1800"/>
      </w:pPr>
    </w:lvl>
  </w:abstractNum>
  <w:abstractNum w:abstractNumId="3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6">
    <w:name w:val="Heading 1 Char"/>
    <w:basedOn w:val="822"/>
    <w:link w:val="820"/>
    <w:uiPriority w:val="9"/>
    <w:rPr>
      <w:rFonts w:ascii="Arial" w:hAnsi="Arial" w:cs="Arial" w:eastAsia="Arial"/>
      <w:sz w:val="40"/>
      <w:szCs w:val="40"/>
    </w:rPr>
  </w:style>
  <w:style w:type="character" w:styleId="647">
    <w:name w:val="Heading 2 Char"/>
    <w:basedOn w:val="822"/>
    <w:link w:val="821"/>
    <w:uiPriority w:val="9"/>
    <w:rPr>
      <w:rFonts w:ascii="Arial" w:hAnsi="Arial" w:cs="Arial" w:eastAsia="Arial"/>
      <w:sz w:val="34"/>
    </w:rPr>
  </w:style>
  <w:style w:type="paragraph" w:styleId="648">
    <w:name w:val="Heading 3"/>
    <w:basedOn w:val="819"/>
    <w:next w:val="819"/>
    <w:link w:val="649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9">
    <w:name w:val="Heading 3 Char"/>
    <w:basedOn w:val="822"/>
    <w:link w:val="648"/>
    <w:uiPriority w:val="9"/>
    <w:rPr>
      <w:rFonts w:ascii="Arial" w:hAnsi="Arial" w:cs="Arial" w:eastAsia="Arial"/>
      <w:sz w:val="30"/>
      <w:szCs w:val="30"/>
    </w:rPr>
  </w:style>
  <w:style w:type="paragraph" w:styleId="650">
    <w:name w:val="Heading 4"/>
    <w:basedOn w:val="819"/>
    <w:next w:val="819"/>
    <w:link w:val="651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51">
    <w:name w:val="Heading 4 Char"/>
    <w:basedOn w:val="822"/>
    <w:link w:val="650"/>
    <w:uiPriority w:val="9"/>
    <w:rPr>
      <w:rFonts w:ascii="Arial" w:hAnsi="Arial" w:cs="Arial" w:eastAsia="Arial"/>
      <w:b/>
      <w:bCs/>
      <w:sz w:val="26"/>
      <w:szCs w:val="26"/>
    </w:rPr>
  </w:style>
  <w:style w:type="paragraph" w:styleId="652">
    <w:name w:val="Heading 5"/>
    <w:basedOn w:val="819"/>
    <w:next w:val="819"/>
    <w:link w:val="653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53">
    <w:name w:val="Heading 5 Char"/>
    <w:basedOn w:val="822"/>
    <w:link w:val="652"/>
    <w:uiPriority w:val="9"/>
    <w:rPr>
      <w:rFonts w:ascii="Arial" w:hAnsi="Arial" w:cs="Arial" w:eastAsia="Arial"/>
      <w:b/>
      <w:bCs/>
      <w:sz w:val="24"/>
      <w:szCs w:val="24"/>
    </w:rPr>
  </w:style>
  <w:style w:type="paragraph" w:styleId="654">
    <w:name w:val="Heading 6"/>
    <w:basedOn w:val="819"/>
    <w:next w:val="819"/>
    <w:link w:val="65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55">
    <w:name w:val="Heading 6 Char"/>
    <w:basedOn w:val="822"/>
    <w:link w:val="654"/>
    <w:uiPriority w:val="9"/>
    <w:rPr>
      <w:rFonts w:ascii="Arial" w:hAnsi="Arial" w:cs="Arial" w:eastAsia="Arial"/>
      <w:b/>
      <w:bCs/>
      <w:sz w:val="22"/>
      <w:szCs w:val="22"/>
    </w:rPr>
  </w:style>
  <w:style w:type="paragraph" w:styleId="656">
    <w:name w:val="Heading 7"/>
    <w:basedOn w:val="819"/>
    <w:next w:val="819"/>
    <w:link w:val="65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57">
    <w:name w:val="Heading 7 Char"/>
    <w:basedOn w:val="822"/>
    <w:link w:val="65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8">
    <w:name w:val="Heading 8"/>
    <w:basedOn w:val="819"/>
    <w:next w:val="819"/>
    <w:link w:val="659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9">
    <w:name w:val="Heading 8 Char"/>
    <w:basedOn w:val="822"/>
    <w:link w:val="658"/>
    <w:uiPriority w:val="9"/>
    <w:rPr>
      <w:rFonts w:ascii="Arial" w:hAnsi="Arial" w:cs="Arial" w:eastAsia="Arial"/>
      <w:i/>
      <w:iCs/>
      <w:sz w:val="22"/>
      <w:szCs w:val="22"/>
    </w:rPr>
  </w:style>
  <w:style w:type="paragraph" w:styleId="660">
    <w:name w:val="Heading 9"/>
    <w:basedOn w:val="819"/>
    <w:next w:val="819"/>
    <w:link w:val="661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61">
    <w:name w:val="Heading 9 Char"/>
    <w:basedOn w:val="822"/>
    <w:link w:val="660"/>
    <w:uiPriority w:val="9"/>
    <w:rPr>
      <w:rFonts w:ascii="Arial" w:hAnsi="Arial" w:cs="Arial" w:eastAsia="Arial"/>
      <w:i/>
      <w:iCs/>
      <w:sz w:val="21"/>
      <w:szCs w:val="21"/>
    </w:rPr>
  </w:style>
  <w:style w:type="paragraph" w:styleId="662">
    <w:name w:val="Title"/>
    <w:basedOn w:val="819"/>
    <w:next w:val="819"/>
    <w:link w:val="663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63">
    <w:name w:val="Title Char"/>
    <w:basedOn w:val="822"/>
    <w:link w:val="662"/>
    <w:uiPriority w:val="10"/>
    <w:rPr>
      <w:sz w:val="48"/>
      <w:szCs w:val="48"/>
    </w:rPr>
  </w:style>
  <w:style w:type="paragraph" w:styleId="664">
    <w:name w:val="Subtitle"/>
    <w:basedOn w:val="819"/>
    <w:next w:val="819"/>
    <w:link w:val="665"/>
    <w:uiPriority w:val="11"/>
    <w:qFormat/>
    <w:pPr>
      <w:spacing w:before="200" w:after="200"/>
    </w:pPr>
    <w:rPr>
      <w:sz w:val="24"/>
      <w:szCs w:val="24"/>
    </w:rPr>
  </w:style>
  <w:style w:type="character" w:styleId="665">
    <w:name w:val="Subtitle Char"/>
    <w:basedOn w:val="822"/>
    <w:link w:val="664"/>
    <w:uiPriority w:val="11"/>
    <w:rPr>
      <w:sz w:val="24"/>
      <w:szCs w:val="24"/>
    </w:rPr>
  </w:style>
  <w:style w:type="paragraph" w:styleId="666">
    <w:name w:val="Quote"/>
    <w:basedOn w:val="819"/>
    <w:next w:val="819"/>
    <w:link w:val="667"/>
    <w:uiPriority w:val="29"/>
    <w:qFormat/>
    <w:pPr>
      <w:ind w:left="720" w:right="720"/>
    </w:pPr>
    <w:rPr>
      <w:i/>
    </w:rPr>
  </w:style>
  <w:style w:type="character" w:styleId="667">
    <w:name w:val="Quote Char"/>
    <w:link w:val="666"/>
    <w:uiPriority w:val="29"/>
    <w:rPr>
      <w:i/>
    </w:rPr>
  </w:style>
  <w:style w:type="paragraph" w:styleId="668">
    <w:name w:val="Intense Quote"/>
    <w:basedOn w:val="819"/>
    <w:next w:val="819"/>
    <w:link w:val="66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69">
    <w:name w:val="Intense Quote Char"/>
    <w:link w:val="668"/>
    <w:uiPriority w:val="30"/>
    <w:rPr>
      <w:i/>
    </w:rPr>
  </w:style>
  <w:style w:type="paragraph" w:styleId="670">
    <w:name w:val="Header"/>
    <w:basedOn w:val="819"/>
    <w:link w:val="67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71">
    <w:name w:val="Header Char"/>
    <w:basedOn w:val="822"/>
    <w:link w:val="670"/>
    <w:uiPriority w:val="99"/>
  </w:style>
  <w:style w:type="paragraph" w:styleId="672">
    <w:name w:val="Footer"/>
    <w:basedOn w:val="819"/>
    <w:link w:val="67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73">
    <w:name w:val="Footer Char"/>
    <w:basedOn w:val="822"/>
    <w:link w:val="672"/>
    <w:uiPriority w:val="99"/>
  </w:style>
  <w:style w:type="paragraph" w:styleId="674">
    <w:name w:val="Caption"/>
    <w:basedOn w:val="819"/>
    <w:next w:val="8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5">
    <w:name w:val="Caption Char"/>
    <w:basedOn w:val="674"/>
    <w:link w:val="672"/>
    <w:uiPriority w:val="99"/>
  </w:style>
  <w:style w:type="table" w:styleId="676">
    <w:name w:val="Table Grid"/>
    <w:basedOn w:val="8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Table Grid Light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8">
    <w:name w:val="Plain Table 1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2"/>
    <w:basedOn w:val="8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0">
    <w:name w:val="Plain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1">
    <w:name w:val="Plain Table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Plain Table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3">
    <w:name w:val="Grid Table 1 Light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1">
    <w:name w:val="Grid Table 2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2">
    <w:name w:val="Grid Table 2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3">
    <w:name w:val="Grid Table 2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4">
    <w:name w:val="Grid Table 2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5">
    <w:name w:val="Grid Table 2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6">
    <w:name w:val="Grid Table 2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7">
    <w:name w:val="Grid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8">
    <w:name w:val="Grid Table 3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9">
    <w:name w:val="Grid Table 3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0">
    <w:name w:val="Grid Table 3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1">
    <w:name w:val="Grid Table 3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2">
    <w:name w:val="Grid Table 3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3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4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5">
    <w:name w:val="Grid Table 4 - Accent 1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6">
    <w:name w:val="Grid Table 4 - Accent 2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7">
    <w:name w:val="Grid Table 4 - Accent 3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8">
    <w:name w:val="Grid Table 4 - Accent 4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9">
    <w:name w:val="Grid Table 4 - Accent 5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0">
    <w:name w:val="Grid Table 4 - Accent 6"/>
    <w:basedOn w:val="8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1">
    <w:name w:val="Grid Table 5 Dark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12">
    <w:name w:val="Grid Table 5 Dark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13">
    <w:name w:val="Grid Table 5 Dark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14">
    <w:name w:val="Grid Table 5 Dark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15">
    <w:name w:val="Grid Table 5 Dark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16">
    <w:name w:val="Grid Table 5 Dark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17">
    <w:name w:val="Grid Table 5 Dark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18">
    <w:name w:val="Grid Table 6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9">
    <w:name w:val="Grid Table 6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0">
    <w:name w:val="Grid Table 6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1">
    <w:name w:val="Grid Table 6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2">
    <w:name w:val="Grid Table 6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3">
    <w:name w:val="Grid Table 6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6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5">
    <w:name w:val="Grid Table 7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26">
    <w:name w:val="Grid Table 7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27">
    <w:name w:val="Grid Table 7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28">
    <w:name w:val="Grid Table 7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29">
    <w:name w:val="Grid Table 7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0">
    <w:name w:val="Grid Table 7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1">
    <w:name w:val="Grid Table 7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2">
    <w:name w:val="List Table 1 Light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0">
    <w:name w:val="List Table 2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1">
    <w:name w:val="List Table 2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2">
    <w:name w:val="List Table 2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3">
    <w:name w:val="List Table 2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4">
    <w:name w:val="List Table 2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5">
    <w:name w:val="List Table 2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6">
    <w:name w:val="List Table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5 Dark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6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8">
    <w:name w:val="List Table 6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9">
    <w:name w:val="List Table 6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List Table 6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1">
    <w:name w:val="List Table 6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List Table 6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3">
    <w:name w:val="List Table 6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4">
    <w:name w:val="List Table 7 Colorful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5">
    <w:name w:val="List Table 7 Colorful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6">
    <w:name w:val="List Table 7 Colorful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7">
    <w:name w:val="List Table 7 Colorful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8">
    <w:name w:val="List Table 7 Colorful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9">
    <w:name w:val="List Table 7 Colorful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0">
    <w:name w:val="List Table 7 Colorful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1">
    <w:name w:val="Lined - Accent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Lined - Accent 1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3">
    <w:name w:val="Lined - Accent 2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4">
    <w:name w:val="Lined - Accent 3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5">
    <w:name w:val="Lined - Accent 4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6">
    <w:name w:val="Lined - Accent 5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7">
    <w:name w:val="Lined - Accent 6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8">
    <w:name w:val="Bordered &amp; Lined - Accent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Bordered &amp; Lined - Accent 1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0">
    <w:name w:val="Bordered &amp; Lined - Accent 2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1">
    <w:name w:val="Bordered &amp; Lined - Accent 3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2">
    <w:name w:val="Bordered &amp; Lined - Accent 4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3">
    <w:name w:val="Bordered &amp; Lined - Accent 5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4">
    <w:name w:val="Bordered &amp; Lined - Accent 6"/>
    <w:basedOn w:val="8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5">
    <w:name w:val="Bordered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6">
    <w:name w:val="Bordered - Accent 1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7">
    <w:name w:val="Bordered - Accent 2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8">
    <w:name w:val="Bordered - Accent 3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9">
    <w:name w:val="Bordered - Accent 4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0">
    <w:name w:val="Bordered - Accent 5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1">
    <w:name w:val="Bordered - Accent 6"/>
    <w:basedOn w:val="8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2">
    <w:name w:val="footnote text"/>
    <w:basedOn w:val="819"/>
    <w:link w:val="803"/>
    <w:uiPriority w:val="99"/>
    <w:semiHidden/>
    <w:unhideWhenUsed/>
    <w:pPr>
      <w:spacing w:after="40" w:line="240" w:lineRule="auto"/>
    </w:pPr>
    <w:rPr>
      <w:sz w:val="18"/>
    </w:rPr>
  </w:style>
  <w:style w:type="character" w:styleId="803">
    <w:name w:val="Footnote Text Char"/>
    <w:link w:val="802"/>
    <w:uiPriority w:val="99"/>
    <w:rPr>
      <w:sz w:val="18"/>
    </w:rPr>
  </w:style>
  <w:style w:type="character" w:styleId="804">
    <w:name w:val="footnote reference"/>
    <w:basedOn w:val="822"/>
    <w:uiPriority w:val="99"/>
    <w:unhideWhenUsed/>
    <w:rPr>
      <w:vertAlign w:val="superscript"/>
    </w:rPr>
  </w:style>
  <w:style w:type="paragraph" w:styleId="805">
    <w:name w:val="endnote text"/>
    <w:basedOn w:val="819"/>
    <w:link w:val="806"/>
    <w:uiPriority w:val="99"/>
    <w:semiHidden/>
    <w:unhideWhenUsed/>
    <w:pPr>
      <w:spacing w:after="0" w:line="240" w:lineRule="auto"/>
    </w:pPr>
    <w:rPr>
      <w:sz w:val="20"/>
    </w:rPr>
  </w:style>
  <w:style w:type="character" w:styleId="806">
    <w:name w:val="Endnote Text Char"/>
    <w:link w:val="805"/>
    <w:uiPriority w:val="99"/>
    <w:rPr>
      <w:sz w:val="20"/>
    </w:rPr>
  </w:style>
  <w:style w:type="character" w:styleId="807">
    <w:name w:val="endnote reference"/>
    <w:basedOn w:val="822"/>
    <w:uiPriority w:val="99"/>
    <w:semiHidden/>
    <w:unhideWhenUsed/>
    <w:rPr>
      <w:vertAlign w:val="superscript"/>
    </w:rPr>
  </w:style>
  <w:style w:type="paragraph" w:styleId="808">
    <w:name w:val="toc 1"/>
    <w:basedOn w:val="819"/>
    <w:next w:val="819"/>
    <w:uiPriority w:val="39"/>
    <w:unhideWhenUsed/>
    <w:pPr>
      <w:spacing w:after="57"/>
      <w:ind w:left="0" w:right="0" w:firstLine="0"/>
    </w:pPr>
  </w:style>
  <w:style w:type="paragraph" w:styleId="809">
    <w:name w:val="toc 2"/>
    <w:basedOn w:val="819"/>
    <w:next w:val="819"/>
    <w:uiPriority w:val="39"/>
    <w:unhideWhenUsed/>
    <w:pPr>
      <w:spacing w:after="57"/>
      <w:ind w:left="283" w:right="0" w:firstLine="0"/>
    </w:pPr>
  </w:style>
  <w:style w:type="paragraph" w:styleId="810">
    <w:name w:val="toc 3"/>
    <w:basedOn w:val="819"/>
    <w:next w:val="819"/>
    <w:uiPriority w:val="39"/>
    <w:unhideWhenUsed/>
    <w:pPr>
      <w:spacing w:after="57"/>
      <w:ind w:left="567" w:right="0" w:firstLine="0"/>
    </w:pPr>
  </w:style>
  <w:style w:type="paragraph" w:styleId="811">
    <w:name w:val="toc 4"/>
    <w:basedOn w:val="819"/>
    <w:next w:val="819"/>
    <w:uiPriority w:val="39"/>
    <w:unhideWhenUsed/>
    <w:pPr>
      <w:spacing w:after="57"/>
      <w:ind w:left="850" w:right="0" w:firstLine="0"/>
    </w:pPr>
  </w:style>
  <w:style w:type="paragraph" w:styleId="812">
    <w:name w:val="toc 5"/>
    <w:basedOn w:val="819"/>
    <w:next w:val="819"/>
    <w:uiPriority w:val="39"/>
    <w:unhideWhenUsed/>
    <w:pPr>
      <w:spacing w:after="57"/>
      <w:ind w:left="1134" w:right="0" w:firstLine="0"/>
    </w:pPr>
  </w:style>
  <w:style w:type="paragraph" w:styleId="813">
    <w:name w:val="toc 6"/>
    <w:basedOn w:val="819"/>
    <w:next w:val="819"/>
    <w:uiPriority w:val="39"/>
    <w:unhideWhenUsed/>
    <w:pPr>
      <w:spacing w:after="57"/>
      <w:ind w:left="1417" w:right="0" w:firstLine="0"/>
    </w:pPr>
  </w:style>
  <w:style w:type="paragraph" w:styleId="814">
    <w:name w:val="toc 7"/>
    <w:basedOn w:val="819"/>
    <w:next w:val="819"/>
    <w:uiPriority w:val="39"/>
    <w:unhideWhenUsed/>
    <w:pPr>
      <w:spacing w:after="57"/>
      <w:ind w:left="1701" w:right="0" w:firstLine="0"/>
    </w:pPr>
  </w:style>
  <w:style w:type="paragraph" w:styleId="815">
    <w:name w:val="toc 8"/>
    <w:basedOn w:val="819"/>
    <w:next w:val="819"/>
    <w:uiPriority w:val="39"/>
    <w:unhideWhenUsed/>
    <w:pPr>
      <w:spacing w:after="57"/>
      <w:ind w:left="1984" w:right="0" w:firstLine="0"/>
    </w:pPr>
  </w:style>
  <w:style w:type="paragraph" w:styleId="816">
    <w:name w:val="toc 9"/>
    <w:basedOn w:val="819"/>
    <w:next w:val="819"/>
    <w:uiPriority w:val="39"/>
    <w:unhideWhenUsed/>
    <w:pPr>
      <w:spacing w:after="57"/>
      <w:ind w:left="2268" w:right="0" w:firstLine="0"/>
    </w:pPr>
  </w:style>
  <w:style w:type="paragraph" w:styleId="817">
    <w:name w:val="TOC Heading"/>
    <w:uiPriority w:val="39"/>
    <w:unhideWhenUsed/>
  </w:style>
  <w:style w:type="paragraph" w:styleId="818">
    <w:name w:val="table of figures"/>
    <w:basedOn w:val="819"/>
    <w:next w:val="819"/>
    <w:uiPriority w:val="99"/>
    <w:unhideWhenUsed/>
    <w:pPr>
      <w:spacing w:after="0" w:afterAutospacing="0"/>
    </w:pPr>
  </w:style>
  <w:style w:type="paragraph" w:styleId="819" w:default="1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820">
    <w:name w:val="Heading 1"/>
    <w:basedOn w:val="819"/>
    <w:next w:val="819"/>
    <w:link w:val="825"/>
    <w:uiPriority w:val="9"/>
    <w:qFormat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821">
    <w:name w:val="Heading 2"/>
    <w:basedOn w:val="819"/>
    <w:next w:val="819"/>
    <w:link w:val="826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styleId="822" w:default="1">
    <w:name w:val="Default Paragraph Font"/>
    <w:uiPriority w:val="1"/>
    <w:semiHidden/>
    <w:unhideWhenUsed/>
  </w:style>
  <w:style w:type="table" w:styleId="82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4" w:default="1">
    <w:name w:val="No List"/>
    <w:uiPriority w:val="99"/>
    <w:semiHidden/>
    <w:unhideWhenUsed/>
  </w:style>
  <w:style w:type="character" w:styleId="825" w:customStyle="1">
    <w:name w:val="Заголовок 1 Знак"/>
    <w:basedOn w:val="822"/>
    <w:link w:val="820"/>
    <w:uiPriority w:val="9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826" w:customStyle="1">
    <w:name w:val="Заголовок 2 Знак"/>
    <w:basedOn w:val="822"/>
    <w:link w:val="821"/>
    <w:uiPriority w:val="9"/>
    <w:semiHidden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ru-RU"/>
    </w:rPr>
  </w:style>
  <w:style w:type="paragraph" w:styleId="827" w:customStyle="1">
    <w:name w:val="Стиль1"/>
    <w:basedOn w:val="819"/>
    <w:pPr>
      <w:keepNext/>
      <w:keepLines/>
      <w:widowControl w:val="off"/>
      <w:suppressLineNumbers/>
      <w:tabs>
        <w:tab w:val="num" w:pos="720" w:leader="none"/>
      </w:tabs>
      <w:spacing w:after="60" w:line="240" w:lineRule="auto"/>
      <w:ind w:left="720" w:hanging="360"/>
    </w:pPr>
    <w:rPr>
      <w:rFonts w:ascii="Times New Roman" w:hAnsi="Times New Roman" w:cs="Times New Roman" w:eastAsia="Times New Roman"/>
      <w:b/>
      <w:sz w:val="28"/>
      <w:szCs w:val="24"/>
      <w:lang w:eastAsia="ar-SA"/>
    </w:rPr>
  </w:style>
  <w:style w:type="paragraph" w:styleId="828">
    <w:name w:val="List Paragraph"/>
    <w:basedOn w:val="819"/>
    <w:link w:val="829"/>
    <w:uiPriority w:val="34"/>
    <w:qFormat/>
    <w:pPr>
      <w:spacing w:after="0" w:line="240" w:lineRule="auto"/>
      <w:ind w:left="720"/>
    </w:pPr>
    <w:rPr>
      <w:rFonts w:ascii="Times New Roman" w:hAnsi="Times New Roman" w:cs="Times New Roman" w:eastAsia="Times New Roman"/>
      <w:sz w:val="24"/>
      <w:szCs w:val="24"/>
      <w:lang w:eastAsia="ar-SA"/>
    </w:rPr>
  </w:style>
  <w:style w:type="character" w:styleId="829" w:customStyle="1">
    <w:name w:val="Абзац списка Знак"/>
    <w:link w:val="828"/>
    <w:uiPriority w:val="34"/>
    <w:rPr>
      <w:rFonts w:ascii="Times New Roman" w:hAnsi="Times New Roman" w:cs="Times New Roman" w:eastAsia="Times New Roman"/>
      <w:sz w:val="24"/>
      <w:szCs w:val="24"/>
      <w:lang w:eastAsia="ar-SA"/>
    </w:rPr>
  </w:style>
  <w:style w:type="paragraph" w:styleId="830" w:customStyle="1">
    <w:name w:val="ConsPlusNormal"/>
    <w:link w:val="831"/>
    <w:pPr>
      <w:widowControl w:val="off"/>
      <w:spacing w:after="0" w:line="240" w:lineRule="auto"/>
      <w:ind w:firstLine="720"/>
    </w:pPr>
    <w:rPr>
      <w:rFonts w:ascii="Arial" w:hAnsi="Arial" w:cs="Arial" w:eastAsia="Times New Roman"/>
      <w:sz w:val="20"/>
      <w:szCs w:val="20"/>
      <w:lang w:eastAsia="ru-RU"/>
    </w:rPr>
  </w:style>
  <w:style w:type="character" w:styleId="831" w:customStyle="1">
    <w:name w:val="ConsPlusNormal Знак"/>
    <w:link w:val="830"/>
    <w:rPr>
      <w:rFonts w:ascii="Arial" w:hAnsi="Arial" w:cs="Arial" w:eastAsia="Times New Roman"/>
      <w:sz w:val="20"/>
      <w:szCs w:val="20"/>
      <w:lang w:eastAsia="ru-RU"/>
    </w:rPr>
  </w:style>
  <w:style w:type="paragraph" w:styleId="832" w:customStyle="1">
    <w:name w:val="ConsPlusNonformat"/>
    <w:uiPriority w:val="99"/>
    <w:pPr>
      <w:widowControl w:val="off"/>
      <w:spacing w:after="0" w:line="240" w:lineRule="auto"/>
    </w:pPr>
    <w:rPr>
      <w:rFonts w:ascii="Courier New" w:hAnsi="Courier New" w:cs="Courier New" w:eastAsia="Times New Roman"/>
      <w:sz w:val="20"/>
      <w:szCs w:val="20"/>
      <w:lang w:eastAsia="ru-RU"/>
    </w:rPr>
  </w:style>
  <w:style w:type="paragraph" w:styleId="833" w:customStyle="1">
    <w:name w:val="ConsNormal"/>
    <w:link w:val="835"/>
    <w:qFormat/>
    <w:pPr>
      <w:widowControl w:val="off"/>
      <w:spacing w:after="0" w:line="240" w:lineRule="auto"/>
      <w:ind w:firstLine="720"/>
    </w:pPr>
    <w:rPr>
      <w:rFonts w:ascii="Arial" w:hAnsi="Arial" w:cs="Times New Roman" w:eastAsia="Times New Roman"/>
      <w:sz w:val="24"/>
      <w:szCs w:val="24"/>
      <w:lang w:eastAsia="ru-RU"/>
    </w:rPr>
  </w:style>
  <w:style w:type="paragraph" w:styleId="834" w:customStyle="1">
    <w:name w:val="Абзац списка3"/>
    <w:basedOn w:val="819"/>
    <w:pPr>
      <w:spacing w:after="0" w:line="240" w:lineRule="auto"/>
      <w:ind w:left="720"/>
      <w:contextualSpacing/>
    </w:pPr>
    <w:rPr>
      <w:rFonts w:ascii="Times New Roman" w:hAnsi="Times New Roman" w:cs="Times New Roman" w:eastAsia="Calibri"/>
      <w:sz w:val="20"/>
      <w:szCs w:val="20"/>
    </w:rPr>
  </w:style>
  <w:style w:type="character" w:styleId="835" w:customStyle="1">
    <w:name w:val="ConsNormal Знак"/>
    <w:link w:val="833"/>
    <w:rPr>
      <w:rFonts w:ascii="Arial" w:hAnsi="Arial" w:cs="Times New Roman" w:eastAsia="Times New Roman"/>
      <w:sz w:val="24"/>
      <w:szCs w:val="24"/>
      <w:lang w:eastAsia="ru-RU"/>
    </w:rPr>
  </w:style>
  <w:style w:type="character" w:styleId="836">
    <w:name w:val="Hyperlink"/>
    <w:uiPriority w:val="99"/>
    <w:rPr>
      <w:color w:val="0000FF"/>
      <w:u w:val="single"/>
    </w:rPr>
  </w:style>
  <w:style w:type="table" w:styleId="837" w:customStyle="1">
    <w:name w:val="Коммерческое предложение МЦПП"/>
    <w:basedOn w:val="838"/>
    <w:uiPriority w:val="99"/>
    <w:pPr>
      <w:jc w:val="center"/>
    </w:pPr>
    <w:rPr>
      <w:rFonts w:ascii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adecb" w:themeFill="accent2" w:themeFillTint="3F"/>
      <w:vAlign w:val="center"/>
    </w:tcPr>
    <w:tblStylePr w:type="band1Horz">
      <w:tcPr>
        <w:shd w:val="clear" w:color="auto" w:fill="ffffff"/>
      </w:tcPr>
    </w:tblStylePr>
    <w:tblStylePr w:type="band1Vert">
      <w:tcPr>
        <w:shd w:val="clear" w:color="auto" w:fill="dfa7a6"/>
      </w:tcPr>
    </w:tblStylePr>
    <w:tblStylePr w:type="firstCol">
      <w:rPr>
        <w:b/>
        <w:bCs/>
      </w:rPr>
    </w:tblStylePr>
    <w:tblStylePr w:type="firstRow">
      <w:rPr>
        <w:rFonts w:ascii="Times New Roman" w:hAnsi="Times New Roman"/>
        <w:b/>
        <w:bCs/>
        <w:color w:val="FFFFFF"/>
        <w:sz w:val="20"/>
      </w:rPr>
      <w:pPr>
        <w:jc w:val="center"/>
      </w:pPr>
      <w:tcPr>
        <w:tc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cBorders>
        <w:shd w:val="clear" w:color="auto" w:fill="c0504d"/>
      </w:tcPr>
    </w:tblStylePr>
    <w:tblStylePr w:type="lastCol">
      <w:rPr>
        <w:b/>
        <w:bCs/>
      </w:rPr>
    </w:tblStylePr>
    <w:tblStylePr w:type="lastRow">
      <w:rPr>
        <w:rFonts w:ascii="Times New Roman" w:hAnsi="Times New Roman"/>
        <w:b/>
        <w:bCs/>
        <w:sz w:val="28"/>
      </w:rPr>
      <w:tcPr>
        <w:tcBorders>
          <w:top w:val="single" w:color="CF7B79" w:sz="18" w:space="0"/>
        </w:tcBorders>
        <w:shd w:val="clear" w:color="auto" w:fill="c0504d"/>
      </w:tcPr>
    </w:tblStylePr>
  </w:style>
  <w:style w:type="table" w:styleId="838">
    <w:name w:val="Medium Grid 1 Accent 2"/>
    <w:basedOn w:val="823"/>
    <w:uiPriority w:val="67"/>
    <w:semiHidden/>
    <w:unhideWhenUsed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adecb" w:themeFill="accent2" w:themeFillTint="3F"/>
    </w:tcPr>
    <w:tblStylePr w:type="band1Horz">
      <w:tcPr>
        <w:shd w:val="clear" w:color="auto" w:fill="f6be98" w:themeFill="accent2" w:themeFillTint="7F"/>
      </w:tcPr>
    </w:tblStylePr>
    <w:tblStylePr w:type="band1Vert">
      <w:tcPr>
        <w:shd w:val="clear" w:color="auto" w:fill="f6be98" w:themeFill="accent2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F19D64" w:themeColor="accent2" w:themeTint="BF" w:sz="18" w:space="0"/>
        </w:tcBorders>
      </w:tcPr>
    </w:tblStylePr>
  </w:style>
  <w:style w:type="paragraph" w:styleId="839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consultant.ru/document/cons_doc_LAW_34683/4569271b398f6626f013b7810841287b4792d81f/" TargetMode="External"/><Relationship Id="rId10" Type="http://schemas.openxmlformats.org/officeDocument/2006/relationships/hyperlink" Target="http://base.consultant.ru/cons/cgi/online.cgi?req=doc;base=LAW;n=2248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revision>87</cp:revision>
  <dcterms:created xsi:type="dcterms:W3CDTF">2021-10-13T13:44:00Z</dcterms:created>
  <dcterms:modified xsi:type="dcterms:W3CDTF">2026-07-06T07:06:39Z</dcterms:modified>
</cp:coreProperties>
</file>