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контракт (проект)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г. Ижевск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«__» ________</w:t>
      </w:r>
      <w:r>
        <w:rPr>
          <w:rFonts w:ascii="Times New Roman" w:hAnsi="Times New Roman"/>
          <w:bCs/>
          <w:sz w:val="24"/>
          <w:szCs w:val="24"/>
        </w:rPr>
        <w:t xml:space="preserve">_</w:t>
      </w:r>
      <w:r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 xml:space="preserve">2</w:t>
      </w:r>
      <w:r>
        <w:rPr>
          <w:rFonts w:ascii="Times New Roman" w:hAnsi="Times New Roman"/>
          <w:bCs/>
          <w:sz w:val="24"/>
          <w:szCs w:val="24"/>
        </w:rPr>
        <w:t xml:space="preserve">6 </w:t>
      </w:r>
      <w:r>
        <w:rPr>
          <w:rFonts w:ascii="Times New Roman" w:hAnsi="Times New Roman"/>
          <w:bCs/>
          <w:sz w:val="24"/>
          <w:szCs w:val="24"/>
        </w:rPr>
        <w:t xml:space="preserve">г.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71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708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ение Федеральной службы государственной регистрации, кадастра и</w:t>
        <w:br/>
        <w:t xml:space="preserve"> картографии по Удмуртской Республике (далее - Управление), именуемое в дальнейшем Заказчик, в лице заместителя руководителя Баймаковой Юлии Владимировны, действующей на основании Доверенности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 01.12.2025 г. № 026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с одной стороны, и __________ именуемое в дальнейшем Поставщик, в лице __________________, действующего на основании __________________, с другой стороны, на основании п. 4 ч. 1 ст. 93 Федерального закона от 05.04.2013 № 44-ФЗ «О контрактной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истеме в сфере закупок товаров, работ, услуг для обеспечения государственных и муниципальных нужд», заключили настоящий Государственный контракт: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4"/>
        <w:ind w:righ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Предмет контракта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874"/>
        <w:ind w:righ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канцелярских принадлежностей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(далее - товар), в количестве и по ценам, указанным в спецификации (Приложения № 1)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техническом задании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 настоящему Контракту.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</w:p>
    <w:p>
      <w:pPr>
        <w:pStyle w:val="874"/>
        <w:ind w:righ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1.2.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Право собственности на товар, являющийся предметом настоящего Контракта,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переходит к Заказчику с момента передачи его Заказчику после подписания сторонами товарной накладной или иному товарораспорядительному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докуме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подтверждающего его получение.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этого момента 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Заказчику переходят все риски, в том числе и риск случайной гибели, и расходы, приходящиеся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товар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14:ligatures w14:val="none"/>
        </w:rPr>
      </w:r>
    </w:p>
    <w:p>
      <w:pPr>
        <w:pStyle w:val="874"/>
        <w:ind w:righ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Источник финансирования: Федеральный бюджет.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</w:p>
    <w:p>
      <w:pPr>
        <w:pStyle w:val="874"/>
        <w:ind w:righ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</w:p>
    <w:p>
      <w:pPr>
        <w:jc w:val="center"/>
        <w:spacing w:after="0"/>
        <w:rPr>
          <w:rFonts w:ascii="Tahoma" w:hAnsi="Tahoma" w:eastAsia="Times New Roman" w:cs="Tahoma"/>
          <w:sz w:val="19"/>
          <w:szCs w:val="19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Стоимость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товаров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порядок оплаты</w:t>
      </w:r>
      <w:r>
        <w:rPr>
          <w:rFonts w:ascii="Tahoma" w:hAnsi="Tahoma" w:eastAsia="Times New Roman" w:cs="Tahoma"/>
          <w:sz w:val="19"/>
          <w:szCs w:val="19"/>
        </w:rPr>
      </w:r>
      <w:r>
        <w:rPr>
          <w:rFonts w:ascii="Tahoma" w:hAnsi="Tahoma" w:eastAsia="Times New Roman" w:cs="Tahoma"/>
          <w:sz w:val="19"/>
          <w:szCs w:val="19"/>
        </w:rPr>
      </w:r>
    </w:p>
    <w:p>
      <w:pPr>
        <w:pStyle w:val="874"/>
        <w:ind w:righ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Цена контракта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 рублей ___ копеек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т.ч. НДС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___%. (в случае, если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Поставщик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имеет право на освобождение от уплаты НДС, то слова «в т.ч. НДС» заменяются на слова «НДС не облагается»).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pStyle w:val="874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</w:t>
      </w:r>
      <w:r>
        <w:rPr>
          <w:rFonts w:ascii="Times New Roman" w:hAnsi="Times New Roman" w:cs="Times New Roman"/>
          <w:sz w:val="24"/>
        </w:rPr>
        <w:t xml:space="preserve">.2.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Цена контракта включает </w:t>
      </w:r>
      <w:r>
        <w:rPr>
          <w:rFonts w:ascii="Times New Roman" w:hAnsi="Times New Roman" w:cs="Times New Roman"/>
          <w:sz w:val="24"/>
          <w:szCs w:val="24"/>
        </w:rPr>
        <w:t xml:space="preserve">в себя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 расходы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 xml:space="preserve">расходы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расходные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, расходы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перевозку, страхование, уплату таможенных пошлин, налогов, сборов и других обязательных платежей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 за исключением случаев, предусмотренных законодательством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right="0" w:firstLine="709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 xml:space="preserve">2</w:t>
      </w:r>
      <w:r>
        <w:rPr>
          <w:rFonts w:ascii="Times New Roman" w:hAnsi="Times New Roman" w:cs="Times New Roman"/>
          <w:color w:val="000000"/>
          <w:spacing w:val="2"/>
          <w:sz w:val="24"/>
        </w:rPr>
        <w:t xml:space="preserve">.3. </w:t>
      </w:r>
      <w:r>
        <w:rPr>
          <w:rFonts w:ascii="Times New Roman" w:hAnsi="Times New Roman" w:cs="Times New Roman"/>
          <w:color w:val="000000"/>
          <w:spacing w:val="2"/>
          <w:sz w:val="24"/>
        </w:rPr>
        <w:tab/>
      </w:r>
      <w:r>
        <w:rPr>
          <w:rFonts w:ascii="Times New Roman" w:hAnsi="Times New Roman"/>
          <w:spacing w:val="2"/>
          <w:sz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/>
          <w:spacing w:val="2"/>
          <w:sz w:val="24"/>
        </w:rPr>
        <w:t xml:space="preserve">Поставщика </w:t>
      </w:r>
      <w:r>
        <w:rPr>
          <w:rStyle w:val="876"/>
          <w:sz w:val="25"/>
          <w:szCs w:val="25"/>
        </w:rPr>
        <w:t xml:space="preserve">в пределах лимитов бюджетных обязательств, подлежащих исполнению за счет ср</w:t>
      </w:r>
      <w:r>
        <w:rPr>
          <w:rStyle w:val="876"/>
          <w:sz w:val="25"/>
          <w:szCs w:val="25"/>
        </w:rPr>
        <w:t xml:space="preserve">е</w:t>
      </w:r>
      <w:r>
        <w:rPr>
          <w:rStyle w:val="876"/>
          <w:sz w:val="25"/>
          <w:szCs w:val="25"/>
        </w:rPr>
        <w:t xml:space="preserve">дств Федерального бюджета в 202</w:t>
      </w:r>
      <w:r>
        <w:rPr>
          <w:rStyle w:val="876"/>
          <w:sz w:val="25"/>
          <w:szCs w:val="25"/>
        </w:rPr>
        <w:t xml:space="preserve">6 году</w:t>
      </w:r>
      <w:r>
        <w:rPr>
          <w:rFonts w:ascii="Times New Roman" w:hAnsi="Times New Roman"/>
          <w:spacing w:val="2"/>
          <w:sz w:val="24"/>
        </w:rPr>
        <w:t xml:space="preserve">. В случае изменения расчетного счета </w:t>
      </w:r>
      <w:r>
        <w:rPr>
          <w:rFonts w:ascii="Times New Roman" w:hAnsi="Times New Roman"/>
          <w:spacing w:val="2"/>
          <w:sz w:val="24"/>
        </w:rPr>
        <w:t xml:space="preserve">Поставщик</w:t>
      </w:r>
      <w:r>
        <w:rPr>
          <w:rFonts w:ascii="Times New Roman" w:hAnsi="Times New Roman"/>
          <w:spacing w:val="2"/>
          <w:sz w:val="24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</w:t>
      </w:r>
      <w:r>
        <w:rPr>
          <w:rFonts w:ascii="Times New Roman" w:hAnsi="Times New Roman"/>
          <w:spacing w:val="2"/>
          <w:sz w:val="24"/>
        </w:rPr>
        <w:t xml:space="preserve">Поставщика</w:t>
      </w:r>
      <w:r>
        <w:rPr>
          <w:rFonts w:ascii="Times New Roman" w:hAnsi="Times New Roman"/>
          <w:spacing w:val="2"/>
          <w:sz w:val="24"/>
        </w:rPr>
        <w:t xml:space="preserve">, несет </w:t>
      </w:r>
      <w:r>
        <w:rPr>
          <w:rFonts w:ascii="Times New Roman" w:hAnsi="Times New Roman"/>
          <w:spacing w:val="2"/>
          <w:sz w:val="24"/>
        </w:rPr>
        <w:t xml:space="preserve">Поставщик</w:t>
      </w:r>
      <w:r>
        <w:rPr>
          <w:rFonts w:ascii="Times New Roman" w:hAnsi="Times New Roman"/>
          <w:spacing w:val="2"/>
          <w:sz w:val="24"/>
        </w:rPr>
        <w:t xml:space="preserve">.</w:t>
      </w:r>
      <w:r>
        <w:rPr>
          <w:rFonts w:ascii="Times New Roman" w:hAnsi="Times New Roman"/>
          <w:spacing w:val="2"/>
          <w:sz w:val="24"/>
        </w:rPr>
      </w:r>
      <w:r>
        <w:rPr>
          <w:rFonts w:ascii="Times New Roman" w:hAnsi="Times New Roman"/>
          <w:spacing w:val="2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Arial"/>
          <w:spacing w:val="2"/>
          <w:sz w:val="24"/>
          <w:szCs w:val="20"/>
        </w:rPr>
      </w:pP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2.4. 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 Оплата Заказчиком производится после поставки все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го товара Заказчику, в течение 10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 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рабоч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их дней с момента получения счета-фактуры, счета, товарной накладной или иного товарораспорядительного документа.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 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</w:r>
      <w:r>
        <w:rPr>
          <w:rFonts w:ascii="Times New Roman" w:hAnsi="Times New Roman" w:eastAsia="Times New Roman" w:cs="Arial"/>
          <w:spacing w:val="2"/>
          <w:sz w:val="24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Arial"/>
          <w:spacing w:val="2"/>
          <w:sz w:val="24"/>
          <w:szCs w:val="20"/>
        </w:rPr>
      </w:pP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2.5. 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ab/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В случае неисполнения или ненадлежащего исполнения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</w:r>
      <w:r>
        <w:rPr>
          <w:rFonts w:ascii="Times New Roman" w:hAnsi="Times New Roman" w:eastAsia="Times New Roman" w:cs="Arial"/>
          <w:spacing w:val="2"/>
          <w:sz w:val="24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Arial"/>
          <w:spacing w:val="2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Arial"/>
          <w:spacing w:val="2"/>
          <w:sz w:val="24"/>
          <w:szCs w:val="20"/>
        </w:rPr>
        <w:t xml:space="preserve">2.6. </w:t>
      </w:r>
      <w:r>
        <w:rPr>
          <w:rFonts w:ascii="Times New Roman" w:hAnsi="Times New Roman" w:eastAsia="Times New Roman" w:cs="Arial"/>
          <w:spacing w:val="2"/>
          <w:sz w:val="24"/>
          <w:szCs w:val="20"/>
        </w:rPr>
        <w:tab/>
      </w:r>
      <w:r>
        <w:rPr>
          <w:rFonts w:ascii="Times New Roman" w:hAnsi="Times New Roman" w:eastAsia="Times New Roman" w:cs="Arial"/>
          <w:spacing w:val="2"/>
          <w:sz w:val="24"/>
          <w:szCs w:val="24"/>
        </w:rPr>
        <w:t xml:space="preserve">В случае если Контракт заключается с юридическим лицом или физическим лицом, в том числе зарегистрированны</w:t>
      </w:r>
      <w:r>
        <w:rPr>
          <w:rFonts w:ascii="Times New Roman" w:hAnsi="Times New Roman" w:eastAsia="Times New Roman" w:cs="Arial"/>
          <w:spacing w:val="2"/>
          <w:sz w:val="24"/>
          <w:szCs w:val="24"/>
        </w:rPr>
        <w:t xml:space="preserve">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hyperlink r:id="rId11" w:tooltip="https://demo.garant.ru/#/document/10900200/entry/1" w:anchor="/document/10900200/entry/1" w:history="1">
        <w:r>
          <w:rPr>
            <w:rFonts w:ascii="Times New Roman" w:hAnsi="Times New Roman" w:eastAsia="Times New Roman" w:cs="Arial"/>
            <w:spacing w:val="2"/>
            <w:sz w:val="24"/>
            <w:szCs w:val="24"/>
          </w:rPr>
          <w:t xml:space="preserve">законодательством</w:t>
        </w:r>
      </w:hyperlink>
      <w:r>
        <w:rPr>
          <w:rFonts w:ascii="Times New Roman" w:hAnsi="Times New Roman" w:eastAsia="Times New Roman" w:cs="Arial"/>
          <w:spacing w:val="2"/>
          <w:sz w:val="24"/>
          <w:szCs w:val="24"/>
        </w:rPr>
        <w:t xml:space="preserve"> 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Arial"/>
          <w:spacing w:val="2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Arial"/>
          <w:spacing w:val="2"/>
          <w:sz w:val="24"/>
          <w:szCs w:val="24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Arial"/>
          <w:spacing w:val="2"/>
          <w:sz w:val="24"/>
          <w:szCs w:val="20"/>
        </w:rPr>
      </w:pPr>
      <w:r>
        <w:rPr>
          <w:rFonts w:ascii="Times New Roman" w:hAnsi="Times New Roman" w:eastAsia="Times New Roman" w:cs="Arial"/>
          <w:spacing w:val="2"/>
          <w:sz w:val="24"/>
          <w:szCs w:val="20"/>
        </w:rPr>
      </w:r>
      <w:r>
        <w:rPr>
          <w:rFonts w:ascii="Times New Roman" w:hAnsi="Times New Roman" w:eastAsia="Times New Roman" w:cs="Arial"/>
          <w:spacing w:val="2"/>
          <w:sz w:val="24"/>
          <w:szCs w:val="20"/>
        </w:rPr>
      </w:r>
      <w:r>
        <w:rPr>
          <w:rFonts w:ascii="Times New Roman" w:hAnsi="Times New Roman" w:eastAsia="Times New Roman" w:cs="Arial"/>
          <w:spacing w:val="2"/>
          <w:sz w:val="24"/>
          <w:szCs w:val="20"/>
        </w:rPr>
      </w:r>
    </w:p>
    <w:p>
      <w:pPr>
        <w:pStyle w:val="8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Порядок поставки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Поставка Товара производится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заявкам Заказчика в течение </w:t>
      </w:r>
      <w:r>
        <w:rPr>
          <w:rFonts w:ascii="Times New Roman" w:hAnsi="Times New Roman" w:cs="Times New Roman"/>
          <w:sz w:val="24"/>
          <w:szCs w:val="24"/>
        </w:rPr>
        <w:t xml:space="preserve">3 (трех)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поступления заявки, </w:t>
      </w:r>
      <w:r>
        <w:rPr>
          <w:rFonts w:ascii="Times New Roman" w:hAnsi="Times New Roman" w:cs="Times New Roman"/>
          <w:sz w:val="24"/>
          <w:szCs w:val="24"/>
        </w:rPr>
        <w:t xml:space="preserve">в рабочее время Управления.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</w:r>
    </w:p>
    <w:p>
      <w:pPr>
        <w:pStyle w:val="87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</w:t>
      </w:r>
      <w:r>
        <w:rPr>
          <w:rFonts w:ascii="Times New Roman" w:hAnsi="Times New Roman"/>
          <w:bCs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Поставка, разгрузка товара на склад Заказчика осуществляется на транспорте и силами Поставщика. Доставка товара осуществляется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рабочее время Заказчика (9:00 – 16:00)</w:t>
      </w:r>
      <w:r>
        <w:rPr>
          <w:rFonts w:ascii="Times New Roman" w:hAnsi="Times New Roman"/>
          <w:sz w:val="24"/>
          <w:szCs w:val="24"/>
        </w:rPr>
        <w:t xml:space="preserve"> по адресу: 4260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, Удмуртская Республика, г. Ижевск, ул. </w:t>
      </w:r>
      <w:r>
        <w:rPr>
          <w:rFonts w:ascii="Times New Roman" w:hAnsi="Times New Roman"/>
          <w:sz w:val="24"/>
          <w:szCs w:val="24"/>
        </w:rPr>
        <w:t xml:space="preserve">Пушкинская, 120.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 xml:space="preserve">3.</w:t>
      </w:r>
      <w:r>
        <w:rPr>
          <w:rFonts w:ascii="Times New Roman" w:hAnsi="Times New Roman"/>
          <w:bCs/>
          <w:sz w:val="24"/>
        </w:rPr>
        <w:t xml:space="preserve">3</w:t>
      </w:r>
      <w:r>
        <w:rPr>
          <w:rFonts w:ascii="Times New Roman" w:hAnsi="Times New Roman"/>
          <w:bCs/>
          <w:sz w:val="24"/>
        </w:rPr>
        <w:t xml:space="preserve">.</w:t>
      </w:r>
      <w:r>
        <w:rPr>
          <w:rFonts w:ascii="Times New Roman" w:hAnsi="Times New Roman"/>
          <w:sz w:val="24"/>
          <w:szCs w:val="24"/>
        </w:rPr>
        <w:tab/>
        <w:t xml:space="preserve">По</w:t>
      </w:r>
      <w:r>
        <w:rPr>
          <w:rFonts w:ascii="Times New Roman" w:hAnsi="Times New Roman"/>
          <w:sz w:val="24"/>
          <w:szCs w:val="24"/>
        </w:rPr>
        <w:t xml:space="preserve">ставка товара осуществляется в невозвратной таре и упаковке, соответствующих государственным стандартам, техническим условиям, и обеспечивающей сохранность качества товара при его транспортировке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Товара Поставщик передает Заказчику подписанные Поставщиком документы сдачи-приемки товара, относящиеся к Товару: товарную накладную, счет, счет-фактуру.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Порядок приемки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4.1. Приемка товара производится по количеству, комплектности и качеству.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4.2. Приемка товара по количеству осуществляется в момент поставки товара в присутствии Поставщика, путем сплошного подсчета единиц каждого наименования, указанного в сопроводительных документах. Количество поставляемого Поставщиком товара определяется тов</w:t>
      </w:r>
      <w:r>
        <w:rPr>
          <w:rFonts w:ascii="Times New Roman" w:hAnsi="Times New Roman" w:cs="Times New Roman"/>
          <w:sz w:val="24"/>
          <w:szCs w:val="24"/>
        </w:rPr>
        <w:t xml:space="preserve">арными накладными в соответствии со Спецификацией. Приемка товара по количеству подтверждается подписанными товарными накладными.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4.3. Приемка по комплектности и качеству производится в срок до 5 рабочих дней с момента поставки товара. Приемка по комплектности и качеству допускается без присутствия Поставщика.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4.4. При обнаружении несоответствия комплектности или качества поставленного товара приемка прекращается. Дальнейшая приемка товара производится только в </w:t>
      </w:r>
      <w:r>
        <w:rPr>
          <w:rFonts w:ascii="Times New Roman" w:hAnsi="Times New Roman" w:cs="Times New Roman"/>
          <w:sz w:val="24"/>
          <w:szCs w:val="24"/>
        </w:rPr>
        <w:t xml:space="preserve">присутствии Поставщика.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4.5. По результатам приемки Заказчиком подписываются платежные документыили дается мотивированный отказ с указанием всех недостатков.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4.6. В случае мотивированного отказа Заказчика от подписания платежных документов Поставщик в течение 10 дней с момента получения уведомления в отказе от подписания обязан устранить выявленные в ходе исполнения Контракта недостатки.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4.7. Заказчик в любой момент имеет право на проведение экспертизы, технического контроля и (или) испытаний Товара с целью подтверждения его соответствия условиям настоящего Контракта. В этом случае срок проверки поставленного товара увеличивается на время </w:t>
      </w:r>
      <w:r>
        <w:rPr>
          <w:rFonts w:ascii="Times New Roman" w:hAnsi="Times New Roman" w:cs="Times New Roman"/>
          <w:sz w:val="24"/>
          <w:szCs w:val="24"/>
        </w:rPr>
        <w:t xml:space="preserve">проведения мероприятий по техническому контролю и испытаний.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4.8. В случае выявления по результатам экспертизы, технического контроля и (или) испытаний несоответствия товара условиям Контракта, Поставщик в десятидневный срок возмещает Заказчику понесенные затраты на основании подтверждающих документов.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4.9. Если хотя бы одна единица Товара определенного наименования, подвергшегося экспертизе, техническому контролю или испытаниям, не будет соответствовать условиям настоящего Контракта, Заказчик может отказаться от всего Товара и Поставщик должен будет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позднее 10 (десяти) рабочих дней заменить несоответствующей условиям Контракта весь Товар данного наиме</w:t>
      </w:r>
      <w:r>
        <w:rPr>
          <w:rFonts w:ascii="Times New Roman" w:hAnsi="Times New Roman" w:cs="Times New Roman"/>
          <w:sz w:val="24"/>
          <w:szCs w:val="24"/>
        </w:rPr>
        <w:t xml:space="preserve">нования, без каких либо затрат со стороны Заказчика.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4.10. Выполнение обязательств Поставщиком по поставке Товара будет исполнено только по получении Заказчиком всего Товара и подписания Заказчиком документов, предусмотренных настоящим Контрактом.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rPr>
          <w:rFonts w:ascii="Times New Roman" w:hAnsi="Times New Roman" w:cs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4.11. Поставка Товара будет считаться осуществленной с момента подписания обеими сторонами платежных документов на товар.</w:t>
      </w:r>
      <w:r>
        <w:rPr>
          <w:rFonts w:ascii="Times New Roman" w:hAnsi="Times New Roman" w:cs="Times New Roman"/>
          <w:szCs w:val="24"/>
          <w14:ligatures w14:val="none"/>
        </w:rPr>
      </w:r>
      <w:r>
        <w:rPr>
          <w:rFonts w:ascii="Times New Roman" w:hAnsi="Times New Roman" w:cs="Times New Roman"/>
          <w:szCs w:val="24"/>
          <w14:ligatures w14:val="none"/>
        </w:rPr>
      </w:r>
    </w:p>
    <w:p>
      <w:pPr>
        <w:pStyle w:val="873"/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4.12. Риск случайной пор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чи или гибели Товара возлагается на Поставщика до момента передачи Товара Заказчику по адресу, указанному в п. 3.2. настоящего контракта.</w:t>
      </w:r>
      <w:r/>
    </w:p>
    <w:p>
      <w:pPr>
        <w:pStyle w:val="87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ind w:righ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Ответственность сторон</w: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Просрочкой является нарушение сторонами сроков исполнения своих обязательств по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.2 </w:t>
      </w:r>
      <w:r>
        <w:rPr>
          <w:rFonts w:ascii="Times New Roman" w:hAnsi="Times New Roman"/>
          <w:sz w:val="24"/>
          <w:szCs w:val="24"/>
        </w:rPr>
        <w:tab/>
        <w:t xml:space="preserve">Нарушение условий контракта, не являющееся просрочкой, является ненадлежащим исполнением условий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ab/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ab/>
        <w:t xml:space="preserve">Пеня начисляется за каждый день просрочки исполнения Заказчиком обязательства, предусмотренного Контрактом, начин</w:t>
      </w:r>
      <w:r>
        <w:rPr>
          <w:rFonts w:ascii="Times New Roman" w:hAnsi="Times New Roman"/>
          <w:sz w:val="24"/>
          <w:szCs w:val="24"/>
        </w:rPr>
        <w:t xml:space="preserve">ая со дня, следующего после дня истечения установленного Контрактом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ab/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ab/>
        <w:t xml:space="preserve"> вправе потребовать уплату штрафа. Размер штрафа определяется в соответствии с Правилами и составляет 1000 (одна тысяча) 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ab/>
        <w:t xml:space="preserve">За каждый факт неисполнения</w:t>
      </w:r>
      <w:r>
        <w:rPr>
          <w:rFonts w:ascii="Times New Roman" w:hAnsi="Times New Roman"/>
          <w:sz w:val="24"/>
          <w:szCs w:val="24"/>
        </w:rPr>
        <w:t xml:space="preserve">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уплачивает Заказчику штраф.</w:t>
      </w:r>
      <w:r>
        <w:rPr>
          <w:rFonts w:ascii="Times New Roman" w:hAnsi="Times New Roman"/>
          <w:sz w:val="24"/>
          <w:szCs w:val="24"/>
        </w:rPr>
        <w:t xml:space="preserve">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</w:t>
      </w:r>
      <w:r>
        <w:rPr>
          <w:rFonts w:ascii="Times New Roman" w:hAnsi="Times New Roman"/>
          <w:sz w:val="24"/>
          <w:szCs w:val="24"/>
        </w:rPr>
        <w:t xml:space="preserve">онтрактом (за исключением просрочки исполнения обязательств Заказчиком, Исполнителем (Подрядчиком, Исполнителем), утвержденными постановлением Правительства Российской Федерации от 30 августа 2017 г. № 1042</w:t>
      </w:r>
      <w:r>
        <w:rPr>
          <w:rFonts w:ascii="Times New Roman" w:hAnsi="Times New Roman"/>
          <w:sz w:val="24"/>
          <w:szCs w:val="24"/>
        </w:rPr>
        <w:t xml:space="preserve"> (далее - Правила), и составляет 10 % от цены Контракта (этапа) в случае, если цена Контракта (этапа) не превышает 3 млн. 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.7. </w:t>
      </w:r>
      <w:r>
        <w:rPr>
          <w:rFonts w:ascii="Times New Roman" w:hAnsi="Times New Roman"/>
          <w:sz w:val="24"/>
          <w:szCs w:val="24"/>
        </w:rPr>
        <w:tab/>
        <w:t xml:space="preserve">За каждый факт неисполнения или ненадлежащего исполнения Исполнителем (Подрядчиком, Исполнителем) обязательств, предусмотренных Контрактом, заключенным </w:t>
      </w:r>
      <w:r>
        <w:rPr>
          <w:rFonts w:ascii="Times New Roman" w:hAnsi="Times New Roman"/>
          <w:sz w:val="24"/>
          <w:szCs w:val="24"/>
        </w:rPr>
        <w:t xml:space="preserve">по результатам определения Исполнителя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- Фе</w:t>
      </w:r>
      <w:r>
        <w:rPr>
          <w:rFonts w:ascii="Times New Roman" w:hAnsi="Times New Roman"/>
          <w:sz w:val="24"/>
          <w:szCs w:val="24"/>
        </w:rPr>
        <w:t xml:space="preserve">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1 % цены Контракта (этапа), но не более 5 тыс. рублей и не менее 1 тыс. 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.8.</w:t>
      </w:r>
      <w:r>
        <w:rPr>
          <w:rFonts w:ascii="Times New Roman" w:hAnsi="Times New Roman"/>
          <w:sz w:val="24"/>
          <w:szCs w:val="24"/>
        </w:rPr>
        <w:tab/>
        <w:t xml:space="preserve">Пеня начисляется за каждый день просрочки исполнения Исполнителем обязательства, предусмотренного Контрактом, в </w:t>
      </w:r>
      <w:r>
        <w:rPr>
          <w:rFonts w:ascii="Times New Roman" w:hAnsi="Times New Roman"/>
          <w:sz w:val="24"/>
          <w:szCs w:val="24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.9. </w:t>
      </w:r>
      <w:r>
        <w:rPr>
          <w:rFonts w:ascii="Times New Roman" w:hAnsi="Times New Roman"/>
          <w:sz w:val="24"/>
          <w:szCs w:val="24"/>
        </w:rPr>
        <w:tab/>
        <w:t xml:space="preserve"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.10. </w:t>
      </w:r>
      <w:r>
        <w:rPr>
          <w:rFonts w:ascii="Times New Roman" w:hAnsi="Times New Roman"/>
          <w:sz w:val="24"/>
          <w:szCs w:val="24"/>
        </w:rPr>
        <w:tab/>
        <w:t xml:space="preserve"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оставщиком </w:t>
      </w:r>
      <w:r>
        <w:rPr>
          <w:rFonts w:ascii="Times New Roman" w:hAnsi="Times New Roman"/>
          <w:sz w:val="24"/>
          <w:szCs w:val="24"/>
        </w:rPr>
        <w:t xml:space="preserve">обязательства (в том числе просрочки исполнения обязательства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, предусмотренного настоящим Контрактом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аказчик </w:t>
      </w:r>
      <w:r>
        <w:rPr>
          <w:rFonts w:ascii="Times New Roman" w:hAnsi="Times New Roman"/>
          <w:sz w:val="24"/>
          <w:szCs w:val="24"/>
        </w:rPr>
        <w:t xml:space="preserve">вправе выставить требование об уплате неустоек (штрафов, пеней), котор</w:t>
      </w:r>
      <w:r>
        <w:rPr>
          <w:rFonts w:ascii="Times New Roman" w:hAnsi="Times New Roman"/>
          <w:sz w:val="24"/>
          <w:szCs w:val="24"/>
        </w:rPr>
        <w:t xml:space="preserve">ое подлежит исполнению в течени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3 (трёх) рабочих дней с даты получения. Заказчик вправе удержать сумму штрафа или пени из суммы обеспечения исполнения Контракта (внесённого денежными средствами), если в течени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3 (трёх) рабочих дней после получения требования </w:t>
      </w:r>
      <w:r>
        <w:rPr>
          <w:rFonts w:ascii="Times New Roman" w:hAnsi="Times New Roman"/>
          <w:sz w:val="24"/>
          <w:szCs w:val="24"/>
        </w:rPr>
        <w:t xml:space="preserve">Поставщик </w:t>
      </w:r>
      <w:r>
        <w:rPr>
          <w:rFonts w:ascii="Times New Roman" w:hAnsi="Times New Roman"/>
          <w:sz w:val="24"/>
          <w:szCs w:val="24"/>
        </w:rPr>
        <w:t xml:space="preserve">его не исполнит.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.12. </w:t>
      </w:r>
      <w:r>
        <w:rPr>
          <w:rFonts w:ascii="Times New Roman" w:hAnsi="Times New Roman"/>
          <w:sz w:val="24"/>
          <w:szCs w:val="24"/>
        </w:rPr>
        <w:tab/>
        <w:t xml:space="preserve">Реквизиты для перечисления неустойки (штрафы, пени):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Наименование получателя: УФК по Удмуртской Республике (Управление </w:t>
        <w:br/>
        <w:t xml:space="preserve">Росреестра по Удмуртской Республике)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ИНН:1835062672, КПП: 184101001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Банк получателя: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ОКЦ № 1 ВВГУ Банка России//УФК по Удмуртской Республике г. Ижевск 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БИК: 042202118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Лицевой счет: 04131W00510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Единый казначейский счет: 40102810745370000118 Казначейский счет: 03100643000000011300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КБК: 321 1 16 07010019000140 (штрафы, пени неустойки за просрочку обязательств)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КБК: 3211 16 07090019000140 (штрафы, за не исполнение или ненадлежащее исполнение).</w:t>
      </w:r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ОКТМО 94701000</w:t>
      </w:r>
      <w:r/>
    </w:p>
    <w:p>
      <w:pPr>
        <w:pStyle w:val="871"/>
        <w:ind w:firstLine="53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pStyle w:val="871"/>
        <w:jc w:val="center"/>
        <w:rPr>
          <w:rFonts w:ascii="Times New Roman" w:hAnsi="Times New Roman"/>
          <w:b/>
          <w:bCs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4"/>
          <w:szCs w:val="24"/>
        </w:rPr>
        <w:t xml:space="preserve">6. Качество, комплектность и гарантийный срок</w:t>
      </w:r>
      <w:r>
        <w:rPr>
          <w:rFonts w:ascii="Times New Roman" w:hAnsi="Times New Roman"/>
          <w:b/>
          <w:bCs/>
          <w:szCs w:val="24"/>
          <w14:ligatures w14:val="none"/>
        </w:rPr>
      </w:r>
      <w:r>
        <w:rPr>
          <w:rFonts w:ascii="Times New Roman" w:hAnsi="Times New Roman"/>
          <w:b/>
          <w:bCs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6.1. Поставщик гарантирует: 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- поставку товара в полном объеме и в сроки, определенные условиями настоящего Контракта; 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- качество поставляемого товара. При этом срок предоставления гарантии качества товара составляет не менее 12 месяцев с момента приёмки товара;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- своевременное устранение (возмещение) недостатков поставленного товара. 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- Поставщик гарантирует, что поставленный по настоящему Контракту Товар изготовлен в соответствии со стандартами и техническими характеристиками, указанными изготовителем; Товар является собственностью Поставщика, не заложен, не находится под арестом, не и</w:t>
      </w:r>
      <w:r>
        <w:rPr>
          <w:rFonts w:ascii="Times New Roman" w:hAnsi="Times New Roman"/>
          <w:sz w:val="24"/>
          <w:szCs w:val="24"/>
        </w:rPr>
        <w:t xml:space="preserve">меет каких либо обременений и/или ограничений, не был ранее использован.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- Поставщик гарантирует качество и безопасность переданного Товара в соответствии с гигиеническими сертификатами, ГОСТ или ТУ, утвержденными на данный вид Товара, сертификатами международных стандартов качества, обязательными для данного вида Товара, оформ</w:t>
      </w:r>
      <w:r>
        <w:rPr>
          <w:rFonts w:ascii="Times New Roman" w:hAnsi="Times New Roman"/>
          <w:sz w:val="24"/>
          <w:szCs w:val="24"/>
        </w:rPr>
        <w:t xml:space="preserve">ленными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6.2. Товар, на который установлен срок годности, Продавец обязан передать Заказчику с таким расчетом, чтобы он мог быть использован по назначению до истечения срока годности,</w:t>
      </w:r>
      <w:r>
        <w:rPr>
          <w:rFonts w:ascii="Times New Roman" w:hAnsi="Times New Roman"/>
          <w:sz w:val="24"/>
          <w:szCs w:val="24"/>
        </w:rPr>
        <w:t xml:space="preserve"> дата изготовления товара не ранее 2025 года.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6.3.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6.4.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6.5. Гарантия качества товара распространяется и на все составляющие его части (комплектующие изделия).</w:t>
      </w:r>
      <w:r>
        <w:rPr>
          <w:rFonts w:ascii="Times New Roman" w:hAnsi="Times New Roman"/>
          <w:szCs w:val="24"/>
          <w14:ligatures w14:val="none"/>
        </w:rPr>
      </w:r>
      <w:r>
        <w:rPr>
          <w:rFonts w:ascii="Times New Roman" w:hAnsi="Times New Roman"/>
          <w:szCs w:val="24"/>
          <w14:ligatures w14:val="none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6.6. В случае неисправности Заказчик уведомляет Поставщика, уведомления могут направляться средствами эл. почты, факсов или нарочно. Поставщик обязан в течение одного рабочего дня забрать некачественную продукцию и осуществить замену на качественный товар </w:t>
      </w:r>
      <w:r>
        <w:rPr>
          <w:rFonts w:ascii="Times New Roman" w:hAnsi="Times New Roman"/>
          <w:sz w:val="24"/>
          <w:szCs w:val="24"/>
        </w:rPr>
        <w:t xml:space="preserve">в срок не более 3 рабочих дней.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pStyle w:val="871"/>
        <w:jc w:val="both"/>
        <w:rPr>
          <w:rFonts w:ascii="Times New Roman" w:hAnsi="Times New Roman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4"/>
        <w:ind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Контракт</w:t>
      </w:r>
      <w:r>
        <w:rPr>
          <w:rFonts w:ascii="Times New Roman" w:hAnsi="Times New Roman"/>
          <w:color w:val="000000"/>
          <w:sz w:val="24"/>
          <w:szCs w:val="24"/>
        </w:rPr>
        <w:t xml:space="preserve"> вступает в силу с</w:t>
      </w:r>
      <w:r>
        <w:rPr>
          <w:rFonts w:ascii="Times New Roman" w:hAnsi="Times New Roman"/>
          <w:color w:val="000000"/>
          <w:sz w:val="24"/>
          <w:szCs w:val="24"/>
        </w:rPr>
        <w:t xml:space="preserve"> момента подписания Сторонами </w:t>
      </w:r>
      <w:r>
        <w:rPr>
          <w:rFonts w:ascii="Times New Roman" w:hAnsi="Times New Roman"/>
          <w:color w:val="000000"/>
          <w:sz w:val="24"/>
          <w:szCs w:val="24"/>
        </w:rPr>
        <w:t xml:space="preserve">и действует </w:t>
      </w:r>
      <w:r>
        <w:rPr>
          <w:rFonts w:ascii="Times New Roman" w:hAnsi="Times New Roman"/>
          <w:color w:val="000000"/>
          <w:sz w:val="24"/>
          <w:szCs w:val="24"/>
        </w:rPr>
        <w:t xml:space="preserve">до полного исполнения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сторонами своих обязательств, но не </w:t>
      </w:r>
      <w:r>
        <w:rPr>
          <w:rFonts w:ascii="Times New Roman" w:hAnsi="Times New Roman"/>
          <w:color w:val="000000"/>
          <w:sz w:val="24"/>
          <w:szCs w:val="24"/>
        </w:rPr>
        <w:t xml:space="preserve">позднее </w:t>
      </w:r>
      <w:r>
        <w:rPr>
          <w:rFonts w:ascii="Times New Roman" w:hAnsi="Times New Roman"/>
          <w:b/>
          <w:bCs/>
          <w:sz w:val="24"/>
          <w:szCs w:val="24"/>
        </w:rPr>
        <w:t xml:space="preserve">01 сентября 202</w:t>
      </w:r>
      <w:r>
        <w:rPr>
          <w:rFonts w:ascii="Times New Roman" w:hAnsi="Times New Roman"/>
          <w:b/>
          <w:bCs/>
          <w:sz w:val="24"/>
          <w:szCs w:val="24"/>
        </w:rPr>
        <w:t xml:space="preserve">6 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74"/>
        <w:ind w:righ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874"/>
        <w:ind w:righ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Действия непреодолимой силы</w: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 наводнения, пожара, землетрясения, диверсии, военных действ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ий, блокад, изменения законодательства, препятствующих надлежащему исполнению обязательств по Контракту, а также других чрезвычайных обстоятельств, которые возникли после заключения Контракта и непосредственно повлияли на исполнение Сторонами своих обязате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льств, а также которые Стороны были не в состоянии предвидеть и предотвратить.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8.2. При наступлении таких обстоятельств срок исполнения обязательств по Контракту отодвигается соразмерно времени действия данных обстоятельств, постольку эти обстоятельства значительно влияют на исполнение Контракта в срок.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другую Сторону об их возникновении, виде и возможной продолжительности действия.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8.4. Форс-мажором не являются события, вызванные небрежностью или преднамеренным действием Стороны, агентов или сотрудников Стороны, события, которые Сторона могла бы предусмотреть при должном прилежании, чтобы учесть их при заключении Контракта и предотв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ратить или контролировать их при выполнении обязательств по настоящему Контракту.</w:t>
      </w:r>
      <w:r/>
    </w:p>
    <w:p>
      <w:pPr>
        <w:pStyle w:val="874"/>
        <w:ind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74"/>
        <w:ind w:righ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Порядок разрешения споров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 с оформлением совместного протокола урегулирования споров.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9.2. В случае наличия претензий, споров, разногласий относительно исполнения одной из Сторон своих обязательств, другая Сторона обязана направить претензию. В отношении всех претензий, направляемых по Контракту, Сторона, к которой адресована данная претен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зия, должна дать письменный ответ по существу претензии в срок не позднее 10 (Десяти) календарных дней с даты ее получения.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9.3. Любые споры, не урегулированные во внесудебном порядке, разрешаются Арбитражным судом Удмуртской Республики.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9.4. К отношениям Сторон по Контракту и в связи с ним применяется законодательство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after="0" w:afterAutospacing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pacing w:val="2"/>
          <w:sz w:val="24"/>
        </w:rPr>
        <w:t xml:space="preserve">10.Заключительные положения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10.1. Дата окончания исполнения Контракта – 01 сентября 2026 года.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Окончание срока действия контракта не влечет прекращения неисполненных обязательств Сторон по контракту.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10.2. Взаимоотношения Сторон в части, не урегулированной настоящим Контрактом, регламентируются нормами действующего законодательства Российской Федерации.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10.3. Ни одна из Сторон не вправе передавать свои права и обязательства по Контракту третьей стороне без письменного согласия другой Стороны.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10.4. Окончание срока действия настоящего Контракта не освобождает Стороны от ответственности.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10.5. В случае изменения наименования, адреса места нахождения или банковских реквизитов Стороны, она письменно извещает об этом другую Сторону в течение 5 (пяти) рабочих дней с даты такого изменения.</w:t>
      </w:r>
      <w:r/>
    </w:p>
    <w:p>
      <w:pPr>
        <w:ind w:left="0" w:right="0" w:firstLine="72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10.6. Любые изменения и дополнения к настоящему Контракту действительны, если они совершены в письменной форме и подписаны уполномоченными на то представителями Сторон.</w:t>
      </w:r>
      <w:r/>
    </w:p>
    <w:p>
      <w:pPr>
        <w:ind w:left="709" w:right="0" w:firstLine="0"/>
        <w:jc w:val="both"/>
        <w:spacing w:after="0" w:afterAutospacing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10.7. Неотъемлемой частью настоящего Контракта являются: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- Спецификация (приложение № 1 к Контракту);</w:t>
      </w:r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</w:rPr>
        <w:t xml:space="preserve">- Техническое задание (приложение № 2 к Контракту).</w:t>
      </w:r>
      <w:r/>
    </w:p>
    <w:p>
      <w:pPr>
        <w:pStyle w:val="874"/>
        <w:ind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74"/>
        <w:ind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sz w:val="24"/>
        </w:rPr>
        <w:t xml:space="preserve">Реквизиты сторон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868"/>
              <w:ind w:left="0" w:hanging="36"/>
              <w:spacing w:after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службы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 регистрации, кадастра и картографии по Удмуртской Республике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426011, г. Ижевск, ул. М. Горького, д. 56,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ИНН 1835062672, КПП 184101001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Банк получателя: ОКЦ № 1 ВВГУ Банка 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России//УФК по Нижегородской области, 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г Нижний Новгород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БИК 012202102</w:t>
            </w:r>
            <w:r/>
          </w:p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Номер казначейского счета: 03211643000000013239 </w:t>
            </w:r>
            <w:r/>
          </w:p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Единый казначейский счет, к/с: 40102810745370000024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л/с 03131W00510, 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</w:rPr>
              <w:t xml:space="preserve">Тел: 8 (3412) 78-72-88 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2" w:tooltip="mailto:18_upr@rosreestr.ru" w:history="1">
              <w:r>
                <w:rPr>
                  <w:rStyle w:val="880"/>
                  <w:rFonts w:ascii="Times New Roman" w:hAnsi="Times New Roman" w:eastAsia="Times New Roman" w:cs="Times New Roman"/>
                  <w:b/>
                  <w:color w:val="0000ff"/>
                  <w:spacing w:val="2"/>
                  <w:sz w:val="24"/>
                  <w:u w:val="single"/>
                </w:rPr>
                <w:t xml:space="preserve">18_upr@rosreestr.ru</w:t>
              </w:r>
            </w:hyperlink>
            <w:r/>
            <w:r/>
          </w:p>
          <w:p>
            <w:pPr>
              <w:ind w:left="0" w:right="0" w:firstLine="0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Заместитель руководителя</w:t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</w:r>
            <w:r/>
          </w:p>
          <w:p>
            <w:pPr>
              <w:ind w:left="0" w:right="0" w:firstLine="0"/>
              <w:jc w:val="both"/>
              <w:spacing w:after="0" w:afterAutospacing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__________________/Ю,В. Баймакова/</w:t>
            </w:r>
            <w:r/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877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859"/>
        <w:ind w:left="6378" w:righ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859"/>
        <w:ind w:left="6378" w:right="0" w:firstLine="0"/>
        <w:jc w:val="left"/>
        <w:pageBreakBefore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риложение № 1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6378" w:right="0" w:firstLine="0"/>
        <w:jc w:val="left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государственному контракту                                                                                                         №_____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6378" w:right="0" w:firstLine="0"/>
        <w:jc w:val="left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«___» 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6г.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6378" w:right="0" w:firstLine="0"/>
        <w:jc w:val="left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6180"/>
        <w:jc w:val="right"/>
        <w:spacing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П Е Ц И Ф И К А Ц И 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tbl>
      <w:tblPr>
        <w:tblW w:w="95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841"/>
        <w:gridCol w:w="1701"/>
        <w:gridCol w:w="1276"/>
        <w:gridCol w:w="1153"/>
        <w:gridCol w:w="1502"/>
        <w:gridCol w:w="1502"/>
      </w:tblGrid>
      <w:tr>
        <w:tblPrEx/>
        <w:trPr>
          <w:trHeight w:val="518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№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84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70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Ед. измерения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15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shd w:val="clear" w:color="auto" w:fill="auto"/>
            <w:tcW w:w="150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Цена, руб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Сумма, руб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53" w:type="dxa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9"/>
        </w:trPr>
        <w:tc>
          <w:tcPr>
            <w:shd w:val="clear" w:color="ffffff" w:fill="ffffff"/>
            <w:tcW w:w="584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1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5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02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9"/>
        </w:trPr>
        <w:tc>
          <w:tcPr>
            <w:shd w:val="clear" w:color="ffffff" w:fill="ffffff"/>
            <w:tcW w:w="584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1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5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02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9"/>
        </w:trPr>
        <w:tc>
          <w:tcPr>
            <w:shd w:val="clear" w:color="ffffff" w:fill="ffffff"/>
            <w:tcW w:w="584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841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15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02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84" w:type="dxa"/>
            <w:vAlign w:val="bottom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53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2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/>
      </w:pPr>
      <w:r/>
      <w:r/>
    </w:p>
    <w:p>
      <w:pPr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Итого: ________ (_____________) рублей, в том числе НДС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%) или без уплаты НДС.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65"/>
        <w:ind w:left="1260" w:hanging="720"/>
        <w:jc w:val="right"/>
      </w:pPr>
      <w:r/>
      <w:r/>
    </w:p>
    <w:p>
      <w:pPr>
        <w:pStyle w:val="865"/>
        <w:ind w:left="1260" w:hanging="720"/>
        <w:jc w:val="right"/>
      </w:pPr>
      <w:r/>
      <w:r/>
    </w:p>
    <w:tbl>
      <w:tblPr>
        <w:tblW w:w="92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500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77"/>
              <w:ind w:left="-709"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________________/Ю.В. Баймакова/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7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59"/>
        <w:ind w:left="6378" w:right="0" w:firstLine="0"/>
        <w:jc w:val="left"/>
        <w:pageBreakBefore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риложение № 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6378" w:right="0" w:firstLine="0"/>
        <w:jc w:val="left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государственному контракту                                                                                                         №_____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664" w:firstLine="708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«___» 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6г.  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аименование и описание объекта закупки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Style w:val="715"/>
        <w:tblW w:w="97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92"/>
        <w:gridCol w:w="3969"/>
        <w:gridCol w:w="1384"/>
        <w:gridCol w:w="1559"/>
      </w:tblGrid>
      <w:tr>
        <w:tblPrEx/>
        <w:trPr>
          <w:trHeight w:val="48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33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33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Технические характеристики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(параметры эквивалентности)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33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Блок бумажный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размер 9*9*9 см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плотность не менее 80 г/м2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не проклеенный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бумаги: белый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Ластик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размер 50*20*10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белый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Маркер перманентный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белый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тип чернил водостойкие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 наконечника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пишущих сторон: односторонний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основа чернил спиртовая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максимальная толщина линии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Маркер перманентный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черный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тип чернил водостойкие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 наконечника круглая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пишущих сторон: односторонний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основа чернил спиртовая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максимальная толщина линии 3мм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Набор цветных текстовыделите-лей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- 4 цвета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 наконечника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скошенная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количество пишущих сторон: односторонний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чернила на водной основе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максимальная толщина линии 4мм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набор</w:t>
            </w:r>
            <w:r/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Папка скоросшиватель «Дело»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 А4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картон 280 г/м2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Папка  «Дело» на завязках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 А4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картон 280 г/м2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Конверт почтовый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 А5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- 80 г/м2, белый плоский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 внутренняя запечатка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Ручка шариковая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корпус пластиковый прозрачный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чернил синий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чернил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масляный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толщина письма 0,5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Стержень шариковый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цвет чернил синий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чернил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масляный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толщина письма 0,5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Скотч широкий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ширина не менее 48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длина намотки не менее 66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плотность не менее 45 мкм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прозрачный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- 1 клеевой слой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70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20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Скотч узкий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ширина не менее 20 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длина намотки не менее 33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плотность не менее 45 мкм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прозрачный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- 1 клеевой слой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штук</w:t>
            </w:r>
            <w:r/>
          </w:p>
        </w:tc>
        <w:tc>
          <w:tcPr>
            <w:tcBorders>
              <w:top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5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Товар должен быть новым,</w:t>
      </w:r>
      <w:r>
        <w:rPr>
          <w:rFonts w:ascii="Times New Roman" w:hAnsi="Times New Roman"/>
          <w:sz w:val="24"/>
          <w:szCs w:val="24"/>
        </w:rPr>
        <w:t xml:space="preserve"> не позднее 2025 года изготовления,</w:t>
      </w:r>
      <w:r>
        <w:rPr>
          <w:rFonts w:ascii="Times New Roman" w:hAnsi="Times New Roman"/>
          <w:sz w:val="24"/>
          <w:szCs w:val="24"/>
        </w:rPr>
        <w:t xml:space="preserve"> не иметь повреждений и дефектов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jc w:val="both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Требования к безопасности товара: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875"/>
        <w:ind w:left="0" w:right="0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Поставляемый товар </w:t>
      </w:r>
      <w:r>
        <w:rPr>
          <w:rFonts w:ascii="Times New Roman" w:hAnsi="Times New Roman" w:cs="Times New Roman"/>
          <w:sz w:val="24"/>
          <w:szCs w:val="24"/>
        </w:rPr>
        <w:t xml:space="preserve">должен соответствовать требованиям государственных стандартов, подтверждающих качество товара, обеспечивающее его безопасность для жизни и здоровья пользователей.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75"/>
        <w:ind w:left="0" w:right="0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 xml:space="preserve">Требования к функциональным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характеристикам (потребительским свойствам) товара: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73"/>
        <w:numPr>
          <w:ilvl w:val="0"/>
          <w:numId w:val="0"/>
        </w:numPr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ф</w:t>
      </w:r>
      <w:r>
        <w:rPr>
          <w:rFonts w:ascii="Times New Roman" w:hAnsi="Times New Roman" w:cs="Times New Roman"/>
          <w:sz w:val="24"/>
          <w:szCs w:val="24"/>
        </w:rPr>
        <w:t xml:space="preserve">ункциональным характеристикам,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производителем для поставляемых товаров.</w:t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</w:p>
    <w:p>
      <w:pPr>
        <w:pStyle w:val="873"/>
        <w:numPr>
          <w:ilvl w:val="0"/>
          <w:numId w:val="0"/>
        </w:numPr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  <w:highlight w:val="none"/>
        </w:rPr>
        <w:t xml:space="preserve">Требования к упаковке товара:</w:t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</w:p>
    <w:p>
      <w:pPr>
        <w:pStyle w:val="873"/>
        <w:numPr>
          <w:ilvl w:val="0"/>
          <w:numId w:val="0"/>
        </w:numPr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Товар должен иметь упаковку, включенную в стоимость товара, способную предотвратить его повреждение или порчу во время перевозки, передачи Заказчику и дальнейшего хранения. </w:t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</w:p>
    <w:p>
      <w:pPr>
        <w:pStyle w:val="873"/>
        <w:numPr>
          <w:ilvl w:val="0"/>
          <w:numId w:val="0"/>
        </w:numPr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Требования к отгрузке товара:</w:t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  <w:highlight w:val="none"/>
        </w:rPr>
      </w:r>
    </w:p>
    <w:p>
      <w:pPr>
        <w:pStyle w:val="873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Поставка, разгрузка товара на склад Заказчика осуществляется на транспорте и силами</w:t>
      </w:r>
      <w:r>
        <w:rPr>
          <w:rFonts w:ascii="Times New Roman" w:hAnsi="Times New Roman"/>
          <w:sz w:val="24"/>
          <w:szCs w:val="24"/>
        </w:rPr>
        <w:t xml:space="preserve"> Поставщика.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73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</w:rPr>
        <w:t xml:space="preserve">Требования к поставке и отгрузке товара: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Поставка товара осуществляется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.08.202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рабочее время Заказчика (9:00 – 16:00)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адресу: Удмуртская Республика,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 Ижевск, ул. Пушкинская, 120,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3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 с момента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 заявки.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имеет право отказаться от товара, если он не соответствует требованиям, предъявляемым к качеству товара, не имеет соответствующих документов, если прилагаемые документы не соответствуют поставленной партии товара.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случае, если при приемке будет обнаружен товар ненадлежащего качества или ассортимента, Заказчик обязан отказаться от приемки такого товара, известив об этом Поставщика. При этом Поставщик обязан заменить некачественный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дефектный) товар на качественный или соответствующий ассортименту товар в течение 2 (двух) рабочих дней с момента предъявления заказчиком (получателем) такого требования. Поставщик несет все расходы, связанные с заменой некачественного (дефектного) товара.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5"/>
        <w:ind w:left="0" w:right="142" w:firstLine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850" w:right="567" w:bottom="850" w:left="1417" w:header="709" w:footer="27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35205834"/>
      <w:docPartObj>
        <w:docPartGallery w:val="Page Numbers (Bottom of Page)"/>
        <w:docPartUnique w:val="true"/>
      </w:docPartObj>
      <w:rPr/>
    </w:sdtPr>
    <w:sdtContent>
      <w:p>
        <w:pPr>
          <w:pStyle w:val="88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60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0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0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0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0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0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0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0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84"/>
    <w:uiPriority w:val="99"/>
  </w:style>
  <w:style w:type="character" w:styleId="712">
    <w:name w:val="Footer Char"/>
    <w:basedOn w:val="860"/>
    <w:link w:val="886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86"/>
    <w:uiPriority w:val="99"/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next w:val="858"/>
    <w:link w:val="864"/>
    <w:uiPriority w:val="9"/>
    <w:qFormat/>
    <w:pPr>
      <w:keepNext/>
      <w:spacing w:before="240" w:after="60" w:line="240" w:lineRule="auto"/>
      <w:widowControl w:val="off"/>
      <w:outlineLvl w:val="0"/>
    </w:pPr>
    <w:rPr>
      <w:rFonts w:ascii="Arial" w:hAnsi="Arial" w:eastAsia="Times New Roman" w:cs="Arial"/>
      <w:b/>
      <w:bCs/>
      <w:sz w:val="32"/>
      <w:szCs w:val="32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Заголовок 1 Знак"/>
    <w:basedOn w:val="86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64" w:customStyle="1">
    <w:name w:val="Заголовок 1 Знак1"/>
    <w:link w:val="859"/>
    <w:uiPriority w:val="9"/>
    <w:rPr>
      <w:rFonts w:ascii="Arial" w:hAnsi="Arial" w:eastAsia="Times New Roman" w:cs="Arial"/>
      <w:b/>
      <w:bCs/>
      <w:sz w:val="32"/>
      <w:szCs w:val="32"/>
    </w:rPr>
  </w:style>
  <w:style w:type="paragraph" w:styleId="865">
    <w:name w:val="Body Text"/>
    <w:basedOn w:val="858"/>
    <w:link w:val="867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0"/>
      <w:szCs w:val="20"/>
    </w:rPr>
  </w:style>
  <w:style w:type="character" w:styleId="866" w:customStyle="1">
    <w:name w:val="Основной текст Знак"/>
    <w:basedOn w:val="860"/>
    <w:uiPriority w:val="99"/>
    <w:semiHidden/>
  </w:style>
  <w:style w:type="character" w:styleId="867" w:customStyle="1">
    <w:name w:val="Основной текст Знак1"/>
    <w:link w:val="865"/>
    <w:rPr>
      <w:rFonts w:ascii="Times New Roman CYR" w:hAnsi="Times New Roman CYR" w:eastAsia="Times New Roman" w:cs="Times New Roman CYR"/>
      <w:sz w:val="20"/>
      <w:szCs w:val="20"/>
    </w:rPr>
  </w:style>
  <w:style w:type="paragraph" w:styleId="868">
    <w:name w:val="Body Text Indent"/>
    <w:basedOn w:val="858"/>
    <w:link w:val="870"/>
    <w:pPr>
      <w:ind w:left="283"/>
      <w:spacing w:after="120" w:line="240" w:lineRule="auto"/>
    </w:pPr>
    <w:rPr>
      <w:rFonts w:ascii="Times New Roman CYR" w:hAnsi="Times New Roman CYR" w:eastAsia="Times New Roman" w:cs="Times New Roman"/>
      <w:sz w:val="24"/>
      <w:szCs w:val="24"/>
    </w:rPr>
  </w:style>
  <w:style w:type="character" w:styleId="869" w:customStyle="1">
    <w:name w:val="Основной текст с отступом Знак"/>
    <w:basedOn w:val="860"/>
    <w:uiPriority w:val="99"/>
    <w:semiHidden/>
  </w:style>
  <w:style w:type="character" w:styleId="870" w:customStyle="1">
    <w:name w:val="Основной текст с отступом Знак1"/>
    <w:link w:val="868"/>
    <w:rPr>
      <w:rFonts w:ascii="Times New Roman CYR" w:hAnsi="Times New Roman CYR" w:eastAsia="Times New Roman" w:cs="Times New Roman"/>
      <w:sz w:val="24"/>
      <w:szCs w:val="24"/>
    </w:rPr>
  </w:style>
  <w:style w:type="paragraph" w:styleId="871" w:customStyle="1">
    <w:name w:val="ConsPlusNormal"/>
    <w:link w:val="872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character" w:styleId="872" w:customStyle="1">
    <w:name w:val="ConsPlusNormal Знак"/>
    <w:link w:val="871"/>
    <w:rPr>
      <w:rFonts w:ascii="Arial" w:hAnsi="Arial" w:eastAsia="Times New Roman" w:cs="Arial"/>
      <w:sz w:val="20"/>
      <w:szCs w:val="20"/>
    </w:rPr>
  </w:style>
  <w:style w:type="paragraph" w:styleId="873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74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875" w:customStyle="1">
    <w:name w:val="ConsCell"/>
    <w:pPr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876" w:customStyle="1">
    <w:name w:val="Font Style20"/>
    <w:rPr>
      <w:rFonts w:hint="default" w:ascii="Times New Roman" w:hAnsi="Times New Roman" w:cs="Times New Roman"/>
      <w:sz w:val="22"/>
    </w:rPr>
  </w:style>
  <w:style w:type="paragraph" w:styleId="877" w:customStyle="1">
    <w:name w:val="ConsPlusNormal Знак Знак"/>
    <w:link w:val="878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878" w:customStyle="1">
    <w:name w:val="ConsPlusNormal Знак Знак Знак"/>
    <w:link w:val="877"/>
    <w:rPr>
      <w:rFonts w:ascii="Arial" w:hAnsi="Arial" w:eastAsia="Times New Roman" w:cs="Arial"/>
      <w:sz w:val="20"/>
      <w:szCs w:val="20"/>
    </w:rPr>
  </w:style>
  <w:style w:type="character" w:styleId="879" w:customStyle="1">
    <w:name w:val="Font Style43"/>
    <w:rPr>
      <w:rFonts w:ascii="Times New Roman" w:hAnsi="Times New Roman" w:cs="Times New Roman"/>
      <w:b/>
      <w:bCs/>
      <w:sz w:val="22"/>
      <w:szCs w:val="22"/>
    </w:rPr>
  </w:style>
  <w:style w:type="character" w:styleId="880">
    <w:name w:val="Hyperlink"/>
    <w:basedOn w:val="860"/>
    <w:uiPriority w:val="99"/>
    <w:semiHidden/>
    <w:unhideWhenUsed/>
    <w:rPr>
      <w:strike w:val="0"/>
      <w:color w:val="0075c5"/>
      <w:u w:val="none"/>
    </w:rPr>
  </w:style>
  <w:style w:type="paragraph" w:styleId="881">
    <w:name w:val="Balloon Text"/>
    <w:basedOn w:val="858"/>
    <w:link w:val="8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60"/>
    <w:link w:val="881"/>
    <w:uiPriority w:val="99"/>
    <w:semiHidden/>
    <w:rPr>
      <w:rFonts w:ascii="Tahoma" w:hAnsi="Tahoma" w:cs="Tahoma"/>
      <w:sz w:val="16"/>
      <w:szCs w:val="16"/>
    </w:rPr>
  </w:style>
  <w:style w:type="character" w:styleId="883" w:customStyle="1">
    <w:name w:val="ikzvalue"/>
    <w:basedOn w:val="860"/>
  </w:style>
  <w:style w:type="paragraph" w:styleId="884">
    <w:name w:val="Header"/>
    <w:basedOn w:val="858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60"/>
    <w:link w:val="884"/>
    <w:uiPriority w:val="99"/>
  </w:style>
  <w:style w:type="paragraph" w:styleId="886">
    <w:name w:val="Footer"/>
    <w:basedOn w:val="858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basedOn w:val="860"/>
    <w:link w:val="88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demo.garant.ru/" TargetMode="External"/><Relationship Id="rId12" Type="http://schemas.openxmlformats.org/officeDocument/2006/relationships/hyperlink" Target="mailto:18_upr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5C71-1D4F-4AD4-A132-3A4A9766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 Шамильевна Монько</dc:creator>
  <cp:keywords/>
  <dc:description/>
  <cp:revision>18</cp:revision>
  <dcterms:created xsi:type="dcterms:W3CDTF">2019-02-01T12:45:00Z</dcterms:created>
  <dcterms:modified xsi:type="dcterms:W3CDTF">2026-05-25T04:51:06Z</dcterms:modified>
</cp:coreProperties>
</file>