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Техническое задание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(н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аименование и описание объекта закупки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tbl>
      <w:tblPr>
        <w:tblStyle w:val="841"/>
        <w:tblW w:w="97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092"/>
        <w:gridCol w:w="3969"/>
        <w:gridCol w:w="1384"/>
        <w:gridCol w:w="1559"/>
      </w:tblGrid>
      <w:tr>
        <w:tblPrEx/>
        <w:trPr>
          <w:trHeight w:val="481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line="233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line="233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Наименование Товара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Технические характеристики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(параметры эквивалентности)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line="233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Блок бумажный не проклеенный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размер 9*9*9 см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плотность не менее 80 г/м2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не проклеенный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цвет бумаги: белый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3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штук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20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Ластик белый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размер 50*20*10 мм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цвет белый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штук</w:t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Маркер перманентный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цвет белый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тип чернил водостойкие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форма наконечника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круглая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количество пишущих сторон: односторонний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основа чернил спиртовая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максимальная толщина линии 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3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штук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8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Маркер перманентный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цвет черный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тип чернил водостойкие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форма наконечника круглая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количество пишущих сторон: односторонний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основа чернил спиртовая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максимальная толщина линии 3мм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штук</w:t>
            </w:r>
            <w:r/>
          </w:p>
        </w:tc>
        <w:tc>
          <w:tcPr>
            <w:tcBorders>
              <w:bottom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8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840"/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Набор цветных текстовыделите-лей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- 4 цвета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форма наконечника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скошенная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количество пишущих сторон: односторонний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чернила на водной основе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максимальная толщина линии 4мм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набор</w:t>
            </w:r>
            <w:r/>
          </w:p>
        </w:tc>
        <w:tc>
          <w:tcPr>
            <w:tcBorders>
              <w:bottom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8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Папка скоросшиватель «Дело»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формат А4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материал: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картон 280 г/м2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штук</w:t>
            </w:r>
            <w:r/>
          </w:p>
        </w:tc>
        <w:tc>
          <w:tcPr>
            <w:tcBorders>
              <w:top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1270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20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Папка  «Дело» на завязках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3969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формат А4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материал: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картон 280 г/м2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штук</w:t>
            </w:r>
            <w:r/>
          </w:p>
        </w:tc>
        <w:tc>
          <w:tcPr>
            <w:tcBorders>
              <w:top w:val="singl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20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Конверт почтовый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формат А5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- 80 г/м2, белый плоский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- внутренняя запечатка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штук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5000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20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Ручка шариковая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корпус пластиковый прозрачный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цвет чернил синий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тип чернил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масляный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толщина письма 0,5 мм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штук</w:t>
            </w:r>
            <w:r/>
          </w:p>
        </w:tc>
        <w:tc>
          <w:tcPr>
            <w:tcBorders>
              <w:top w:val="singl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20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Стержень шариковый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цвет чернил синий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тип чернил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масляный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толщина письма 0,5 мм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штук</w:t>
            </w:r>
            <w:r/>
          </w:p>
        </w:tc>
        <w:tc>
          <w:tcPr>
            <w:tcBorders>
              <w:top w:val="singl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56"/>
        </w:trPr>
        <w:tc>
          <w:tcPr>
            <w:tcBorders>
              <w:top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20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Скотч широкий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ширина не менее 48 мм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длина намотки не менее 66 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плотность не менее 45 мкм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прозрачный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- 1 клеевой слой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штук</w:t>
            </w:r>
            <w:r/>
          </w:p>
        </w:tc>
        <w:tc>
          <w:tcPr>
            <w:tcBorders>
              <w:top w:val="singl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20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Скотч узкий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ширина не менее 20 мм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длина намотки не менее 33 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плотность не менее 45 мкм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прозрачный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- 1 клеевой слой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штук</w:t>
            </w:r>
            <w:r/>
          </w:p>
        </w:tc>
        <w:tc>
          <w:tcPr>
            <w:tcBorders>
              <w:top w:val="singl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844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44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44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Товар должен быть новым,</w:t>
      </w:r>
      <w:r>
        <w:rPr>
          <w:rFonts w:ascii="Times New Roman" w:hAnsi="Times New Roman"/>
          <w:sz w:val="24"/>
          <w:szCs w:val="24"/>
        </w:rPr>
        <w:t xml:space="preserve"> не позднее 2025 года изготовления,</w:t>
      </w:r>
      <w:r>
        <w:rPr>
          <w:rFonts w:ascii="Times New Roman" w:hAnsi="Times New Roman"/>
          <w:sz w:val="24"/>
          <w:szCs w:val="24"/>
        </w:rPr>
        <w:t xml:space="preserve"> не иметь повреждений и дефектов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42"/>
        <w:ind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Требования к безопасности товара:</w:t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pStyle w:val="842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Поставляемый товар должен соответствовать требованиям государственных стандартов, подтверждающих качество товара, обеспечивающее его безопасность для жизни и здоровья пользователей.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2"/>
        <w:ind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Требования к функциональным характеристикам (потребительским свойствам) товара:</w:t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pStyle w:val="842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Товар должен соответствовать ф</w:t>
      </w:r>
      <w:r>
        <w:rPr>
          <w:rFonts w:ascii="Times New Roman" w:hAnsi="Times New Roman" w:cs="Times New Roman"/>
          <w:sz w:val="24"/>
          <w:szCs w:val="24"/>
        </w:rPr>
        <w:t xml:space="preserve">ункциональным характеристикам, </w:t>
      </w:r>
      <w:r>
        <w:rPr>
          <w:rFonts w:ascii="Times New Roman" w:hAnsi="Times New Roman" w:cs="Times New Roman"/>
          <w:sz w:val="24"/>
          <w:szCs w:val="24"/>
        </w:rPr>
        <w:t xml:space="preserve">установленным производителем для поставляемых товаров.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2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Требования к упаковке товара: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numPr>
          <w:ilvl w:val="0"/>
          <w:numId w:val="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Товар должен иметь упаковку, включенную в стоимость товара, способную предотвратить его повреждение или порчу во время перевозки, передачи Заказчику и дальнейшего хранения.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3"/>
        <w:numPr>
          <w:ilvl w:val="0"/>
          <w:numId w:val="0"/>
        </w:numPr>
        <w:jc w:val="both"/>
        <w:rPr>
          <w:rFonts w:ascii="Times New Roman" w:hAnsi="Times New Roman"/>
          <w:b/>
          <w:i/>
          <w:color w:val="000000"/>
          <w:spacing w:val="2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pacing w:val="2"/>
          <w:sz w:val="24"/>
          <w:szCs w:val="24"/>
        </w:rPr>
        <w:t xml:space="preserve">Требования к отгрузке товара:</w:t>
      </w:r>
      <w:r>
        <w:rPr>
          <w:rFonts w:ascii="Times New Roman" w:hAnsi="Times New Roman"/>
          <w:b/>
          <w:i/>
          <w:color w:val="000000"/>
          <w:spacing w:val="2"/>
          <w:sz w:val="24"/>
          <w:szCs w:val="24"/>
        </w:rPr>
      </w:r>
      <w:r>
        <w:rPr>
          <w:rFonts w:ascii="Times New Roman" w:hAnsi="Times New Roman"/>
          <w:b/>
          <w:i/>
          <w:color w:val="000000"/>
          <w:spacing w:val="2"/>
          <w:sz w:val="24"/>
          <w:szCs w:val="24"/>
        </w:rPr>
      </w:r>
    </w:p>
    <w:p>
      <w:pPr>
        <w:pStyle w:val="843"/>
        <w:numPr>
          <w:ilvl w:val="0"/>
          <w:numId w:val="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Поставка, разгрузка товара на склад Заказчика осуществляется на транспорте и силами</w:t>
      </w:r>
      <w:r>
        <w:rPr>
          <w:rFonts w:ascii="Times New Roman" w:hAnsi="Times New Roman"/>
          <w:sz w:val="24"/>
          <w:szCs w:val="24"/>
        </w:rPr>
        <w:t xml:space="preserve"> Поставщика.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3"/>
        <w:numPr>
          <w:ilvl w:val="0"/>
          <w:numId w:val="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pacing w:val="2"/>
          <w:sz w:val="24"/>
          <w:szCs w:val="24"/>
        </w:rPr>
        <w:t xml:space="preserve">Требования к поставке и отгрузке товара: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Поставка товара осуществляется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.08.202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 года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рабочее время Заказчика (9:00 – 16:00)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 адресу: Удмуртская Республика,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г. Ижевск, ул. Пушкинская, 120,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течение 3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рабочих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дней с момента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поступления заявки.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Заказчик имеет право отказаться от товара, если он не соответствует требованиям, предъявляемым к качеству товара, не имеет соответствующих документов, если прилагаемые документы не соответствуют поставленной партии товара.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случае, если при приемке будет обнаружен товар ненадлежащего качества или ассортимента, Заказчик обязан отказаться от приемки такого товара, известив об этом Поставщика. При этом Поставщик обязан заменить некачественный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дефектный) товар на качественный или соответствующий ассортименту товар в течение 2 (двух) рабочих дней с момента предъявления заказчиком (получателем) такого требования. Поставщик несет все расходы, связанные с заменой некачественного (дефектного) товара.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/>
    </w:p>
    <w:sectPr>
      <w:footnotePr/>
      <w:endnotePr/>
      <w:type w:val="nextPage"/>
      <w:pgSz w:w="11906" w:h="16838" w:orient="portrait"/>
      <w:pgMar w:top="851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43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6"/>
    <w:next w:val="836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7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6"/>
    <w:next w:val="836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7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7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7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7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7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7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7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6"/>
    <w:next w:val="836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7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List Paragraph"/>
    <w:basedOn w:val="836"/>
    <w:uiPriority w:val="34"/>
    <w:qFormat/>
    <w:pPr>
      <w:contextualSpacing/>
      <w:ind w:left="720"/>
    </w:pPr>
  </w:style>
  <w:style w:type="paragraph" w:styleId="679">
    <w:name w:val="Title"/>
    <w:basedOn w:val="836"/>
    <w:next w:val="836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basedOn w:val="837"/>
    <w:link w:val="679"/>
    <w:uiPriority w:val="10"/>
    <w:rPr>
      <w:sz w:val="48"/>
      <w:szCs w:val="48"/>
    </w:rPr>
  </w:style>
  <w:style w:type="paragraph" w:styleId="681">
    <w:name w:val="Subtitle"/>
    <w:basedOn w:val="836"/>
    <w:next w:val="836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basedOn w:val="837"/>
    <w:link w:val="681"/>
    <w:uiPriority w:val="11"/>
    <w:rPr>
      <w:sz w:val="24"/>
      <w:szCs w:val="24"/>
    </w:rPr>
  </w:style>
  <w:style w:type="paragraph" w:styleId="683">
    <w:name w:val="Quote"/>
    <w:basedOn w:val="836"/>
    <w:next w:val="836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6"/>
    <w:next w:val="836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6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basedOn w:val="837"/>
    <w:link w:val="687"/>
    <w:uiPriority w:val="99"/>
  </w:style>
  <w:style w:type="paragraph" w:styleId="689">
    <w:name w:val="Footer"/>
    <w:basedOn w:val="836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basedOn w:val="837"/>
    <w:link w:val="689"/>
    <w:uiPriority w:val="99"/>
  </w:style>
  <w:style w:type="paragraph" w:styleId="691">
    <w:name w:val="Caption"/>
    <w:basedOn w:val="836"/>
    <w:next w:val="8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691"/>
    <w:link w:val="689"/>
    <w:uiPriority w:val="99"/>
  </w:style>
  <w:style w:type="table" w:styleId="693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37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7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</w:style>
  <w:style w:type="character" w:styleId="837" w:default="1">
    <w:name w:val="Default Paragraph Font"/>
    <w:uiPriority w:val="1"/>
    <w:semiHidden/>
    <w:unhideWhenUsed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paragraph" w:styleId="840">
    <w:name w:val="No Spacing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table" w:styleId="841">
    <w:name w:val="Table Grid"/>
    <w:basedOn w:val="83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2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43" w:customStyle="1">
    <w:name w:val="ConsNonformat"/>
    <w:pPr>
      <w:numPr>
        <w:ilvl w:val="0"/>
        <w:numId w:val="2"/>
      </w:numPr>
      <w:ind w:left="0" w:firstLine="0"/>
      <w:spacing w:after="0" w:line="240" w:lineRule="auto"/>
      <w:widowControl w:val="off"/>
      <w:tabs>
        <w:tab w:val="clear" w:pos="360" w:leader="none"/>
      </w:tabs>
    </w:pPr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844" w:customStyle="1">
    <w:name w:val="ConsCell"/>
    <w:pPr>
      <w:spacing w:after="0" w:line="240" w:lineRule="auto"/>
      <w:widowControl w:val="off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845">
    <w:name w:val="Balloon Text"/>
    <w:basedOn w:val="836"/>
    <w:link w:val="84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6" w:customStyle="1">
    <w:name w:val="Текст выноски Знак"/>
    <w:basedOn w:val="837"/>
    <w:link w:val="845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1225A-8593-4AD2-896D-F313DD245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ilfatik</dc:creator>
  <cp:revision>60</cp:revision>
  <dcterms:created xsi:type="dcterms:W3CDTF">2020-01-29T13:46:00Z</dcterms:created>
  <dcterms:modified xsi:type="dcterms:W3CDTF">2026-05-25T04:51:36Z</dcterms:modified>
</cp:coreProperties>
</file>